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2022年徐闻县人力资源和社会保障局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“三公”经费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预算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安排情况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8.03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公务接待严格按照八项规定执行，禁止铺张浪费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</w:t>
      </w:r>
      <w:bookmarkStart w:id="21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3.83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0"/>
          <w:szCs w:val="30"/>
        </w:rPr>
        <w:t>务接待严格按照八项规定执行，禁止铺张浪费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386"/>
        <w:gridCol w:w="1386"/>
        <w:gridCol w:w="1006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部门名称：117徐闻县人力资源和社会保障局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  目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行政经费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15,629,481.40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15,629,481.40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80,320.00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80,320.00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42,000.00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42,000.00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42,000.00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42,000.00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38,320.00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38,320.00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行政经费是指用于维持行政（参公）单位机关运行的经费。具体包括：办公费、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经济科目对应的预算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DhjMTdkNDVkNDc5OTkxZjU4MzIwYzA5MGI3YmYifQ=="/>
  </w:docVars>
  <w:rsids>
    <w:rsidRoot w:val="00000000"/>
    <w:rsid w:val="6E1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蔡琼丽</cp:lastModifiedBy>
  <dcterms:modified xsi:type="dcterms:W3CDTF">2022-05-09T02:46:00Z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8786F9556647497BAC54E74A31DA1BDA</vt:lpwstr>
  </property>
</Properties>
</file>