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bCs/>
          <w:color w:val="000000"/>
          <w:kern w:val="0"/>
          <w:sz w:val="24"/>
        </w:rPr>
      </w:pPr>
      <w:r>
        <w:rPr>
          <w:rFonts w:hint="eastAsia" w:ascii="宋体" w:hAnsi="宋体"/>
          <w:b/>
          <w:bCs/>
          <w:color w:val="000000"/>
          <w:kern w:val="0"/>
          <w:sz w:val="24"/>
        </w:rPr>
        <w:t>财政拨款安排的行政经费及“三公”经费预算表</w:t>
      </w:r>
    </w:p>
    <w:p>
      <w:pPr>
        <w:jc w:val="center"/>
        <w:rPr>
          <w:rFonts w:hint="eastAsia" w:ascii="宋体" w:hAnsi="宋体"/>
          <w:color w:val="000000"/>
          <w:kern w:val="0"/>
          <w:sz w:val="18"/>
          <w:szCs w:val="18"/>
        </w:rPr>
      </w:pPr>
    </w:p>
    <w:p>
      <w:pPr>
        <w:jc w:val="center"/>
        <w:rPr>
          <w:rFonts w:hint="eastAsia" w:ascii="宋体" w:hAnsi="宋体"/>
          <w:color w:val="000000"/>
          <w:kern w:val="0"/>
          <w:sz w:val="18"/>
          <w:szCs w:val="18"/>
        </w:rPr>
      </w:pPr>
    </w:p>
    <w:p>
      <w:pPr>
        <w:jc w:val="center"/>
        <w:rPr>
          <w:vertAlign w:val="baseline"/>
        </w:rPr>
      </w:pPr>
      <w:r>
        <w:rPr>
          <w:rFonts w:hint="eastAsia" w:ascii="宋体" w:hAnsi="宋体"/>
          <w:color w:val="000000"/>
          <w:kern w:val="0"/>
          <w:sz w:val="18"/>
          <w:szCs w:val="18"/>
        </w:rPr>
        <w:t>单位名称：</w:t>
      </w:r>
      <w:bookmarkStart w:id="0" w:name="PO_part2Table8DivName1"/>
      <w:r>
        <w:rPr>
          <w:rFonts w:hint="eastAsia" w:ascii="宋体" w:hAnsi="宋体"/>
          <w:color w:val="000000"/>
          <w:kern w:val="0"/>
          <w:sz w:val="18"/>
          <w:szCs w:val="18"/>
        </w:rPr>
        <w:t xml:space="preserve"> </w:t>
      </w:r>
      <w:r>
        <w:rPr>
          <w:rFonts w:hint="eastAsia" w:ascii="宋体" w:hAnsi="宋体"/>
          <w:color w:val="000000"/>
          <w:kern w:val="0"/>
          <w:sz w:val="18"/>
          <w:szCs w:val="18"/>
          <w:lang w:eastAsia="zh-CN"/>
        </w:rPr>
        <w:t>徐闻县科工贸和信息化局</w:t>
      </w:r>
      <w:r>
        <w:rPr>
          <w:rFonts w:hint="eastAsia" w:ascii="宋体" w:hAnsi="宋体"/>
          <w:color w:val="000000"/>
          <w:kern w:val="0"/>
          <w:sz w:val="18"/>
          <w:szCs w:val="18"/>
        </w:rPr>
        <w:t xml:space="preserve"> </w:t>
      </w:r>
      <w:bookmarkEnd w:id="0"/>
      <w:r>
        <w:rPr>
          <w:rFonts w:hint="eastAsia" w:ascii="宋体" w:hAnsi="宋体"/>
          <w:color w:val="000000"/>
          <w:kern w:val="0"/>
          <w:sz w:val="18"/>
          <w:szCs w:val="18"/>
          <w:lang w:val="en-US" w:eastAsia="zh-CN"/>
        </w:rPr>
        <w:t xml:space="preserve">                                                 </w:t>
      </w:r>
      <w:r>
        <w:rPr>
          <w:rFonts w:hint="eastAsia" w:ascii="宋体" w:hAnsi="宋体"/>
          <w:color w:val="000000"/>
          <w:kern w:val="0"/>
          <w:sz w:val="18"/>
          <w:szCs w:val="18"/>
        </w:rPr>
        <w:t>单位：万元</w:t>
      </w:r>
      <w:r>
        <w:rPr>
          <w:rFonts w:hint="eastAsia" w:ascii="宋体" w:hAnsi="宋体"/>
          <w:color w:val="000000"/>
          <w:kern w:val="0"/>
          <w:sz w:val="18"/>
          <w:szCs w:val="18"/>
          <w:lang w:val="en-US" w:eastAsia="zh-CN"/>
        </w:rPr>
        <w:t xml:space="preserve">                                        </w:t>
      </w:r>
    </w:p>
    <w:tbl>
      <w:tblPr>
        <w:tblStyle w:val="3"/>
        <w:tblW w:w="10935" w:type="dxa"/>
        <w:tblInd w:w="-10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3930"/>
        <w:gridCol w:w="750"/>
        <w:gridCol w:w="1473"/>
        <w:gridCol w:w="2067"/>
        <w:gridCol w:w="27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3" w:hRule="atLeast"/>
        </w:trPr>
        <w:tc>
          <w:tcPr>
            <w:tcW w:w="3930" w:type="dxa"/>
            <w:vAlign w:val="top"/>
          </w:tcPr>
          <w:p>
            <w:pPr>
              <w:widowControl/>
              <w:jc w:val="center"/>
              <w:textAlignment w:val="center"/>
              <w:rPr>
                <w:rFonts w:ascii="宋体" w:hAnsi="宋体" w:eastAsiaTheme="minorEastAsia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项        目</w:t>
            </w:r>
          </w:p>
        </w:tc>
        <w:tc>
          <w:tcPr>
            <w:tcW w:w="750" w:type="dxa"/>
            <w:vAlign w:val="top"/>
          </w:tcPr>
          <w:p>
            <w:pPr>
              <w:widowControl/>
              <w:jc w:val="center"/>
              <w:textAlignment w:val="center"/>
              <w:rPr>
                <w:rFonts w:ascii="宋体" w:hAnsi="宋体" w:eastAsiaTheme="minorEastAsia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1473" w:type="dxa"/>
            <w:vAlign w:val="top"/>
          </w:tcPr>
          <w:p>
            <w:pPr>
              <w:widowControl/>
              <w:jc w:val="center"/>
              <w:textAlignment w:val="center"/>
              <w:rPr>
                <w:rFonts w:ascii="宋体" w:hAnsi="宋体" w:eastAsiaTheme="minorEastAsia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一般公共预算</w:t>
            </w:r>
          </w:p>
        </w:tc>
        <w:tc>
          <w:tcPr>
            <w:tcW w:w="2067" w:type="dxa"/>
            <w:vAlign w:val="top"/>
          </w:tcPr>
          <w:p>
            <w:pPr>
              <w:widowControl/>
              <w:jc w:val="center"/>
              <w:textAlignment w:val="center"/>
              <w:rPr>
                <w:rFonts w:ascii="宋体" w:hAnsi="宋体" w:eastAsiaTheme="minorEastAsia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政府性基金预算</w:t>
            </w:r>
          </w:p>
        </w:tc>
        <w:tc>
          <w:tcPr>
            <w:tcW w:w="2715" w:type="dxa"/>
            <w:vAlign w:val="top"/>
          </w:tcPr>
          <w:p>
            <w:pPr>
              <w:widowControl/>
              <w:jc w:val="center"/>
              <w:textAlignment w:val="center"/>
              <w:rPr>
                <w:rFonts w:ascii="宋体" w:hAnsi="宋体" w:eastAsiaTheme="minorEastAsia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国有资本经营预算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3" w:hRule="atLeast"/>
        </w:trPr>
        <w:tc>
          <w:tcPr>
            <w:tcW w:w="3930" w:type="dxa"/>
            <w:vAlign w:val="top"/>
          </w:tcPr>
          <w:p>
            <w:pPr>
              <w:widowControl/>
              <w:jc w:val="left"/>
              <w:textAlignment w:val="center"/>
              <w:rPr>
                <w:rFonts w:ascii="宋体" w:hAnsi="宋体" w:eastAsiaTheme="minorEastAsia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行政经费</w:t>
            </w:r>
          </w:p>
        </w:tc>
        <w:tc>
          <w:tcPr>
            <w:tcW w:w="750" w:type="dxa"/>
            <w:vAlign w:val="top"/>
          </w:tcPr>
          <w:p>
            <w:pPr>
              <w:jc w:val="center"/>
              <w:rPr>
                <w:rFonts w:hint="default" w:ascii="宋体" w:hAnsi="宋体" w:eastAsia="宋体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26.10</w:t>
            </w:r>
          </w:p>
        </w:tc>
        <w:tc>
          <w:tcPr>
            <w:tcW w:w="1473" w:type="dxa"/>
            <w:vAlign w:val="top"/>
          </w:tcPr>
          <w:p>
            <w:pPr>
              <w:jc w:val="center"/>
              <w:rPr>
                <w:rFonts w:hint="default" w:eastAsia="宋体" w:asciiTheme="minorHAnsi" w:hAnsiTheme="minorHAnsi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26.10</w:t>
            </w:r>
          </w:p>
        </w:tc>
        <w:tc>
          <w:tcPr>
            <w:tcW w:w="2067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715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3" w:hRule="atLeast"/>
        </w:trPr>
        <w:tc>
          <w:tcPr>
            <w:tcW w:w="3930" w:type="dxa"/>
            <w:vAlign w:val="top"/>
          </w:tcPr>
          <w:p>
            <w:pPr>
              <w:widowControl/>
              <w:jc w:val="left"/>
              <w:textAlignment w:val="center"/>
              <w:rPr>
                <w:rFonts w:ascii="宋体" w:hAnsi="宋体" w:eastAsiaTheme="minorEastAsia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“三公”经费</w:t>
            </w:r>
          </w:p>
        </w:tc>
        <w:tc>
          <w:tcPr>
            <w:tcW w:w="750" w:type="dxa"/>
            <w:vAlign w:val="top"/>
          </w:tcPr>
          <w:p>
            <w:pPr>
              <w:jc w:val="center"/>
              <w:rPr>
                <w:rFonts w:hint="default" w:eastAsia="宋体" w:asciiTheme="minorHAnsi" w:hAnsiTheme="minorHAnsi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7.60</w:t>
            </w:r>
          </w:p>
        </w:tc>
        <w:tc>
          <w:tcPr>
            <w:tcW w:w="1473" w:type="dxa"/>
            <w:vAlign w:val="top"/>
          </w:tcPr>
          <w:p>
            <w:pPr>
              <w:jc w:val="center"/>
              <w:rPr>
                <w:rFonts w:hint="default" w:eastAsia="宋体" w:asciiTheme="minorHAnsi" w:hAnsiTheme="minorHAnsi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7.60</w:t>
            </w:r>
          </w:p>
        </w:tc>
        <w:tc>
          <w:tcPr>
            <w:tcW w:w="2067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715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3" w:hRule="atLeast"/>
        </w:trPr>
        <w:tc>
          <w:tcPr>
            <w:tcW w:w="3930" w:type="dxa"/>
            <w:vAlign w:val="top"/>
          </w:tcPr>
          <w:p>
            <w:pPr>
              <w:widowControl/>
              <w:ind w:firstLine="360" w:firstLineChars="200"/>
              <w:jc w:val="left"/>
              <w:textAlignment w:val="center"/>
              <w:rPr>
                <w:rFonts w:ascii="宋体" w:hAnsi="宋体" w:eastAsiaTheme="minorEastAsia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其中：（一）因公出国（境）支出</w:t>
            </w:r>
          </w:p>
        </w:tc>
        <w:tc>
          <w:tcPr>
            <w:tcW w:w="750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73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067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715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3" w:hRule="atLeast"/>
        </w:trPr>
        <w:tc>
          <w:tcPr>
            <w:tcW w:w="3930" w:type="dxa"/>
            <w:vAlign w:val="top"/>
          </w:tcPr>
          <w:p>
            <w:pPr>
              <w:widowControl/>
              <w:ind w:firstLine="900" w:firstLineChars="500"/>
              <w:jc w:val="left"/>
              <w:textAlignment w:val="center"/>
              <w:rPr>
                <w:rFonts w:ascii="宋体" w:hAnsi="宋体" w:eastAsiaTheme="minorEastAsia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（二）公务用车购置及运行维护支出</w:t>
            </w:r>
          </w:p>
        </w:tc>
        <w:tc>
          <w:tcPr>
            <w:tcW w:w="750" w:type="dxa"/>
            <w:vAlign w:val="top"/>
          </w:tcPr>
          <w:p>
            <w:pPr>
              <w:jc w:val="center"/>
              <w:rPr>
                <w:rFonts w:hint="default" w:eastAsia="宋体" w:asciiTheme="minorHAnsi" w:hAnsiTheme="minorHAnsi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4.20</w:t>
            </w:r>
          </w:p>
        </w:tc>
        <w:tc>
          <w:tcPr>
            <w:tcW w:w="1473" w:type="dxa"/>
            <w:vAlign w:val="top"/>
          </w:tcPr>
          <w:p>
            <w:pPr>
              <w:jc w:val="center"/>
              <w:rPr>
                <w:rFonts w:hint="default" w:eastAsia="宋体" w:asciiTheme="minorHAnsi" w:hAnsiTheme="minorHAnsi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4.20</w:t>
            </w:r>
          </w:p>
        </w:tc>
        <w:tc>
          <w:tcPr>
            <w:tcW w:w="2067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715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3" w:hRule="atLeast"/>
        </w:trPr>
        <w:tc>
          <w:tcPr>
            <w:tcW w:w="3930" w:type="dxa"/>
            <w:vAlign w:val="top"/>
          </w:tcPr>
          <w:p>
            <w:pPr>
              <w:widowControl/>
              <w:ind w:firstLine="1440" w:firstLineChars="800"/>
              <w:jc w:val="left"/>
              <w:textAlignment w:val="center"/>
              <w:rPr>
                <w:rFonts w:ascii="宋体" w:hAnsi="宋体" w:eastAsiaTheme="minorEastAsia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1.公务用车购置</w:t>
            </w:r>
          </w:p>
        </w:tc>
        <w:tc>
          <w:tcPr>
            <w:tcW w:w="750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73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067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715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3" w:hRule="atLeast"/>
        </w:trPr>
        <w:tc>
          <w:tcPr>
            <w:tcW w:w="3930" w:type="dxa"/>
            <w:vAlign w:val="top"/>
          </w:tcPr>
          <w:p>
            <w:pPr>
              <w:widowControl/>
              <w:ind w:firstLine="1440" w:firstLineChars="800"/>
              <w:jc w:val="left"/>
              <w:textAlignment w:val="center"/>
              <w:rPr>
                <w:rFonts w:ascii="宋体" w:hAnsi="宋体" w:eastAsiaTheme="minorEastAsia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2.公务用车运行维护费</w:t>
            </w:r>
          </w:p>
        </w:tc>
        <w:tc>
          <w:tcPr>
            <w:tcW w:w="750" w:type="dxa"/>
            <w:vAlign w:val="top"/>
          </w:tcPr>
          <w:p>
            <w:pPr>
              <w:jc w:val="center"/>
              <w:rPr>
                <w:rFonts w:hint="default" w:eastAsia="宋体" w:asciiTheme="minorHAnsi" w:hAnsiTheme="minorHAnsi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4.20</w:t>
            </w:r>
          </w:p>
        </w:tc>
        <w:tc>
          <w:tcPr>
            <w:tcW w:w="1473" w:type="dxa"/>
            <w:vAlign w:val="top"/>
          </w:tcPr>
          <w:p>
            <w:pPr>
              <w:jc w:val="center"/>
              <w:rPr>
                <w:rFonts w:hint="default" w:eastAsia="宋体" w:asciiTheme="minorHAnsi" w:hAnsiTheme="minorHAnsi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4.20</w:t>
            </w:r>
          </w:p>
        </w:tc>
        <w:tc>
          <w:tcPr>
            <w:tcW w:w="2067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715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3" w:hRule="atLeast"/>
        </w:trPr>
        <w:tc>
          <w:tcPr>
            <w:tcW w:w="3930" w:type="dxa"/>
            <w:vAlign w:val="top"/>
          </w:tcPr>
          <w:p>
            <w:pPr>
              <w:widowControl/>
              <w:ind w:firstLine="900" w:firstLineChars="500"/>
              <w:jc w:val="left"/>
              <w:textAlignment w:val="center"/>
              <w:rPr>
                <w:rFonts w:ascii="宋体" w:hAnsi="宋体" w:eastAsiaTheme="minorEastAsia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（三）公务接待费支出</w:t>
            </w:r>
          </w:p>
        </w:tc>
        <w:tc>
          <w:tcPr>
            <w:tcW w:w="750" w:type="dxa"/>
            <w:vAlign w:val="top"/>
          </w:tcPr>
          <w:p>
            <w:pPr>
              <w:jc w:val="center"/>
              <w:rPr>
                <w:rFonts w:hint="default" w:eastAsia="宋体" w:asciiTheme="minorHAnsi" w:hAnsiTheme="minorHAnsi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3.40</w:t>
            </w:r>
          </w:p>
        </w:tc>
        <w:tc>
          <w:tcPr>
            <w:tcW w:w="1473" w:type="dxa"/>
            <w:vAlign w:val="top"/>
          </w:tcPr>
          <w:p>
            <w:pPr>
              <w:jc w:val="center"/>
              <w:rPr>
                <w:rFonts w:hint="default" w:eastAsia="宋体" w:asciiTheme="minorHAnsi" w:hAnsiTheme="minorHAnsi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3.40</w:t>
            </w:r>
          </w:p>
        </w:tc>
        <w:tc>
          <w:tcPr>
            <w:tcW w:w="2067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715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</w:tbl>
    <w:p>
      <w:pPr>
        <w:numPr>
          <w:numId w:val="0"/>
        </w:num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“三公”经费安排情况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:</w:t>
      </w:r>
      <w:bookmarkStart w:id="22" w:name="_GoBack"/>
      <w:bookmarkEnd w:id="22"/>
    </w:p>
    <w:p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</w:t>
      </w:r>
      <w:bookmarkStart w:id="1" w:name="PO_part3A2Year1"/>
      <w:r>
        <w:rPr>
          <w:rFonts w:ascii="仿宋_GB2312" w:hAnsi="仿宋_GB2312" w:eastAsia="仿宋_GB2312" w:cs="仿宋_GB2312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2022</w:t>
      </w:r>
      <w:r>
        <w:rPr>
          <w:rFonts w:ascii="仿宋_GB2312" w:hAnsi="仿宋_GB2312" w:eastAsia="仿宋_GB2312" w:cs="仿宋_GB2312"/>
          <w:sz w:val="11"/>
          <w:szCs w:val="11"/>
        </w:rPr>
        <w:t xml:space="preserve"> </w:t>
      </w:r>
      <w:bookmarkEnd w:id="1"/>
      <w:r>
        <w:rPr>
          <w:rFonts w:hint="eastAsia" w:ascii="仿宋_GB2312" w:hAnsi="仿宋_GB2312" w:eastAsia="仿宋_GB2312" w:cs="仿宋_GB2312"/>
          <w:sz w:val="30"/>
          <w:szCs w:val="30"/>
        </w:rPr>
        <w:t>年本部门财政拨款安排“三公”经费</w:t>
      </w:r>
      <w:bookmarkStart w:id="2" w:name="PO_part3A2Amount1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7.6</w:t>
      </w:r>
      <w:r>
        <w:rPr>
          <w:rFonts w:ascii="仿宋_GB2312" w:hAnsi="仿宋_GB2312" w:eastAsia="仿宋_GB2312" w:cs="仿宋_GB2312"/>
          <w:sz w:val="11"/>
          <w:szCs w:val="11"/>
        </w:rPr>
        <w:t xml:space="preserve"> </w:t>
      </w:r>
      <w:bookmarkEnd w:id="2"/>
      <w:r>
        <w:rPr>
          <w:rFonts w:hint="eastAsia" w:ascii="仿宋_GB2312" w:hAnsi="仿宋_GB2312" w:eastAsia="仿宋_GB2312" w:cs="仿宋_GB2312"/>
          <w:sz w:val="30"/>
          <w:szCs w:val="30"/>
        </w:rPr>
        <w:t>万元，比上年</w:t>
      </w:r>
      <w:bookmarkStart w:id="3" w:name="PO_part3A2IncAmount1"/>
      <w:r>
        <w:rPr>
          <w:rFonts w:hint="eastAsia" w:ascii="仿宋_GB2312" w:hAnsi="仿宋_GB2312" w:eastAsia="仿宋_GB2312" w:cs="仿宋_GB2312"/>
          <w:sz w:val="30"/>
          <w:szCs w:val="30"/>
        </w:rPr>
        <w:t>增加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0.00</w:t>
      </w:r>
      <w:r>
        <w:rPr>
          <w:rFonts w:ascii="仿宋_GB2312" w:hAnsi="仿宋_GB2312" w:eastAsia="仿宋_GB2312" w:cs="仿宋_GB2312"/>
          <w:sz w:val="11"/>
          <w:szCs w:val="11"/>
        </w:rPr>
        <w:t xml:space="preserve"> </w:t>
      </w:r>
      <w:bookmarkEnd w:id="3"/>
      <w:r>
        <w:rPr>
          <w:rFonts w:hint="eastAsia" w:ascii="仿宋_GB2312" w:hAnsi="仿宋_GB2312" w:eastAsia="仿宋_GB2312" w:cs="仿宋_GB2312"/>
          <w:sz w:val="30"/>
          <w:szCs w:val="30"/>
        </w:rPr>
        <w:t>万元，</w:t>
      </w:r>
      <w:bookmarkStart w:id="4" w:name="PO_part3A2IncPercent1"/>
      <w:r>
        <w:rPr>
          <w:rFonts w:hint="eastAsia" w:ascii="仿宋_GB2312" w:hAnsi="仿宋_GB2312" w:eastAsia="仿宋_GB2312" w:cs="仿宋_GB2312"/>
          <w:sz w:val="30"/>
          <w:szCs w:val="30"/>
        </w:rPr>
        <w:t>增长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0.00</w:t>
      </w:r>
      <w:r>
        <w:rPr>
          <w:rFonts w:ascii="仿宋_GB2312" w:hAnsi="仿宋_GB2312" w:eastAsia="仿宋_GB2312" w:cs="仿宋_GB2312"/>
          <w:sz w:val="11"/>
          <w:szCs w:val="11"/>
        </w:rPr>
        <w:t xml:space="preserve"> </w:t>
      </w:r>
      <w:bookmarkEnd w:id="4"/>
      <w:r>
        <w:rPr>
          <w:rFonts w:hint="eastAsia" w:ascii="仿宋_GB2312" w:hAnsi="仿宋_GB2312" w:eastAsia="仿宋_GB2312" w:cs="仿宋_GB2312"/>
          <w:sz w:val="30"/>
          <w:szCs w:val="30"/>
        </w:rPr>
        <w:t>%，主要原因是</w:t>
      </w:r>
      <w:bookmarkStart w:id="5" w:name="PO_part3A2IncReason1"/>
      <w:r>
        <w:rPr>
          <w:rFonts w:hint="eastAsia" w:ascii="仿宋_GB2312" w:hAnsi="仿宋_GB2312" w:eastAsia="仿宋_GB2312" w:cs="仿宋_GB2312"/>
          <w:sz w:val="30"/>
          <w:szCs w:val="30"/>
        </w:rPr>
        <w:t>与上年持平，无增减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变化</w:t>
      </w:r>
      <w:r>
        <w:rPr>
          <w:rFonts w:ascii="仿宋_GB2312" w:hAnsi="仿宋_GB2312" w:eastAsia="仿宋_GB2312" w:cs="仿宋_GB2312"/>
          <w:sz w:val="11"/>
          <w:szCs w:val="11"/>
        </w:rPr>
        <w:t xml:space="preserve"> </w:t>
      </w:r>
      <w:bookmarkEnd w:id="5"/>
      <w:r>
        <w:rPr>
          <w:rFonts w:hint="eastAsia" w:ascii="仿宋_GB2312" w:hAnsi="仿宋_GB2312" w:eastAsia="仿宋_GB2312" w:cs="仿宋_GB2312"/>
          <w:sz w:val="30"/>
          <w:szCs w:val="30"/>
        </w:rPr>
        <w:t>。其中：因公出国（境）费</w:t>
      </w:r>
      <w:bookmarkStart w:id="6" w:name="PO_part3A2Amount2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0.00</w:t>
      </w:r>
      <w:r>
        <w:rPr>
          <w:rFonts w:ascii="仿宋_GB2312" w:hAnsi="仿宋_GB2312" w:eastAsia="仿宋_GB2312" w:cs="仿宋_GB2312"/>
          <w:sz w:val="11"/>
          <w:szCs w:val="11"/>
        </w:rPr>
        <w:t xml:space="preserve"> </w:t>
      </w:r>
      <w:bookmarkEnd w:id="6"/>
      <w:r>
        <w:rPr>
          <w:rFonts w:hint="eastAsia" w:ascii="仿宋_GB2312" w:hAnsi="仿宋_GB2312" w:eastAsia="仿宋_GB2312" w:cs="仿宋_GB2312"/>
          <w:sz w:val="30"/>
          <w:szCs w:val="30"/>
        </w:rPr>
        <w:t>万元，比上年</w:t>
      </w:r>
      <w:bookmarkStart w:id="7" w:name="PO_part3A2IncAmount2"/>
      <w:r>
        <w:rPr>
          <w:rFonts w:hint="eastAsia" w:ascii="仿宋_GB2312" w:hAnsi="仿宋_GB2312" w:eastAsia="仿宋_GB2312" w:cs="仿宋_GB2312"/>
          <w:sz w:val="30"/>
          <w:szCs w:val="30"/>
        </w:rPr>
        <w:t>增加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0.00</w:t>
      </w:r>
      <w:r>
        <w:rPr>
          <w:rFonts w:ascii="仿宋_GB2312" w:hAnsi="仿宋_GB2312" w:eastAsia="仿宋_GB2312" w:cs="仿宋_GB2312"/>
          <w:sz w:val="11"/>
          <w:szCs w:val="11"/>
        </w:rPr>
        <w:t xml:space="preserve"> </w:t>
      </w:r>
      <w:bookmarkEnd w:id="7"/>
      <w:r>
        <w:rPr>
          <w:rFonts w:hint="eastAsia" w:ascii="仿宋_GB2312" w:hAnsi="仿宋_GB2312" w:eastAsia="仿宋_GB2312" w:cs="仿宋_GB2312"/>
          <w:sz w:val="30"/>
          <w:szCs w:val="30"/>
        </w:rPr>
        <w:t>万元，</w:t>
      </w:r>
      <w:bookmarkStart w:id="8" w:name="PO_part3A2IncPercent2"/>
      <w:r>
        <w:rPr>
          <w:rFonts w:hint="eastAsia" w:ascii="仿宋_GB2312" w:hAnsi="仿宋_GB2312" w:eastAsia="仿宋_GB2312" w:cs="仿宋_GB2312"/>
          <w:sz w:val="30"/>
          <w:szCs w:val="30"/>
        </w:rPr>
        <w:t>增长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0.00</w:t>
      </w:r>
      <w:r>
        <w:rPr>
          <w:rFonts w:ascii="仿宋_GB2312" w:hAnsi="仿宋_GB2312" w:eastAsia="仿宋_GB2312" w:cs="仿宋_GB2312"/>
          <w:sz w:val="11"/>
          <w:szCs w:val="11"/>
        </w:rPr>
        <w:t xml:space="preserve"> </w:t>
      </w:r>
      <w:bookmarkEnd w:id="8"/>
      <w:r>
        <w:rPr>
          <w:rFonts w:hint="eastAsia" w:ascii="仿宋_GB2312" w:hAnsi="仿宋_GB2312" w:eastAsia="仿宋_GB2312" w:cs="仿宋_GB2312"/>
          <w:sz w:val="30"/>
          <w:szCs w:val="30"/>
        </w:rPr>
        <w:t>%，主要原因是</w:t>
      </w:r>
      <w:bookmarkStart w:id="9" w:name="PO_part3A2IncReason2"/>
      <w:r>
        <w:rPr>
          <w:rFonts w:hint="eastAsia" w:ascii="仿宋_GB2312" w:hAnsi="仿宋_GB2312" w:eastAsia="仿宋_GB2312" w:cs="仿宋_GB2312"/>
          <w:sz w:val="30"/>
          <w:szCs w:val="30"/>
        </w:rPr>
        <w:t>与上年持平，无增减变化</w:t>
      </w:r>
      <w:r>
        <w:rPr>
          <w:rFonts w:hint="eastAsia" w:ascii="仿宋_GB2312" w:hAnsi="仿宋_GB2312" w:eastAsia="仿宋_GB2312" w:cs="仿宋_GB2312"/>
          <w:sz w:val="11"/>
          <w:szCs w:val="11"/>
        </w:rPr>
        <w:t xml:space="preserve"> </w:t>
      </w:r>
      <w:bookmarkEnd w:id="9"/>
      <w:r>
        <w:rPr>
          <w:rFonts w:hint="eastAsia" w:ascii="仿宋_GB2312" w:hAnsi="仿宋_GB2312" w:eastAsia="仿宋_GB2312" w:cs="仿宋_GB2312"/>
          <w:sz w:val="30"/>
          <w:szCs w:val="30"/>
        </w:rPr>
        <w:t>；公务用车购置及运行费</w:t>
      </w:r>
      <w:bookmarkStart w:id="10" w:name="PO_part3A2Amount3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4.20</w:t>
      </w:r>
      <w:r>
        <w:rPr>
          <w:rFonts w:ascii="仿宋_GB2312" w:hAnsi="仿宋_GB2312" w:eastAsia="仿宋_GB2312" w:cs="仿宋_GB2312"/>
          <w:sz w:val="11"/>
          <w:szCs w:val="11"/>
        </w:rPr>
        <w:t xml:space="preserve"> </w:t>
      </w:r>
      <w:bookmarkEnd w:id="10"/>
      <w:r>
        <w:rPr>
          <w:rFonts w:hint="eastAsia" w:ascii="仿宋_GB2312" w:hAnsi="仿宋_GB2312" w:eastAsia="仿宋_GB2312" w:cs="仿宋_GB2312"/>
          <w:sz w:val="30"/>
          <w:szCs w:val="30"/>
        </w:rPr>
        <w:t>万元（公务用车购置费</w:t>
      </w:r>
      <w:bookmarkStart w:id="11" w:name="PO_part3A2Amount4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0.00</w:t>
      </w:r>
      <w:r>
        <w:rPr>
          <w:rFonts w:ascii="仿宋_GB2312" w:hAnsi="仿宋_GB2312" w:eastAsia="仿宋_GB2312" w:cs="仿宋_GB2312"/>
          <w:sz w:val="11"/>
          <w:szCs w:val="11"/>
        </w:rPr>
        <w:t xml:space="preserve"> </w:t>
      </w:r>
      <w:bookmarkEnd w:id="11"/>
      <w:r>
        <w:rPr>
          <w:rFonts w:hint="eastAsia" w:ascii="仿宋_GB2312" w:hAnsi="仿宋_GB2312" w:eastAsia="仿宋_GB2312" w:cs="仿宋_GB2312"/>
          <w:sz w:val="30"/>
          <w:szCs w:val="30"/>
        </w:rPr>
        <w:t>万元，比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上年</w:t>
      </w:r>
      <w:bookmarkStart w:id="12" w:name="PO_part3A2IncAmount5"/>
      <w:r>
        <w:rPr>
          <w:rFonts w:hint="eastAsia" w:ascii="仿宋_GB2312" w:hAnsi="仿宋_GB2312" w:eastAsia="仿宋_GB2312" w:cs="仿宋_GB2312"/>
          <w:sz w:val="30"/>
          <w:szCs w:val="30"/>
        </w:rPr>
        <w:t>增加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0.00</w:t>
      </w:r>
      <w:r>
        <w:rPr>
          <w:rFonts w:hint="eastAsia" w:ascii="仿宋_GB2312" w:hAnsi="仿宋_GB2312" w:eastAsia="仿宋_GB2312" w:cs="仿宋_GB2312"/>
          <w:sz w:val="11"/>
          <w:szCs w:val="11"/>
        </w:rPr>
        <w:t xml:space="preserve"> </w:t>
      </w:r>
      <w:bookmarkEnd w:id="12"/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万元</w:t>
      </w:r>
      <w:r>
        <w:rPr>
          <w:rFonts w:hint="eastAsia" w:ascii="仿宋_GB2312" w:hAnsi="宋体" w:eastAsia="仿宋_GB2312" w:cs="宋体"/>
          <w:sz w:val="32"/>
          <w:szCs w:val="32"/>
          <w:highlight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0"/>
          <w:szCs w:val="30"/>
        </w:rPr>
        <w:t>公务用车运行维护费</w:t>
      </w:r>
      <w:bookmarkStart w:id="13" w:name="PO_part3A2Amount5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4.20</w:t>
      </w:r>
      <w:r>
        <w:rPr>
          <w:rFonts w:ascii="仿宋_GB2312" w:hAnsi="仿宋_GB2312" w:eastAsia="仿宋_GB2312" w:cs="仿宋_GB2312"/>
          <w:sz w:val="11"/>
          <w:szCs w:val="11"/>
        </w:rPr>
        <w:t xml:space="preserve"> </w:t>
      </w:r>
      <w:bookmarkEnd w:id="13"/>
      <w:r>
        <w:rPr>
          <w:rFonts w:hint="eastAsia" w:ascii="仿宋_GB2312" w:hAnsi="仿宋_GB2312" w:eastAsia="仿宋_GB2312" w:cs="仿宋_GB2312"/>
          <w:sz w:val="30"/>
          <w:szCs w:val="30"/>
        </w:rPr>
        <w:t>万元，比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上年</w:t>
      </w:r>
      <w:bookmarkStart w:id="14" w:name="PO_part3A2IncAmount6"/>
      <w:r>
        <w:rPr>
          <w:rFonts w:hint="eastAsia" w:ascii="仿宋_GB2312" w:hAnsi="仿宋_GB2312" w:eastAsia="仿宋_GB2312" w:cs="仿宋_GB2312"/>
          <w:sz w:val="30"/>
          <w:szCs w:val="30"/>
        </w:rPr>
        <w:t>增加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0.00</w:t>
      </w:r>
      <w:r>
        <w:rPr>
          <w:rFonts w:hint="eastAsia" w:ascii="仿宋_GB2312" w:hAnsi="仿宋_GB2312" w:eastAsia="仿宋_GB2312" w:cs="仿宋_GB2312"/>
          <w:sz w:val="11"/>
          <w:szCs w:val="11"/>
        </w:rPr>
        <w:t xml:space="preserve"> </w:t>
      </w:r>
      <w:bookmarkEnd w:id="14"/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万元。）</w:t>
      </w:r>
      <w:r>
        <w:rPr>
          <w:rFonts w:hint="eastAsia" w:ascii="仿宋_GB2312" w:hAnsi="仿宋_GB2312" w:eastAsia="仿宋_GB2312" w:cs="仿宋_GB2312"/>
          <w:sz w:val="30"/>
          <w:szCs w:val="30"/>
        </w:rPr>
        <w:t>比上年</w:t>
      </w:r>
      <w:bookmarkStart w:id="15" w:name="PO_part3A2IncAmount3"/>
      <w:r>
        <w:rPr>
          <w:rFonts w:hint="eastAsia" w:ascii="仿宋_GB2312" w:hAnsi="仿宋_GB2312" w:eastAsia="仿宋_GB2312" w:cs="仿宋_GB2312"/>
          <w:sz w:val="30"/>
          <w:szCs w:val="30"/>
        </w:rPr>
        <w:t>增加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0.00</w:t>
      </w:r>
      <w:r>
        <w:rPr>
          <w:rFonts w:ascii="仿宋_GB2312" w:hAnsi="仿宋_GB2312" w:eastAsia="仿宋_GB2312" w:cs="仿宋_GB2312"/>
          <w:sz w:val="11"/>
          <w:szCs w:val="11"/>
        </w:rPr>
        <w:t xml:space="preserve"> </w:t>
      </w:r>
      <w:bookmarkEnd w:id="15"/>
      <w:r>
        <w:rPr>
          <w:rFonts w:hint="eastAsia" w:ascii="仿宋_GB2312" w:hAnsi="仿宋_GB2312" w:eastAsia="仿宋_GB2312" w:cs="仿宋_GB2312"/>
          <w:sz w:val="30"/>
          <w:szCs w:val="30"/>
        </w:rPr>
        <w:t>万元，</w:t>
      </w:r>
      <w:bookmarkStart w:id="16" w:name="PO_part3A2IncPercent3"/>
      <w:r>
        <w:rPr>
          <w:rFonts w:hint="eastAsia" w:ascii="仿宋_GB2312" w:hAnsi="仿宋_GB2312" w:eastAsia="仿宋_GB2312" w:cs="仿宋_GB2312"/>
          <w:sz w:val="30"/>
          <w:szCs w:val="30"/>
        </w:rPr>
        <w:t>增长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0.00</w:t>
      </w:r>
      <w:r>
        <w:rPr>
          <w:rFonts w:ascii="仿宋_GB2312" w:hAnsi="仿宋_GB2312" w:eastAsia="仿宋_GB2312" w:cs="仿宋_GB2312"/>
          <w:sz w:val="11"/>
          <w:szCs w:val="11"/>
        </w:rPr>
        <w:t xml:space="preserve"> </w:t>
      </w:r>
      <w:bookmarkEnd w:id="16"/>
      <w:r>
        <w:rPr>
          <w:rFonts w:hint="eastAsia" w:ascii="仿宋_GB2312" w:hAnsi="仿宋_GB2312" w:eastAsia="仿宋_GB2312" w:cs="仿宋_GB2312"/>
          <w:sz w:val="30"/>
          <w:szCs w:val="30"/>
        </w:rPr>
        <w:t>%，主要原因是</w:t>
      </w:r>
      <w:bookmarkStart w:id="17" w:name="PO_part3A2IncReason3"/>
      <w:r>
        <w:rPr>
          <w:rFonts w:hint="eastAsia" w:ascii="仿宋_GB2312" w:hAnsi="仿宋_GB2312" w:eastAsia="仿宋_GB2312" w:cs="仿宋_GB2312"/>
          <w:sz w:val="30"/>
          <w:szCs w:val="30"/>
        </w:rPr>
        <w:t>与上年持平，无增减变化</w:t>
      </w:r>
      <w:r>
        <w:rPr>
          <w:rFonts w:hint="eastAsia" w:ascii="仿宋_GB2312" w:hAnsi="仿宋_GB2312" w:eastAsia="仿宋_GB2312" w:cs="仿宋_GB2312"/>
          <w:sz w:val="11"/>
          <w:szCs w:val="11"/>
        </w:rPr>
        <w:t xml:space="preserve"> </w:t>
      </w:r>
      <w:bookmarkEnd w:id="17"/>
      <w:r>
        <w:rPr>
          <w:rFonts w:hint="eastAsia" w:ascii="仿宋_GB2312" w:hAnsi="仿宋_GB2312" w:eastAsia="仿宋_GB2312" w:cs="仿宋_GB2312"/>
          <w:sz w:val="30"/>
          <w:szCs w:val="30"/>
        </w:rPr>
        <w:t>；公务接待费</w:t>
      </w:r>
      <w:bookmarkStart w:id="18" w:name="PO_part3A2Amount6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3.40</w:t>
      </w:r>
      <w:r>
        <w:rPr>
          <w:rFonts w:ascii="仿宋_GB2312" w:hAnsi="仿宋_GB2312" w:eastAsia="仿宋_GB2312" w:cs="仿宋_GB2312"/>
          <w:sz w:val="11"/>
          <w:szCs w:val="11"/>
        </w:rPr>
        <w:t xml:space="preserve"> </w:t>
      </w:r>
      <w:bookmarkEnd w:id="18"/>
      <w:r>
        <w:rPr>
          <w:rFonts w:hint="eastAsia" w:ascii="仿宋_GB2312" w:hAnsi="仿宋_GB2312" w:eastAsia="仿宋_GB2312" w:cs="仿宋_GB2312"/>
          <w:sz w:val="30"/>
          <w:szCs w:val="30"/>
        </w:rPr>
        <w:t>万元，比上年</w:t>
      </w:r>
      <w:bookmarkStart w:id="19" w:name="PO_part3A2IncAmount4"/>
      <w:r>
        <w:rPr>
          <w:rFonts w:hint="eastAsia" w:ascii="仿宋_GB2312" w:hAnsi="仿宋_GB2312" w:eastAsia="仿宋_GB2312" w:cs="仿宋_GB2312"/>
          <w:sz w:val="30"/>
          <w:szCs w:val="30"/>
        </w:rPr>
        <w:t>增加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0.00</w:t>
      </w:r>
      <w:r>
        <w:rPr>
          <w:rFonts w:ascii="仿宋_GB2312" w:hAnsi="仿宋_GB2312" w:eastAsia="仿宋_GB2312" w:cs="仿宋_GB2312"/>
          <w:sz w:val="11"/>
          <w:szCs w:val="11"/>
        </w:rPr>
        <w:t xml:space="preserve"> </w:t>
      </w:r>
      <w:bookmarkEnd w:id="19"/>
      <w:r>
        <w:rPr>
          <w:rFonts w:hint="eastAsia" w:ascii="仿宋_GB2312" w:hAnsi="仿宋_GB2312" w:eastAsia="仿宋_GB2312" w:cs="仿宋_GB2312"/>
          <w:sz w:val="30"/>
          <w:szCs w:val="30"/>
        </w:rPr>
        <w:t>万元，</w:t>
      </w:r>
      <w:bookmarkStart w:id="20" w:name="PO_part3A2IncPercent4"/>
      <w:r>
        <w:rPr>
          <w:rFonts w:hint="eastAsia" w:ascii="仿宋_GB2312" w:hAnsi="仿宋_GB2312" w:eastAsia="仿宋_GB2312" w:cs="仿宋_GB2312"/>
          <w:sz w:val="30"/>
          <w:szCs w:val="30"/>
        </w:rPr>
        <w:t>增长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0.00</w:t>
      </w:r>
      <w:r>
        <w:rPr>
          <w:rFonts w:ascii="仿宋_GB2312" w:hAnsi="仿宋_GB2312" w:eastAsia="仿宋_GB2312" w:cs="仿宋_GB2312"/>
          <w:sz w:val="11"/>
          <w:szCs w:val="11"/>
        </w:rPr>
        <w:t xml:space="preserve"> </w:t>
      </w:r>
      <w:bookmarkEnd w:id="20"/>
      <w:r>
        <w:rPr>
          <w:rFonts w:hint="eastAsia" w:ascii="仿宋_GB2312" w:hAnsi="仿宋_GB2312" w:eastAsia="仿宋_GB2312" w:cs="仿宋_GB2312"/>
          <w:sz w:val="30"/>
          <w:szCs w:val="30"/>
        </w:rPr>
        <w:t>%，主要原因是</w:t>
      </w:r>
      <w:bookmarkStart w:id="21" w:name="PO_part3A2IncReason4"/>
      <w:r>
        <w:rPr>
          <w:rFonts w:hint="eastAsia" w:ascii="仿宋_GB2312" w:hAnsi="仿宋_GB2312" w:eastAsia="仿宋_GB2312" w:cs="仿宋_GB2312"/>
          <w:sz w:val="30"/>
          <w:szCs w:val="30"/>
        </w:rPr>
        <w:t>与上年持平，无增减变化</w:t>
      </w:r>
      <w:r>
        <w:rPr>
          <w:rFonts w:hint="eastAsia" w:ascii="仿宋_GB2312" w:hAnsi="仿宋_GB2312" w:eastAsia="仿宋_GB2312" w:cs="仿宋_GB2312"/>
          <w:sz w:val="11"/>
          <w:szCs w:val="11"/>
        </w:rPr>
        <w:t xml:space="preserve"> </w:t>
      </w:r>
      <w:bookmarkEnd w:id="21"/>
      <w:r>
        <w:rPr>
          <w:rFonts w:hint="eastAsia" w:ascii="仿宋_GB2312" w:hAnsi="仿宋_GB2312" w:eastAsia="仿宋_GB2312" w:cs="仿宋_GB2312"/>
          <w:sz w:val="30"/>
          <w:szCs w:val="30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4YTk1NWVlYzY5Njk1YTk5Y2ExZGY0YjVhMTRiZWUifQ=="/>
  </w:docVars>
  <w:rsids>
    <w:rsidRoot w:val="00172A27"/>
    <w:rsid w:val="06693D01"/>
    <w:rsid w:val="07293490"/>
    <w:rsid w:val="163A546F"/>
    <w:rsid w:val="181B72DB"/>
    <w:rsid w:val="1C0D37E4"/>
    <w:rsid w:val="1F095C2A"/>
    <w:rsid w:val="237A70F6"/>
    <w:rsid w:val="2E3D22F6"/>
    <w:rsid w:val="6D747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399</Words>
  <Characters>537</Characters>
  <Lines>0</Lines>
  <Paragraphs>0</Paragraphs>
  <TotalTime>2</TotalTime>
  <ScaleCrop>false</ScaleCrop>
  <LinksUpToDate>false</LinksUpToDate>
  <CharactersWithSpaces>662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2022-05-07T07:17:00Z</dcterms:created>
  <dc:creator>Administrator</dc:creator>
  <cp:lastModifiedBy>Administrator</cp:lastModifiedBy>
  <dcterms:modified xsi:type="dcterms:W3CDTF">2022-05-07T07:53:38Z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78B16EB90FBE4B8AA2449FC4A0ABCBCF</vt:lpwstr>
  </property>
</Properties>
</file>