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85"/>
        </w:tabs>
        <w:spacing w:line="600" w:lineRule="exact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徐环建〔202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6"/>
          <w:szCs w:val="36"/>
        </w:rPr>
        <w:t>〕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36"/>
          <w:szCs w:val="36"/>
        </w:rPr>
        <w:t>号               签发人：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郑振韧</w:t>
      </w:r>
    </w:p>
    <w:p>
      <w:pPr>
        <w:spacing w:line="360" w:lineRule="auto"/>
        <w:rPr>
          <w:rFonts w:hint="eastAsia" w:ascii="宋体" w:hAnsi="宋体" w:eastAsia="宋体" w:cs="宋体"/>
          <w:sz w:val="36"/>
          <w:szCs w:val="36"/>
        </w:rPr>
      </w:pPr>
    </w:p>
    <w:p>
      <w:pPr>
        <w:ind w:left="418" w:leftChars="199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vertAlign w:val="baseline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湛江徐闻新寮农场风电场（风机机组）项目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vertAlign w:val="baseline"/>
          <w:lang w:eastAsia="zh-CN"/>
          <w14:textFill>
            <w14:solidFill>
              <w14:schemeClr w14:val="tx1"/>
            </w14:solidFill>
          </w14:textFill>
        </w:rPr>
        <w:t>环境影响报告表的批复</w:t>
      </w:r>
    </w:p>
    <w:p>
      <w:pPr>
        <w:ind w:left="418" w:leftChars="199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36"/>
          <w:szCs w:val="36"/>
          <w:vertAlign w:val="baseline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36"/>
          <w:szCs w:val="36"/>
          <w:shd w:val="clear" w:fill="FFFFFF"/>
        </w:rPr>
        <w:t>徐闻华丰岭风力发电有限公司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ind w:firstLine="480" w:firstLineChars="15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你单位报送的《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湛江徐闻新寮农场风电场（风机机组）项目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环境影响报告表》收悉，根据建设项目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环境管理有关文件规定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研究决定，批复如下：</w:t>
      </w:r>
    </w:p>
    <w:p>
      <w:pPr>
        <w:numPr>
          <w:ilvl w:val="0"/>
          <w:numId w:val="1"/>
        </w:numPr>
        <w:ind w:firstLine="480" w:firstLineChars="150"/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eastAsia="zh-CN"/>
        </w:rPr>
        <w:t>该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项目位于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广东省徐闻县新寮镇风桥农场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，场址区域呈长条形分布，东西长约5km，南北宽约2.8km， 场址区域面积约9k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m</w:t>
      </w:r>
      <w:r>
        <w:rPr>
          <w:rFonts w:hint="eastAsia" w:ascii="宋体" w:hAnsi="宋体" w:eastAsia="宋体" w:cs="宋体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，地面海拔高程介于30m～75m。场址中心坐标：N20°36′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8.1184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″，E110°2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′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22.1005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″；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项目建设主要工程为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新建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座</w:t>
      </w:r>
      <w:r>
        <w:rPr>
          <w:rFonts w:hint="eastAsia" w:ascii="宋体" w:hAnsi="宋体" w:eastAsia="宋体" w:cs="宋体"/>
          <w:color w:val="auto"/>
          <w:spacing w:val="-8"/>
          <w:sz w:val="32"/>
          <w:szCs w:val="32"/>
        </w:rPr>
        <w:t>单机容量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MW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的风机，装机容量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MW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，不包括升压站工程，后期配套建设一座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110kv升压站。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总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95000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环保投资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480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根据报告表的评价结论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在全面落实报告表提出的各项污染防治及环境风险防范措施</w:t>
      </w:r>
      <w:r>
        <w:rPr>
          <w:rFonts w:hint="eastAsia" w:ascii="宋体" w:hAnsi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该项目可以满足生态环境保护相关法律法规和标准的要求。同意批准该环境影响报告表。</w:t>
      </w:r>
    </w:p>
    <w:p>
      <w:pPr>
        <w:numPr>
          <w:ilvl w:val="0"/>
          <w:numId w:val="0"/>
        </w:numPr>
        <w:rPr>
          <w:rFonts w:hint="eastAsia" w:ascii="宋体" w:hAnsi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二、严格执行环保“三同时”管理制度，项目的环境保护设施必须与主体工程同时设计、同时施工、同时投产使用。</w:t>
      </w:r>
    </w:p>
    <w:p>
      <w:pPr>
        <w:ind w:firstLine="480" w:firstLineChars="15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三、加强日常环境监管，要求项目主要污染防治措施如下： </w:t>
      </w:r>
    </w:p>
    <w:p>
      <w:pPr>
        <w:ind w:firstLine="480" w:firstLineChars="150"/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</w:pP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废水污染治理：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施工营地修建防渗旱厕，生活污水同粪便一并定期清掏，回用于周边农田和林地灌溉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15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、噪声污染治理：声环境污染防治应按环评文件要求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，严格风机机位布设</w:t>
      </w:r>
      <w:r>
        <w:rPr>
          <w:rFonts w:hint="eastAsia" w:ascii="宋体" w:hAnsi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选用低噪设备，采取减振措施；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加强管理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边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界噪声值必须满足《工业企业环境噪声排放标准》（GB12348-2008）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类标准。</w:t>
      </w:r>
    </w:p>
    <w:p>
      <w:pPr>
        <w:ind w:firstLine="480" w:firstLineChars="15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、废气治理：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各类大气污染物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必须按环评文件的要求建设污染防治设施使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其达标排放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150"/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、固废污染治理：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建筑垃圾、弃渣运至指定受纳场所处置；生活垃圾按当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2"/>
          <w:szCs w:val="32"/>
        </w:rPr>
        <w:t>地有关规定由环卫部门进行处置；安装过程损坏的材料由原厂回收利用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运行期风机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废润滑油属于危险废物，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须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按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《</w:t>
      </w:r>
      <w:r>
        <w:rPr>
          <w:rFonts w:ascii="Times New Roman" w:hAnsi="Times New Roman" w:eastAsia="宋体" w:cs="Times New Roman"/>
          <w:color w:val="auto"/>
          <w:sz w:val="32"/>
          <w:szCs w:val="32"/>
        </w:rPr>
        <w:t>危险废物贮存污染控制标准》(GB18597—2001)及2013年修改单中相关要求</w:t>
      </w:r>
      <w:r>
        <w:rPr>
          <w:rFonts w:hint="eastAsia" w:cs="Times New Roman"/>
          <w:color w:val="auto"/>
          <w:sz w:val="32"/>
          <w:szCs w:val="32"/>
          <w:lang w:eastAsia="zh-CN"/>
        </w:rPr>
        <w:t>暂存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并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交由有</w:t>
      </w:r>
      <w:r>
        <w:rPr>
          <w:rFonts w:hint="eastAsia" w:ascii="宋体" w:hAnsi="宋体" w:cs="宋体"/>
          <w:color w:val="auto"/>
          <w:sz w:val="32"/>
          <w:szCs w:val="32"/>
          <w:lang w:eastAsia="zh-CN"/>
        </w:rPr>
        <w:t>相应危</w:t>
      </w:r>
      <w:r>
        <w:rPr>
          <w:rFonts w:hint="eastAsia" w:ascii="宋体" w:hAnsi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险废物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资质单位处理。</w:t>
      </w:r>
    </w:p>
    <w:p>
      <w:pPr>
        <w:ind w:firstLine="480" w:firstLineChars="150"/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严格风机机位布设，做好施工期环境保护工作，优化施工工艺，尽可能减少施工开挖面积，减少植被破坏，做好水土保持和生态恢复工作，防止对周围生态环境造成影响。</w:t>
      </w:r>
    </w:p>
    <w:p>
      <w:pPr>
        <w:ind w:firstLine="480" w:firstLineChars="15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四、项目竣工必须办理环保验收手续合格后才能正式运营。</w:t>
      </w:r>
    </w:p>
    <w:p>
      <w:pPr>
        <w:ind w:firstLine="480" w:firstLineChars="150"/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、项目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须按有关规定征得自然资源及其他相关部门同意后方可开工建设。</w:t>
      </w:r>
    </w:p>
    <w:p>
      <w:pPr>
        <w:adjustRightInd w:val="0"/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ind w:left="4640" w:hanging="4640" w:hangingChars="145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</w:t>
      </w:r>
    </w:p>
    <w:p>
      <w:pPr>
        <w:ind w:left="4640" w:hanging="4640" w:hangingChars="145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月2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80E9C"/>
    <w:multiLevelType w:val="singleLevel"/>
    <w:tmpl w:val="6E180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655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陈谊恩</cp:lastModifiedBy>
  <dcterms:modified xsi:type="dcterms:W3CDTF">2022-04-18T00:52:07Z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5F8517051F49443EB7C046E303BB675F</vt:lpwstr>
  </property>
</Properties>
</file>