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 xml:space="preserve">  </w:t>
      </w:r>
    </w:p>
    <w:p>
      <w:pPr>
        <w:jc w:val="center"/>
        <w:rPr>
          <w:rFonts w:hint="eastAsia" w:ascii="仿宋_GB2312" w:hAnsi="宋体" w:eastAsia="仿宋_GB2312" w:cs="宋体"/>
          <w:b/>
          <w:sz w:val="44"/>
          <w:szCs w:val="44"/>
          <w:lang w:val="en-US" w:eastAsia="zh-CN"/>
        </w:rPr>
      </w:pPr>
      <w:r>
        <w:rPr>
          <w:rFonts w:hint="eastAsia" w:ascii="宋体" w:hAnsi="宋体" w:eastAsia="宋体" w:cs="宋体"/>
          <w:b/>
          <w:bCs/>
          <w:kern w:val="0"/>
          <w:sz w:val="24"/>
          <w:szCs w:val="24"/>
          <w:lang w:val="en-US" w:eastAsia="zh-CN" w:bidi="ar"/>
        </w:rPr>
        <w:t xml:space="preserve"> </w:t>
      </w:r>
      <w:r>
        <w:rPr>
          <w:rFonts w:hint="eastAsia" w:ascii="仿宋_GB2312" w:hAnsi="宋体" w:eastAsia="仿宋_GB2312" w:cs="宋体"/>
          <w:b/>
          <w:sz w:val="44"/>
          <w:szCs w:val="44"/>
          <w:lang w:val="en-US" w:eastAsia="zh-CN"/>
        </w:rPr>
        <w:t xml:space="preserve"> 2025年</w:t>
      </w:r>
      <w:r>
        <w:rPr>
          <w:rFonts w:hint="eastAsia" w:ascii="仿宋_GB2312" w:hAnsi="宋体" w:eastAsia="仿宋_GB2312" w:cs="宋体"/>
          <w:b/>
          <w:color w:val="auto"/>
          <w:sz w:val="44"/>
          <w:szCs w:val="44"/>
          <w:lang w:val="en-US" w:eastAsia="zh-CN"/>
        </w:rPr>
        <w:t>徐闻县中医医院</w:t>
      </w:r>
      <w:r>
        <w:rPr>
          <w:rFonts w:hint="eastAsia" w:ascii="仿宋_GB2312" w:hAnsi="宋体" w:eastAsia="仿宋_GB2312" w:cs="宋体"/>
          <w:b/>
          <w:sz w:val="44"/>
          <w:szCs w:val="44"/>
          <w:lang w:val="en-US" w:eastAsia="zh-CN"/>
        </w:rPr>
        <w:t>“三公</w:t>
      </w:r>
      <w:r>
        <w:rPr>
          <w:rFonts w:hint="default" w:ascii="仿宋_GB2312" w:hAnsi="宋体" w:eastAsia="仿宋_GB2312" w:cs="宋体"/>
          <w:b/>
          <w:sz w:val="44"/>
          <w:szCs w:val="44"/>
          <w:lang w:val="en-US" w:eastAsia="zh-CN"/>
        </w:rPr>
        <w:t>”</w:t>
      </w:r>
      <w:r>
        <w:rPr>
          <w:rFonts w:hint="eastAsia" w:ascii="仿宋_GB2312" w:hAnsi="宋体" w:eastAsia="仿宋_GB2312" w:cs="宋体"/>
          <w:b/>
          <w:sz w:val="44"/>
          <w:szCs w:val="44"/>
          <w:lang w:val="en-US" w:eastAsia="zh-CN"/>
        </w:rPr>
        <w:t>经费决算公开</w:t>
      </w:r>
    </w:p>
    <w:p>
      <w:pPr>
        <w:jc w:val="center"/>
        <w:rPr>
          <w:rFonts w:hint="eastAsia" w:ascii="仿宋_GB2312" w:hAnsi="宋体" w:eastAsia="仿宋_GB2312" w:cs="宋体"/>
          <w:b/>
          <w:sz w:val="44"/>
          <w:szCs w:val="44"/>
          <w:lang w:val="en-US" w:eastAsia="zh-CN"/>
        </w:rPr>
      </w:pPr>
    </w:p>
    <w:p>
      <w:pPr>
        <w:jc w:val="center"/>
        <w:rPr>
          <w:rFonts w:hint="eastAsia" w:ascii="仿宋_GB2312" w:hAnsi="宋体" w:eastAsia="仿宋_GB2312" w:cs="宋体"/>
          <w:b/>
          <w:sz w:val="44"/>
          <w:szCs w:val="44"/>
          <w:lang w:val="en-US" w:eastAsia="zh-CN"/>
        </w:rPr>
      </w:pPr>
    </w:p>
    <w:tbl>
      <w:tblPr>
        <w:tblStyle w:val="3"/>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3"/>
        <w:gridCol w:w="1182"/>
        <w:gridCol w:w="1182"/>
        <w:gridCol w:w="1182"/>
        <w:gridCol w:w="1182"/>
        <w:gridCol w:w="1182"/>
        <w:gridCol w:w="1182"/>
        <w:gridCol w:w="1182"/>
        <w:gridCol w:w="1182"/>
        <w:gridCol w:w="1182"/>
        <w:gridCol w:w="1182"/>
        <w:gridCol w:w="11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0" w:hRule="atLeast"/>
        </w:trPr>
        <w:tc>
          <w:tcPr>
            <w:tcW w:w="14174" w:type="dxa"/>
            <w:gridSpan w:val="12"/>
            <w:tcBorders>
              <w:top w:val="nil"/>
              <w:left w:val="nil"/>
              <w:bottom w:val="nil"/>
              <w:right w:val="nil"/>
            </w:tcBorders>
            <w:noWrap w:val="0"/>
            <w:vAlign w:val="center"/>
          </w:tcPr>
          <w:p>
            <w:pPr>
              <w:jc w:val="right"/>
              <w:rPr>
                <w:rFonts w:hint="eastAsia" w:ascii="宋体" w:hAnsi="宋体" w:cs="宋体"/>
              </w:rPr>
            </w:pPr>
            <w:r>
              <w:rPr>
                <w:rFonts w:hint="eastAsia" w:ascii="宋体" w:hAnsi="宋体" w:cs="宋体"/>
                <w:kern w:val="0"/>
                <w:sz w:val="20"/>
                <w:szCs w:val="20"/>
              </w:rPr>
              <w:t>表9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0" w:hRule="atLeast"/>
        </w:trPr>
        <w:tc>
          <w:tcPr>
            <w:tcW w:w="14174" w:type="dxa"/>
            <w:gridSpan w:val="12"/>
            <w:tcBorders>
              <w:top w:val="nil"/>
              <w:left w:val="nil"/>
              <w:bottom w:val="nil"/>
              <w:right w:val="nil"/>
            </w:tcBorders>
            <w:noWrap w:val="0"/>
            <w:vAlign w:val="top"/>
          </w:tcPr>
          <w:p>
            <w:pPr>
              <w:jc w:val="center"/>
              <w:rPr>
                <w:rFonts w:hint="eastAsia" w:ascii="宋体" w:hAnsi="宋体" w:cs="宋体"/>
                <w:b/>
              </w:rPr>
            </w:pPr>
            <w:r>
              <w:rPr>
                <w:rFonts w:hint="eastAsia" w:ascii="宋体" w:hAnsi="宋体" w:cs="宋体"/>
                <w:b/>
                <w:kern w:val="0"/>
                <w:sz w:val="32"/>
                <w:szCs w:val="32"/>
              </w:rPr>
              <w:t>财政拨款“三公”经费支出决算表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0" w:hRule="atLeast"/>
        </w:trPr>
        <w:tc>
          <w:tcPr>
            <w:tcW w:w="10639" w:type="dxa"/>
            <w:gridSpan w:val="9"/>
            <w:tcBorders>
              <w:top w:val="nil"/>
              <w:left w:val="nil"/>
              <w:bottom w:val="single" w:color="auto" w:sz="4" w:space="0"/>
              <w:right w:val="nil"/>
            </w:tcBorders>
            <w:noWrap w:val="0"/>
            <w:vAlign w:val="center"/>
          </w:tcPr>
          <w:p>
            <w:pPr>
              <w:spacing w:line="288" w:lineRule="auto"/>
              <w:jc w:val="left"/>
              <w:rPr>
                <w:rFonts w:hint="default" w:ascii="宋体" w:hAnsi="宋体" w:cs="宋体" w:eastAsiaTheme="minorEastAsia"/>
                <w:sz w:val="28"/>
                <w:szCs w:val="28"/>
                <w:lang w:val="en-US" w:eastAsia="zh-CN"/>
              </w:rPr>
            </w:pPr>
            <w:bookmarkStart w:id="0" w:name="PO_part2DivName9"/>
            <w:r>
              <w:rPr>
                <w:rFonts w:hint="eastAsia" w:ascii="宋体" w:hAnsi="宋体" w:cs="宋体"/>
                <w:kern w:val="0"/>
                <w:sz w:val="20"/>
                <w:szCs w:val="20"/>
              </w:rPr>
              <w:t xml:space="preserve"> 单位 </w:t>
            </w:r>
            <w:bookmarkEnd w:id="0"/>
            <w:r>
              <w:rPr>
                <w:rFonts w:hint="eastAsia" w:ascii="宋体" w:hAnsi="宋体" w:cs="宋体"/>
                <w:kern w:val="0"/>
                <w:sz w:val="20"/>
                <w:szCs w:val="20"/>
              </w:rPr>
              <w:t>：</w:t>
            </w:r>
            <w:r>
              <w:rPr>
                <w:rFonts w:hint="eastAsia" w:ascii="宋体" w:hAnsi="宋体" w:cs="宋体"/>
                <w:color w:val="auto"/>
                <w:kern w:val="0"/>
                <w:sz w:val="20"/>
                <w:szCs w:val="20"/>
                <w:lang w:val="en-US" w:eastAsia="zh-CN"/>
              </w:rPr>
              <w:t>徐闻县中医医院</w:t>
            </w:r>
          </w:p>
        </w:tc>
        <w:tc>
          <w:tcPr>
            <w:tcW w:w="3535" w:type="dxa"/>
            <w:gridSpan w:val="3"/>
            <w:tcBorders>
              <w:top w:val="nil"/>
              <w:left w:val="nil"/>
              <w:bottom w:val="single" w:color="auto" w:sz="4" w:space="0"/>
              <w:right w:val="nil"/>
            </w:tcBorders>
            <w:noWrap w:val="0"/>
            <w:vAlign w:val="center"/>
          </w:tcPr>
          <w:p>
            <w:pPr>
              <w:jc w:val="right"/>
              <w:rPr>
                <w:rFonts w:hint="eastAsia" w:ascii="宋体" w:hAnsi="宋体" w:cs="宋体"/>
              </w:rPr>
            </w:pPr>
            <w:r>
              <w:rPr>
                <w:rFonts w:hint="eastAsia" w:ascii="宋体" w:hAnsi="宋体" w:cs="宋体"/>
                <w:kern w:val="0"/>
                <w:sz w:val="20"/>
                <w:szCs w:val="20"/>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0" w:hRule="atLeast"/>
        </w:trPr>
        <w:tc>
          <w:tcPr>
            <w:tcW w:w="7093" w:type="dxa"/>
            <w:gridSpan w:val="6"/>
            <w:tcBorders>
              <w:top w:val="single" w:color="auto" w:sz="4" w:space="0"/>
            </w:tcBorders>
            <w:noWrap w:val="0"/>
            <w:vAlign w:val="center"/>
          </w:tcPr>
          <w:p>
            <w:pPr>
              <w:jc w:val="center"/>
              <w:rPr>
                <w:rFonts w:hint="eastAsia" w:ascii="宋体" w:hAnsi="宋体" w:cs="宋体"/>
                <w:szCs w:val="21"/>
              </w:rPr>
            </w:pPr>
            <w:r>
              <w:rPr>
                <w:rFonts w:hint="eastAsia" w:ascii="宋体" w:hAnsi="宋体" w:cs="宋体"/>
                <w:kern w:val="0"/>
                <w:szCs w:val="21"/>
              </w:rPr>
              <w:t>预算数</w:t>
            </w:r>
          </w:p>
        </w:tc>
        <w:tc>
          <w:tcPr>
            <w:tcW w:w="7081" w:type="dxa"/>
            <w:gridSpan w:val="6"/>
            <w:tcBorders>
              <w:top w:val="single" w:color="auto" w:sz="4" w:space="0"/>
            </w:tcBorders>
            <w:noWrap w:val="0"/>
            <w:vAlign w:val="center"/>
          </w:tcPr>
          <w:p>
            <w:pPr>
              <w:jc w:val="center"/>
              <w:rPr>
                <w:rFonts w:hint="eastAsia" w:ascii="宋体" w:hAnsi="宋体" w:cs="宋体"/>
                <w:szCs w:val="21"/>
              </w:rPr>
            </w:pPr>
            <w:r>
              <w:rPr>
                <w:rFonts w:hint="eastAsia" w:ascii="宋体" w:hAnsi="宋体" w:cs="宋体"/>
                <w:kern w:val="0"/>
                <w:szCs w:val="21"/>
              </w:rPr>
              <w:t>决算数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0" w:hRule="atLeast"/>
        </w:trPr>
        <w:tc>
          <w:tcPr>
            <w:tcW w:w="1183" w:type="dxa"/>
            <w:vMerge w:val="restart"/>
            <w:noWrap w:val="0"/>
            <w:vAlign w:val="center"/>
          </w:tcPr>
          <w:p>
            <w:pPr>
              <w:widowControl/>
              <w:jc w:val="center"/>
              <w:rPr>
                <w:rFonts w:hint="eastAsia" w:ascii="宋体" w:hAnsi="宋体" w:cs="宋体"/>
                <w:kern w:val="0"/>
                <w:szCs w:val="21"/>
              </w:rPr>
            </w:pPr>
            <w:r>
              <w:rPr>
                <w:rFonts w:hint="eastAsia" w:ascii="宋体" w:hAnsi="宋体" w:cs="宋体"/>
                <w:kern w:val="0"/>
                <w:szCs w:val="21"/>
              </w:rPr>
              <w:t>合计</w:t>
            </w:r>
          </w:p>
        </w:tc>
        <w:tc>
          <w:tcPr>
            <w:tcW w:w="1182" w:type="dxa"/>
            <w:vMerge w:val="restart"/>
            <w:noWrap w:val="0"/>
            <w:vAlign w:val="center"/>
          </w:tcPr>
          <w:p>
            <w:pPr>
              <w:widowControl/>
              <w:jc w:val="center"/>
              <w:rPr>
                <w:rFonts w:hint="eastAsia" w:ascii="宋体" w:hAnsi="宋体" w:cs="宋体"/>
                <w:kern w:val="0"/>
                <w:szCs w:val="21"/>
              </w:rPr>
            </w:pPr>
            <w:r>
              <w:rPr>
                <w:rFonts w:hint="eastAsia" w:ascii="宋体" w:hAnsi="宋体" w:cs="宋体"/>
                <w:kern w:val="0"/>
                <w:szCs w:val="21"/>
              </w:rPr>
              <w:t>因公出国（境）费</w:t>
            </w:r>
          </w:p>
        </w:tc>
        <w:tc>
          <w:tcPr>
            <w:tcW w:w="3546" w:type="dxa"/>
            <w:gridSpan w:val="3"/>
            <w:noWrap w:val="0"/>
            <w:vAlign w:val="center"/>
          </w:tcPr>
          <w:p>
            <w:pPr>
              <w:widowControl/>
              <w:jc w:val="center"/>
              <w:rPr>
                <w:rFonts w:hint="eastAsia" w:ascii="宋体" w:hAnsi="宋体" w:cs="宋体"/>
                <w:kern w:val="0"/>
                <w:szCs w:val="21"/>
              </w:rPr>
            </w:pPr>
            <w:r>
              <w:rPr>
                <w:rFonts w:hint="eastAsia" w:ascii="宋体" w:hAnsi="宋体" w:cs="宋体"/>
                <w:kern w:val="0"/>
                <w:szCs w:val="21"/>
              </w:rPr>
              <w:t>公务用车购置及运行维护费</w:t>
            </w:r>
          </w:p>
        </w:tc>
        <w:tc>
          <w:tcPr>
            <w:tcW w:w="1182" w:type="dxa"/>
            <w:vMerge w:val="restart"/>
            <w:noWrap w:val="0"/>
            <w:vAlign w:val="center"/>
          </w:tcPr>
          <w:p>
            <w:pPr>
              <w:widowControl/>
              <w:jc w:val="center"/>
              <w:rPr>
                <w:rFonts w:hint="eastAsia" w:ascii="宋体" w:hAnsi="宋体" w:cs="宋体"/>
                <w:kern w:val="0"/>
                <w:szCs w:val="21"/>
              </w:rPr>
            </w:pPr>
            <w:r>
              <w:rPr>
                <w:rFonts w:hint="eastAsia" w:ascii="宋体" w:hAnsi="宋体" w:cs="宋体"/>
                <w:kern w:val="0"/>
                <w:szCs w:val="21"/>
              </w:rPr>
              <w:t>公务接待费</w:t>
            </w:r>
          </w:p>
        </w:tc>
        <w:tc>
          <w:tcPr>
            <w:tcW w:w="1182" w:type="dxa"/>
            <w:vMerge w:val="restart"/>
            <w:noWrap w:val="0"/>
            <w:vAlign w:val="center"/>
          </w:tcPr>
          <w:p>
            <w:pPr>
              <w:widowControl/>
              <w:jc w:val="center"/>
              <w:rPr>
                <w:rFonts w:hint="eastAsia" w:ascii="宋体" w:hAnsi="宋体" w:cs="宋体"/>
                <w:kern w:val="0"/>
                <w:szCs w:val="21"/>
              </w:rPr>
            </w:pPr>
            <w:r>
              <w:rPr>
                <w:rFonts w:hint="eastAsia" w:ascii="宋体" w:hAnsi="宋体" w:cs="宋体"/>
                <w:kern w:val="0"/>
                <w:szCs w:val="21"/>
              </w:rPr>
              <w:t>合计</w:t>
            </w:r>
          </w:p>
        </w:tc>
        <w:tc>
          <w:tcPr>
            <w:tcW w:w="1182" w:type="dxa"/>
            <w:vMerge w:val="restart"/>
            <w:noWrap w:val="0"/>
            <w:vAlign w:val="center"/>
          </w:tcPr>
          <w:p>
            <w:pPr>
              <w:jc w:val="center"/>
              <w:rPr>
                <w:rFonts w:hint="eastAsia" w:ascii="宋体" w:hAnsi="宋体" w:cs="宋体"/>
                <w:szCs w:val="21"/>
              </w:rPr>
            </w:pPr>
            <w:r>
              <w:rPr>
                <w:rFonts w:hint="eastAsia" w:ascii="宋体" w:hAnsi="宋体" w:cs="宋体"/>
                <w:kern w:val="0"/>
                <w:szCs w:val="21"/>
              </w:rPr>
              <w:t>因公出国（境）费</w:t>
            </w:r>
          </w:p>
        </w:tc>
        <w:tc>
          <w:tcPr>
            <w:tcW w:w="3546" w:type="dxa"/>
            <w:gridSpan w:val="3"/>
            <w:noWrap w:val="0"/>
            <w:vAlign w:val="center"/>
          </w:tcPr>
          <w:p>
            <w:pPr>
              <w:widowControl/>
              <w:jc w:val="center"/>
              <w:rPr>
                <w:rFonts w:hint="eastAsia" w:ascii="宋体" w:hAnsi="宋体" w:cs="宋体"/>
                <w:kern w:val="0"/>
                <w:szCs w:val="21"/>
              </w:rPr>
            </w:pPr>
            <w:r>
              <w:rPr>
                <w:rFonts w:hint="eastAsia" w:ascii="宋体" w:hAnsi="宋体" w:cs="宋体"/>
                <w:kern w:val="0"/>
                <w:szCs w:val="21"/>
              </w:rPr>
              <w:t>公务用车购置及运行维护费</w:t>
            </w:r>
          </w:p>
        </w:tc>
        <w:tc>
          <w:tcPr>
            <w:tcW w:w="1171" w:type="dxa"/>
            <w:vMerge w:val="restart"/>
            <w:noWrap w:val="0"/>
            <w:vAlign w:val="center"/>
          </w:tcPr>
          <w:p>
            <w:pPr>
              <w:jc w:val="center"/>
              <w:rPr>
                <w:rFonts w:hint="eastAsia" w:ascii="宋体" w:hAnsi="宋体" w:cs="宋体"/>
                <w:szCs w:val="21"/>
              </w:rPr>
            </w:pPr>
            <w:r>
              <w:rPr>
                <w:rFonts w:hint="eastAsia" w:ascii="宋体" w:hAnsi="宋体" w:cs="宋体"/>
                <w:kern w:val="0"/>
                <w:szCs w:val="21"/>
              </w:rPr>
              <w:t>公务接待费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0" w:hRule="atLeast"/>
        </w:trPr>
        <w:tc>
          <w:tcPr>
            <w:tcW w:w="1183" w:type="dxa"/>
            <w:vMerge w:val="continue"/>
            <w:noWrap w:val="0"/>
            <w:vAlign w:val="top"/>
          </w:tcPr>
          <w:p>
            <w:pPr>
              <w:spacing w:line="288" w:lineRule="auto"/>
              <w:rPr>
                <w:rFonts w:hint="eastAsia" w:ascii="宋体" w:hAnsi="宋体" w:cs="宋体"/>
                <w:szCs w:val="21"/>
              </w:rPr>
            </w:pPr>
          </w:p>
        </w:tc>
        <w:tc>
          <w:tcPr>
            <w:tcW w:w="1182" w:type="dxa"/>
            <w:vMerge w:val="continue"/>
            <w:noWrap w:val="0"/>
            <w:vAlign w:val="top"/>
          </w:tcPr>
          <w:p>
            <w:pPr>
              <w:spacing w:line="288" w:lineRule="auto"/>
              <w:rPr>
                <w:rFonts w:hint="eastAsia" w:ascii="宋体" w:hAnsi="宋体" w:cs="宋体"/>
                <w:szCs w:val="21"/>
              </w:rPr>
            </w:pP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小计</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购置费</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运行维护费</w:t>
            </w:r>
          </w:p>
        </w:tc>
        <w:tc>
          <w:tcPr>
            <w:tcW w:w="1182" w:type="dxa"/>
            <w:vMerge w:val="continue"/>
            <w:noWrap w:val="0"/>
            <w:vAlign w:val="top"/>
          </w:tcPr>
          <w:p>
            <w:pPr>
              <w:spacing w:line="288" w:lineRule="auto"/>
              <w:rPr>
                <w:rFonts w:hint="eastAsia" w:ascii="宋体" w:hAnsi="宋体" w:cs="宋体"/>
                <w:szCs w:val="21"/>
              </w:rPr>
            </w:pPr>
          </w:p>
        </w:tc>
        <w:tc>
          <w:tcPr>
            <w:tcW w:w="1182" w:type="dxa"/>
            <w:vMerge w:val="continue"/>
            <w:noWrap w:val="0"/>
            <w:vAlign w:val="top"/>
          </w:tcPr>
          <w:p>
            <w:pPr>
              <w:spacing w:line="288" w:lineRule="auto"/>
              <w:rPr>
                <w:rFonts w:hint="eastAsia" w:ascii="宋体" w:hAnsi="宋体" w:cs="宋体"/>
                <w:szCs w:val="21"/>
              </w:rPr>
            </w:pPr>
          </w:p>
        </w:tc>
        <w:tc>
          <w:tcPr>
            <w:tcW w:w="1182" w:type="dxa"/>
            <w:vMerge w:val="continue"/>
            <w:noWrap w:val="0"/>
            <w:vAlign w:val="top"/>
          </w:tcPr>
          <w:p>
            <w:pPr>
              <w:spacing w:line="288" w:lineRule="auto"/>
              <w:rPr>
                <w:rFonts w:hint="eastAsia" w:ascii="宋体" w:hAnsi="宋体" w:cs="宋体"/>
                <w:szCs w:val="21"/>
              </w:rPr>
            </w:pP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小计</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购置费</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运行维护费</w:t>
            </w:r>
          </w:p>
        </w:tc>
        <w:tc>
          <w:tcPr>
            <w:tcW w:w="1171" w:type="dxa"/>
            <w:vMerge w:val="continue"/>
            <w:noWrap w:val="0"/>
            <w:vAlign w:val="top"/>
          </w:tcPr>
          <w:p>
            <w:pPr>
              <w:spacing w:line="288" w:lineRule="auto"/>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0" w:hRule="atLeast"/>
        </w:trPr>
        <w:tc>
          <w:tcPr>
            <w:tcW w:w="1183"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1</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2</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3</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4</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5</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6</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7</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8</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9</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10</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11</w:t>
            </w:r>
          </w:p>
        </w:tc>
        <w:tc>
          <w:tcPr>
            <w:tcW w:w="1171"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0" w:hRule="atLeast"/>
        </w:trPr>
        <w:tc>
          <w:tcPr>
            <w:tcW w:w="1183" w:type="dxa"/>
            <w:noWrap w:val="0"/>
            <w:vAlign w:val="center"/>
          </w:tcPr>
          <w:p>
            <w:pPr>
              <w:widowControl/>
              <w:jc w:val="right"/>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2.74</w:t>
            </w:r>
          </w:p>
        </w:tc>
        <w:tc>
          <w:tcPr>
            <w:tcW w:w="1182" w:type="dxa"/>
            <w:noWrap w:val="0"/>
            <w:vAlign w:val="center"/>
          </w:tcPr>
          <w:p>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pPr>
              <w:widowControl/>
              <w:jc w:val="right"/>
              <w:rPr>
                <w:rFonts w:hint="eastAsia" w:ascii="宋体" w:hAnsi="宋体" w:cs="宋体"/>
                <w:kern w:val="0"/>
                <w:szCs w:val="21"/>
              </w:rPr>
            </w:pPr>
            <w:r>
              <w:rPr>
                <w:rFonts w:hint="eastAsia" w:ascii="宋体" w:hAnsi="宋体" w:cs="宋体"/>
                <w:kern w:val="0"/>
                <w:szCs w:val="21"/>
                <w:lang w:val="en-US" w:eastAsia="zh-CN"/>
              </w:rPr>
              <w:t>2.74</w:t>
            </w:r>
          </w:p>
        </w:tc>
        <w:tc>
          <w:tcPr>
            <w:tcW w:w="1182" w:type="dxa"/>
            <w:noWrap w:val="0"/>
            <w:vAlign w:val="center"/>
          </w:tcPr>
          <w:p>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pPr>
              <w:widowControl/>
              <w:jc w:val="right"/>
              <w:rPr>
                <w:rFonts w:hint="eastAsia" w:ascii="宋体" w:hAnsi="宋体" w:cs="宋体"/>
                <w:kern w:val="0"/>
                <w:szCs w:val="21"/>
              </w:rPr>
            </w:pPr>
            <w:r>
              <w:rPr>
                <w:rFonts w:hint="eastAsia" w:ascii="宋体" w:hAnsi="宋体" w:cs="宋体"/>
                <w:kern w:val="0"/>
                <w:szCs w:val="21"/>
                <w:lang w:val="en-US" w:eastAsia="zh-CN"/>
              </w:rPr>
              <w:t>2.74</w:t>
            </w:r>
          </w:p>
        </w:tc>
        <w:tc>
          <w:tcPr>
            <w:tcW w:w="1182" w:type="dxa"/>
            <w:noWrap w:val="0"/>
            <w:vAlign w:val="center"/>
          </w:tcPr>
          <w:p>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pPr>
              <w:widowControl/>
              <w:jc w:val="right"/>
              <w:rPr>
                <w:rFonts w:hint="eastAsia" w:ascii="宋体" w:hAnsi="宋体" w:cs="宋体"/>
                <w:kern w:val="0"/>
                <w:szCs w:val="21"/>
              </w:rPr>
            </w:pPr>
            <w:r>
              <w:rPr>
                <w:rFonts w:hint="eastAsia" w:ascii="宋体" w:hAnsi="宋体" w:cs="宋体"/>
                <w:kern w:val="0"/>
                <w:szCs w:val="21"/>
                <w:lang w:val="en-US" w:eastAsia="zh-CN"/>
              </w:rPr>
              <w:t>2.74</w:t>
            </w:r>
          </w:p>
        </w:tc>
        <w:tc>
          <w:tcPr>
            <w:tcW w:w="1182" w:type="dxa"/>
            <w:noWrap w:val="0"/>
            <w:vAlign w:val="center"/>
          </w:tcPr>
          <w:p>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pPr>
              <w:widowControl/>
              <w:jc w:val="right"/>
              <w:rPr>
                <w:rFonts w:hint="eastAsia" w:ascii="宋体" w:hAnsi="宋体" w:cs="宋体"/>
                <w:kern w:val="0"/>
                <w:szCs w:val="21"/>
              </w:rPr>
            </w:pPr>
            <w:r>
              <w:rPr>
                <w:rFonts w:hint="eastAsia" w:ascii="宋体" w:hAnsi="宋体" w:cs="宋体"/>
                <w:kern w:val="0"/>
                <w:szCs w:val="21"/>
                <w:lang w:val="en-US" w:eastAsia="zh-CN"/>
              </w:rPr>
              <w:t>2.74</w:t>
            </w:r>
          </w:p>
        </w:tc>
        <w:tc>
          <w:tcPr>
            <w:tcW w:w="1182" w:type="dxa"/>
            <w:noWrap w:val="0"/>
            <w:vAlign w:val="center"/>
          </w:tcPr>
          <w:p>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pPr>
              <w:widowControl/>
              <w:jc w:val="right"/>
              <w:rPr>
                <w:rFonts w:hint="eastAsia" w:ascii="宋体" w:hAnsi="宋体" w:cs="宋体"/>
                <w:kern w:val="0"/>
                <w:szCs w:val="21"/>
              </w:rPr>
            </w:pPr>
            <w:r>
              <w:rPr>
                <w:rFonts w:hint="eastAsia" w:ascii="宋体" w:hAnsi="宋体" w:cs="宋体"/>
                <w:kern w:val="0"/>
                <w:szCs w:val="21"/>
                <w:lang w:val="en-US" w:eastAsia="zh-CN"/>
              </w:rPr>
              <w:t>2.74</w:t>
            </w:r>
          </w:p>
        </w:tc>
        <w:tc>
          <w:tcPr>
            <w:tcW w:w="1171" w:type="dxa"/>
            <w:noWrap w:val="0"/>
            <w:vAlign w:val="center"/>
          </w:tcPr>
          <w:p>
            <w:pPr>
              <w:widowControl/>
              <w:jc w:val="right"/>
              <w:rPr>
                <w:rFonts w:hint="eastAsia" w:ascii="宋体" w:hAnsi="宋体" w:cs="宋体"/>
                <w:kern w:val="0"/>
                <w:szCs w:val="21"/>
              </w:rPr>
            </w:pPr>
            <w:r>
              <w:rPr>
                <w:rFonts w:hint="eastAsia" w:ascii="宋体" w:hAnsi="宋体" w:cs="宋体"/>
                <w:kern w:val="0"/>
                <w:szCs w:val="21"/>
              </w:rPr>
              <w:t>0.00</w:t>
            </w:r>
          </w:p>
        </w:tc>
      </w:tr>
    </w:tbl>
    <w:p>
      <w:pPr>
        <w:spacing w:line="360" w:lineRule="auto"/>
        <w:ind w:firstLine="420" w:firstLineChars="200"/>
        <w:rPr>
          <w:rFonts w:hint="eastAsia" w:ascii="宋体" w:hAnsi="宋体" w:cs="宋体"/>
          <w:szCs w:val="21"/>
        </w:rPr>
      </w:pPr>
      <w:r>
        <w:rPr>
          <w:rFonts w:hint="eastAsia" w:ascii="宋体" w:hAnsi="宋体" w:cs="宋体"/>
          <w:szCs w:val="21"/>
        </w:rPr>
        <w:t>注：本表反映部门（单位）本年度财政拨款“三公”经费支出预决算情况。其中，预算数为“三公”经费全年预算数，反映按规定程序调整后的预算数；决算数是包括当年财政拨款和以前年度结转资金安排的实际支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仿宋_GB2312" w:hAnsi="仿宋_GB2312" w:eastAsia="仿宋_GB2312" w:cs="仿宋_GB2312"/>
          <w:b/>
          <w:bCs/>
          <w:i w:val="0"/>
          <w:iCs w:val="0"/>
          <w:caps w:val="0"/>
          <w:color w:val="525252"/>
          <w:spacing w:val="13"/>
          <w:kern w:val="0"/>
          <w:sz w:val="32"/>
          <w:szCs w:val="32"/>
          <w:lang w:val="en-US" w:eastAsia="zh-CN" w:bidi="ar"/>
        </w:rPr>
      </w:pPr>
    </w:p>
    <w:p>
      <w:pPr>
        <w:ind w:firstLine="643" w:firstLineChars="200"/>
        <w:rPr>
          <w:rFonts w:hint="eastAsia" w:ascii="仿宋_GB2312" w:hAnsi="宋体" w:eastAsia="仿宋_GB2312" w:cs="宋体"/>
          <w:b/>
          <w:sz w:val="32"/>
          <w:szCs w:val="32"/>
        </w:rPr>
      </w:pPr>
      <w:r>
        <w:rPr>
          <w:rFonts w:hint="eastAsia" w:ascii="仿宋_GB2312" w:hAnsi="宋体" w:eastAsia="仿宋_GB2312" w:cs="宋体"/>
          <w:b/>
          <w:sz w:val="32"/>
          <w:szCs w:val="32"/>
        </w:rPr>
        <w:t>（一）“三公”经费财政拨款支出决算总体情况说明</w:t>
      </w:r>
    </w:p>
    <w:p>
      <w:pPr>
        <w:ind w:firstLine="640" w:firstLineChars="200"/>
        <w:rPr>
          <w:rFonts w:hint="eastAsia" w:ascii="仿宋_GB2312" w:hAnsi="宋体" w:eastAsia="仿宋_GB2312" w:cs="宋体"/>
          <w:sz w:val="32"/>
          <w:szCs w:val="32"/>
          <w:lang w:eastAsia="zh-CN"/>
        </w:rPr>
      </w:pPr>
      <w:bookmarkStart w:id="1" w:name="PO_part3A3B1C1Year1"/>
      <w:r>
        <w:rPr>
          <w:rFonts w:hint="eastAsia" w:ascii="仿宋_GB2312" w:hAnsi="宋体" w:eastAsia="仿宋_GB2312" w:cs="宋体"/>
          <w:sz w:val="32"/>
          <w:szCs w:val="32"/>
          <w:lang w:eastAsia="zh-CN"/>
        </w:rPr>
        <w:t>徐闻县中医医院2025年度“三公”经费财政拨款支出决算为2.74万元，完成全年预算2.74万元的100%，比上年决算数增加2.74万元，增长--（基数为0，不可比）。其中：因公出国（境）费支出决算为0万元，完成预算0万元的--%（基数为0，不可比），比上年决算数增加0万元，增长--（基数为0，不可比）；公务用车购置及运行维护费支出决算为2.74万元，完成预算2.74万元的100%，比上年决算数增加2.74万元，增长--（基数为0，不可比）；其中：公务用车购置支出决算为0万元，完成预算0万元的--%（基数为0，不可比），比上年决算数增加0万元，增长--（基数为0，不可比）；公务用车运行维护费支出决算为2.74万元，完成预算2.74万元的100%，比上年决算数增加2.74万元，增长--（基数为0，不可比）；公务接待费支出决算为0万元，完成预算0万元的--%（基数为0，不可比），比上年决算数增加0万元，增长--（基数为0，不可比）。</w:t>
      </w:r>
    </w:p>
    <w:bookmarkEnd w:id="1"/>
    <w:p>
      <w:pPr>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2025年度“三公”经费支出决算等于预算数的主要情况：2025年度本单位认真贯彻落实中央八项规定精神和厉行节约的要求，从严控制“三公”经费开支，年初结合年度工作任务科学测算编制“三公”经费预算；执行过程中严格审批、规范开支，全年实际发生的公务开支与年初预算测算规模基本匹配，最终决算支出与预算金额持平。</w:t>
      </w:r>
    </w:p>
    <w:p>
      <w:pPr>
        <w:ind w:firstLine="640" w:firstLineChars="200"/>
        <w:rPr>
          <w:rFonts w:ascii="仿宋_GB2312" w:hAnsi="宋体" w:eastAsia="仿宋_GB2312" w:cs="宋体"/>
          <w:sz w:val="32"/>
          <w:szCs w:val="32"/>
        </w:rPr>
      </w:pPr>
      <w:r>
        <w:rPr>
          <w:rFonts w:hint="eastAsia" w:ascii="仿宋_GB2312" w:hAnsi="宋体" w:eastAsia="仿宋_GB2312" w:cs="宋体"/>
          <w:sz w:val="32"/>
          <w:szCs w:val="32"/>
        </w:rPr>
        <w:t>2025年度“三公”经费支出决算大于上年决算数的主要情况：因为本年度财政拨自然灾害救灾及恢复重建专项资金款用于公务用车运行维护费支出，上年度财政没有拨“三公”经费支出，所以2025年度“三公”经费支出决算大于上年决算数。</w:t>
      </w:r>
    </w:p>
    <w:p>
      <w:pPr>
        <w:ind w:firstLine="643" w:firstLineChars="200"/>
        <w:rPr>
          <w:rFonts w:hint="eastAsia" w:ascii="仿宋_GB2312" w:hAnsi="宋体" w:eastAsia="仿宋_GB2312" w:cs="宋体"/>
          <w:b/>
          <w:sz w:val="32"/>
          <w:szCs w:val="32"/>
        </w:rPr>
      </w:pPr>
      <w:r>
        <w:rPr>
          <w:rFonts w:hint="eastAsia" w:ascii="仿宋_GB2312" w:hAnsi="宋体" w:eastAsia="仿宋_GB2312" w:cs="宋体"/>
          <w:b/>
          <w:sz w:val="32"/>
          <w:szCs w:val="32"/>
        </w:rPr>
        <w:t>（二）“三公”经费财政拨款支出决算具体情况说明</w:t>
      </w:r>
    </w:p>
    <w:p>
      <w:pPr>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2025年度“三公”经费财政拨款支出决算中，因公出国（境）费0万元，占0%；公务用车购置及运行维护费支出2.74万元，占100%；公务接待费支出0万元，占0%。具体情况如下：</w:t>
      </w:r>
    </w:p>
    <w:p>
      <w:pPr>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1.</w:t>
      </w:r>
      <w:bookmarkStart w:id="2" w:name="PO_part3A3B2C1D1Meeting1"/>
      <w:r>
        <w:rPr>
          <w:rFonts w:hint="eastAsia" w:ascii="仿宋_GB2312" w:hAnsi="宋体" w:eastAsia="仿宋_GB2312" w:cs="宋体"/>
          <w:sz w:val="32"/>
          <w:szCs w:val="32"/>
        </w:rPr>
        <w:t>因公出国（境）费支出0万元。全年使用财政拨款安排出国（境）团组0个、累计0人次。</w:t>
      </w:r>
      <w:bookmarkEnd w:id="2"/>
    </w:p>
    <w:p>
      <w:pPr>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2.</w:t>
      </w:r>
      <w:bookmarkStart w:id="3" w:name="PO_part3A3B2C2D2Use1"/>
      <w:r>
        <w:rPr>
          <w:rFonts w:hint="eastAsia" w:ascii="仿宋_GB2312" w:hAnsi="宋体" w:eastAsia="仿宋_GB2312" w:cs="宋体"/>
          <w:sz w:val="32"/>
          <w:szCs w:val="32"/>
        </w:rPr>
        <w:t>公务用车购置及运行维护费支出2.74万元，其中：公务用车购置支出为0万元，公务用车购置数0辆。公务用车运行维护费支出2.74万元，公务用车保有量为2辆，主要用于公务用车运行维护费支出，财政拨自然灾害救灾及恢复重建专项资金款。</w:t>
      </w:r>
      <w:bookmarkEnd w:id="3"/>
    </w:p>
    <w:p>
      <w:pPr>
        <w:ind w:firstLine="640" w:firstLineChars="200"/>
      </w:pPr>
      <w:r>
        <w:rPr>
          <w:rFonts w:hint="eastAsia" w:ascii="仿宋_GB2312" w:hAnsi="宋体" w:eastAsia="仿宋_GB2312" w:cs="宋体"/>
          <w:sz w:val="32"/>
          <w:szCs w:val="32"/>
        </w:rPr>
        <w:t>3.</w:t>
      </w:r>
      <w:bookmarkStart w:id="4" w:name="PO_part3A3B2C3GnjdInclude1"/>
      <w:r>
        <w:rPr>
          <w:rFonts w:hint="eastAsia" w:ascii="仿宋_GB2312" w:hAnsi="宋体" w:eastAsia="仿宋_GB2312" w:cs="宋体"/>
          <w:sz w:val="32"/>
          <w:szCs w:val="32"/>
        </w:rPr>
        <w:t>公务接待费支出0万元，主要用于没有财政拨款接待支出，共接待国外、境外来访团组0个，来访外宾0人次；发生国内接待0次，接待人数共0人。主要包括没有财政拨款接待支出。</w:t>
      </w:r>
      <w:bookmarkEnd w:id="4"/>
      <w:bookmarkStart w:id="5" w:name="_GoBack"/>
      <w:bookmarkEnd w:id="5"/>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yZTI4MzM0YTkzY2E0ZjI4ZmNlMGIxODNmMTM1YjEifQ=="/>
  </w:docVars>
  <w:rsids>
    <w:rsidRoot w:val="75CB36A1"/>
    <w:rsid w:val="0754675F"/>
    <w:rsid w:val="18FC22ED"/>
    <w:rsid w:val="202D3B9A"/>
    <w:rsid w:val="26811F3C"/>
    <w:rsid w:val="279627D2"/>
    <w:rsid w:val="2BE22B16"/>
    <w:rsid w:val="2C2B205A"/>
    <w:rsid w:val="30BC0D4E"/>
    <w:rsid w:val="45B25BFB"/>
    <w:rsid w:val="5C14771E"/>
    <w:rsid w:val="75CB36A1"/>
    <w:rsid w:val="7D0977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1458</Words>
  <Characters>1593</Characters>
  <Lines>0</Lines>
  <Paragraphs>0</Paragraphs>
  <TotalTime>239</TotalTime>
  <ScaleCrop>false</ScaleCrop>
  <LinksUpToDate>false</LinksUpToDate>
  <CharactersWithSpaces>1657</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2025-10-06T02:55:00Z</dcterms:created>
  <dc:creator>超</dc:creator>
  <cp:lastModifiedBy>Administrator</cp:lastModifiedBy>
  <dcterms:modified xsi:type="dcterms:W3CDTF">2026-09-15T07:52:02Z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y fmtid="{D5CDD505-2E9C-101B-9397-08002B2CF9AE}" pid="3" name="ICV">
    <vt:lpwstr>29C3D338A0F747439D9088CFFA86D4E6_11</vt:lpwstr>
  </property>
  <property fmtid="{D5CDD505-2E9C-101B-9397-08002B2CF9AE}" pid="4" name="KSOTemplateDocerSaveRecord">
    <vt:lpwstr>eyJoZGlkIjoiZmJiNzhjYTY2MzI3MmVjYWFhNjllMjlhNWMxYmNiY2YiLCJ1c2VySWQiOiIzMDIyNTU2NDQifQ==</vt:lpwstr>
  </property>
</Properties>
</file>