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2025年徐闻县园林管理所“三公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徐闻县园林管理所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0.30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0.30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0.30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0.30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tabs>
                <w:tab w:val="left" w:pos="442"/>
                <w:tab w:val="right" w:pos="1086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ab/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ab/>
            </w: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0.30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0.30</w:t>
            </w:r>
          </w:p>
        </w:tc>
        <w:tc>
          <w:tcPr>
            <w:tcW w:w="1171" w:type="dxa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徐闻县园林管理所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0.3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0.3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5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6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0.3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0.3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0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1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2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3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4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5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6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0.3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7" w:name="PO_part3A3B1C1qzys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0.3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1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2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5"/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7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8" w:name="PO_part3A3B1C1DiffReason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单位</w:t>
      </w:r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不超过</w:t>
      </w:r>
      <w:r>
        <w:rPr>
          <w:rFonts w:hint="eastAsia" w:ascii="仿宋_GB2312" w:hAnsi="宋体" w:eastAsia="仿宋_GB2312" w:cs="宋体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数。</w:t>
      </w:r>
      <w:bookmarkEnd w:id="28"/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2025年度“三公”经费支出决算等于上年决算数的主要情况：认真贯彻落实中央八项规定精神和厉行节约的要求，从严控制“三公”经费开支，全年实际支出</w:t>
      </w:r>
      <w:bookmarkStart w:id="41" w:name="_GoBack"/>
      <w:bookmarkEnd w:id="4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未超出预算数。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0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1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2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3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4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4"/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0.3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5" w:name="PO_part3A3B2C2D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0.3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6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7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公务用车日常维护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7"/>
    </w:p>
    <w:p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38" w:name="PO_part3A3B2C3Detail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接待外来单位协助开展特定工作时接待费用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39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0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人。</w:t>
      </w:r>
    </w:p>
    <w:sectPr>
      <w:pgSz w:w="16838" w:h="11906" w:orient="landscape"/>
      <w:pgMar w:top="1800" w:right="1440" w:bottom="1800" w:left="144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roman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roma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modern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moder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roma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0B036AE"/>
    <w:rsid w:val="01657CDA"/>
    <w:rsid w:val="05D15786"/>
    <w:rsid w:val="0754675F"/>
    <w:rsid w:val="15CD44D1"/>
    <w:rsid w:val="202D3B9A"/>
    <w:rsid w:val="26811F3C"/>
    <w:rsid w:val="279627D2"/>
    <w:rsid w:val="30BC0D4E"/>
    <w:rsid w:val="32BB64C9"/>
    <w:rsid w:val="45B25BFB"/>
    <w:rsid w:val="4B6C26CB"/>
    <w:rsid w:val="57E767C7"/>
    <w:rsid w:val="5C14771E"/>
    <w:rsid w:val="5D8A1D73"/>
    <w:rsid w:val="73333690"/>
    <w:rsid w:val="75CB36A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ScaleCrop>false</ScaleCrop>
  <LinksUpToDate>false</LinksUpToDate>
  <CharactersWithSpaces>1657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2026-09-17T09:35:19Z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