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C0158">
      <w:pPr>
        <w:spacing w:before="166" w:line="207" w:lineRule="auto"/>
        <w:jc w:val="both"/>
        <w:outlineLvl w:val="0"/>
        <w:rPr>
          <w:rFonts w:hint="eastAsia" w:ascii="方正楷体_GB2312" w:hAnsi="方正楷体_GB2312" w:eastAsia="方正楷体_GB2312" w:cs="方正楷体_GB2312"/>
          <w:b/>
          <w:bCs/>
          <w:spacing w:val="-5"/>
          <w:sz w:val="32"/>
          <w:szCs w:val="32"/>
        </w:rPr>
      </w:pPr>
    </w:p>
    <w:p w14:paraId="088E9A6D">
      <w:pPr>
        <w:spacing w:before="166" w:line="207" w:lineRule="auto"/>
        <w:jc w:val="both"/>
        <w:outlineLvl w:val="0"/>
        <w:rPr>
          <w:rFonts w:hint="eastAsia" w:ascii="方正楷体_GB2312" w:hAnsi="方正楷体_GB2312" w:eastAsia="方正楷体_GB2312" w:cs="方正楷体_GB2312"/>
          <w:b/>
          <w:bCs/>
          <w:spacing w:val="-5"/>
          <w:sz w:val="32"/>
          <w:szCs w:val="32"/>
        </w:rPr>
      </w:pPr>
    </w:p>
    <w:p w14:paraId="3D58D828">
      <w:pPr>
        <w:spacing w:before="166" w:line="207" w:lineRule="auto"/>
        <w:jc w:val="center"/>
        <w:outlineLvl w:val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-5"/>
          <w:sz w:val="32"/>
          <w:szCs w:val="32"/>
        </w:rPr>
        <w:t>2025年徐闻县农业农村局</w:t>
      </w:r>
      <w:r>
        <w:rPr>
          <w:rFonts w:hint="eastAsia" w:ascii="方正仿宋_GB2312" w:hAnsi="方正仿宋_GB2312" w:eastAsia="方正仿宋_GB2312" w:cs="方正仿宋_GB2312"/>
          <w:b/>
          <w:bCs/>
          <w:spacing w:val="-5"/>
          <w:sz w:val="32"/>
          <w:szCs w:val="32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b/>
          <w:bCs/>
          <w:spacing w:val="-5"/>
          <w:sz w:val="32"/>
          <w:szCs w:val="32"/>
          <w:lang w:val="en-US" w:eastAsia="zh-CN"/>
        </w:rPr>
        <w:t>三公</w:t>
      </w:r>
      <w:r>
        <w:rPr>
          <w:rFonts w:hint="eastAsia" w:ascii="方正仿宋_GB2312" w:hAnsi="方正仿宋_GB2312" w:eastAsia="方正仿宋_GB2312" w:cs="方正仿宋_GB2312"/>
          <w:b/>
          <w:bCs/>
          <w:spacing w:val="-5"/>
          <w:sz w:val="32"/>
          <w:szCs w:val="32"/>
          <w:lang w:eastAsia="zh-CN"/>
        </w:rPr>
        <w:t>”</w:t>
      </w:r>
      <w:r>
        <w:rPr>
          <w:rFonts w:hint="eastAsia" w:ascii="方正仿宋_GB2312" w:hAnsi="方正仿宋_GB2312" w:eastAsia="方正仿宋_GB2312" w:cs="方正仿宋_GB2312"/>
          <w:b/>
          <w:bCs/>
          <w:spacing w:val="-5"/>
          <w:sz w:val="32"/>
          <w:szCs w:val="32"/>
          <w:lang w:val="en-US" w:eastAsia="zh-CN"/>
        </w:rPr>
        <w:t>经费决算公开</w:t>
      </w:r>
    </w:p>
    <w:p w14:paraId="533E1A89">
      <w:pPr>
        <w:spacing w:before="78" w:line="220" w:lineRule="auto"/>
        <w:jc w:val="both"/>
        <w:rPr>
          <w:rFonts w:hint="eastAsia" w:ascii="方正仿宋_GB2312" w:hAnsi="方正仿宋_GB2312" w:eastAsia="方正仿宋_GB2312" w:cs="方正仿宋_GB2312"/>
          <w:spacing w:val="-5"/>
          <w:sz w:val="24"/>
          <w:szCs w:val="24"/>
        </w:rPr>
      </w:pPr>
    </w:p>
    <w:p w14:paraId="299140BB">
      <w:pPr>
        <w:spacing w:before="78" w:line="220" w:lineRule="auto"/>
        <w:jc w:val="center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pacing w:val="-5"/>
          <w:sz w:val="24"/>
          <w:szCs w:val="24"/>
          <w:lang w:val="en-US" w:eastAsia="zh-CN"/>
        </w:rPr>
        <w:t xml:space="preserve">                                                                                                                                          </w:t>
      </w:r>
    </w:p>
    <w:p w14:paraId="52DC970E">
      <w:pPr>
        <w:spacing w:before="269" w:line="211" w:lineRule="auto"/>
        <w:ind w:firstLine="960" w:firstLineChars="400"/>
        <w:jc w:val="both"/>
        <w:rPr>
          <w:rFonts w:hint="default" w:ascii="方正仿宋_GB2312" w:hAnsi="方正仿宋_GB2312" w:eastAsia="方正仿宋_GB2312" w:cs="方正仿宋_GB231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 xml:space="preserve">                               </w:t>
      </w:r>
      <w:r>
        <w:rPr>
          <w:rFonts w:hint="eastAsia" w:ascii="方正仿宋_GB2312" w:hAnsi="方正仿宋_GB2312" w:eastAsia="方正仿宋_GB2312" w:cs="方正仿宋_GB2312"/>
          <w:b/>
          <w:bCs/>
          <w:spacing w:val="-6"/>
          <w:sz w:val="32"/>
          <w:szCs w:val="32"/>
          <w:lang w:val="en-US" w:eastAsia="zh-CN"/>
        </w:rPr>
        <w:t xml:space="preserve">     财政拨款</w:t>
      </w:r>
      <w:r>
        <w:rPr>
          <w:rFonts w:hint="eastAsia" w:ascii="方正仿宋_GB2312" w:hAnsi="方正仿宋_GB2312" w:eastAsia="方正仿宋_GB2312" w:cs="方正仿宋_GB2312"/>
          <w:b/>
          <w:bCs/>
          <w:spacing w:val="-6"/>
          <w:sz w:val="32"/>
          <w:szCs w:val="32"/>
        </w:rPr>
        <w:t>“三公”经费</w:t>
      </w:r>
      <w:r>
        <w:rPr>
          <w:rFonts w:hint="eastAsia" w:ascii="方正仿宋_GB2312" w:hAnsi="方正仿宋_GB2312" w:eastAsia="方正仿宋_GB2312" w:cs="方正仿宋_GB2312"/>
          <w:b/>
          <w:bCs/>
          <w:spacing w:val="-6"/>
          <w:sz w:val="32"/>
          <w:szCs w:val="32"/>
          <w:lang w:val="en-US" w:eastAsia="zh-CN"/>
        </w:rPr>
        <w:t>支出决算表</w:t>
      </w:r>
    </w:p>
    <w:p w14:paraId="146D504F">
      <w:pPr>
        <w:spacing w:before="78" w:line="220" w:lineRule="auto"/>
        <w:jc w:val="right"/>
        <w:rPr>
          <w:rFonts w:ascii="宋体" w:hAnsi="宋体" w:eastAsia="宋体" w:cs="宋体"/>
          <w:sz w:val="24"/>
          <w:szCs w:val="24"/>
        </w:rPr>
      </w:pPr>
    </w:p>
    <w:p w14:paraId="0DE91D04">
      <w:pPr>
        <w:spacing w:before="269" w:line="211" w:lineRule="auto"/>
        <w:jc w:val="right"/>
        <w:rPr>
          <w:rFonts w:ascii="宋体" w:hAnsi="宋体" w:eastAsia="宋体" w:cs="宋体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 xml:space="preserve">部门：徐闻县农业农村局  </w:t>
      </w:r>
      <w:r>
        <w:rPr>
          <w:rFonts w:ascii="宋体" w:hAnsi="宋体" w:eastAsia="宋体" w:cs="宋体"/>
          <w:sz w:val="24"/>
          <w:szCs w:val="24"/>
        </w:rPr>
        <w:t xml:space="preserve">                                                                                   </w:t>
      </w:r>
      <w:r>
        <w:rPr>
          <w:rFonts w:ascii="宋体" w:hAnsi="宋体" w:eastAsia="宋体" w:cs="宋体"/>
          <w:spacing w:val="-1"/>
          <w:sz w:val="24"/>
          <w:szCs w:val="24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spacing w:val="-1"/>
          <w:sz w:val="24"/>
          <w:szCs w:val="24"/>
        </w:rPr>
        <w:t xml:space="preserve">    单位：万元</w:t>
      </w:r>
    </w:p>
    <w:tbl>
      <w:tblPr>
        <w:tblStyle w:val="5"/>
        <w:tblW w:w="1510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6"/>
        <w:gridCol w:w="1208"/>
        <w:gridCol w:w="1358"/>
        <w:gridCol w:w="1208"/>
        <w:gridCol w:w="1207"/>
        <w:gridCol w:w="1207"/>
        <w:gridCol w:w="1357"/>
        <w:gridCol w:w="1207"/>
        <w:gridCol w:w="1358"/>
        <w:gridCol w:w="1207"/>
        <w:gridCol w:w="1207"/>
        <w:gridCol w:w="1214"/>
      </w:tblGrid>
      <w:tr w14:paraId="126CA5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554" w:type="dxa"/>
            <w:gridSpan w:val="6"/>
            <w:tcBorders>
              <w:right w:val="single" w:color="000000" w:sz="4" w:space="0"/>
            </w:tcBorders>
            <w:vAlign w:val="top"/>
          </w:tcPr>
          <w:p w14:paraId="54BE3F18">
            <w:pPr>
              <w:pStyle w:val="6"/>
              <w:spacing w:before="55" w:line="219" w:lineRule="auto"/>
              <w:ind w:left="3477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18"/>
                <w:szCs w:val="18"/>
              </w:rPr>
              <w:t>预算数</w:t>
            </w:r>
          </w:p>
        </w:tc>
        <w:tc>
          <w:tcPr>
            <w:tcW w:w="7550" w:type="dxa"/>
            <w:gridSpan w:val="6"/>
            <w:tcBorders>
              <w:left w:val="single" w:color="000000" w:sz="4" w:space="0"/>
            </w:tcBorders>
            <w:vAlign w:val="top"/>
          </w:tcPr>
          <w:p w14:paraId="22721074">
            <w:pPr>
              <w:pStyle w:val="6"/>
              <w:spacing w:before="55" w:line="219" w:lineRule="auto"/>
              <w:ind w:left="3484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18"/>
                <w:szCs w:val="18"/>
              </w:rPr>
              <w:t>决算数</w:t>
            </w:r>
          </w:p>
        </w:tc>
      </w:tr>
      <w:tr w14:paraId="053261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366" w:type="dxa"/>
            <w:vMerge w:val="restart"/>
            <w:tcBorders>
              <w:bottom w:val="nil"/>
            </w:tcBorders>
            <w:vAlign w:val="top"/>
          </w:tcPr>
          <w:p w14:paraId="7513D526">
            <w:pPr>
              <w:spacing w:line="303" w:lineRule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</w:p>
          <w:p w14:paraId="42ACDC21">
            <w:pPr>
              <w:pStyle w:val="6"/>
              <w:spacing w:before="66" w:line="220" w:lineRule="auto"/>
              <w:ind w:left="480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208" w:type="dxa"/>
            <w:vMerge w:val="restart"/>
            <w:tcBorders>
              <w:bottom w:val="nil"/>
            </w:tcBorders>
            <w:vAlign w:val="top"/>
          </w:tcPr>
          <w:p w14:paraId="092C5021">
            <w:pPr>
              <w:pStyle w:val="6"/>
              <w:spacing w:before="215" w:line="290" w:lineRule="auto"/>
              <w:ind w:left="203" w:right="201" w:firstLine="10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  <w:sz w:val="18"/>
                <w:szCs w:val="18"/>
              </w:rPr>
              <w:t>因公出国</w:t>
            </w:r>
            <w:r>
              <w:rPr>
                <w:rFonts w:hint="eastAsia" w:ascii="方正仿宋_GB2312" w:hAnsi="方正仿宋_GB2312" w:eastAsia="方正仿宋_GB2312" w:cs="方正仿宋_GB2312"/>
                <w:spacing w:val="-5"/>
                <w:sz w:val="18"/>
                <w:szCs w:val="18"/>
              </w:rPr>
              <w:t>（境）费</w:t>
            </w:r>
          </w:p>
        </w:tc>
        <w:tc>
          <w:tcPr>
            <w:tcW w:w="3773" w:type="dxa"/>
            <w:gridSpan w:val="3"/>
            <w:vAlign w:val="top"/>
          </w:tcPr>
          <w:p w14:paraId="3E4B5966">
            <w:pPr>
              <w:pStyle w:val="6"/>
              <w:spacing w:before="50" w:line="219" w:lineRule="auto"/>
              <w:ind w:left="688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207" w:type="dxa"/>
            <w:vMerge w:val="restart"/>
            <w:tcBorders>
              <w:bottom w:val="nil"/>
              <w:right w:val="single" w:color="000000" w:sz="4" w:space="0"/>
            </w:tcBorders>
            <w:vAlign w:val="top"/>
          </w:tcPr>
          <w:p w14:paraId="61866A5C">
            <w:pPr>
              <w:spacing w:line="303" w:lineRule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</w:p>
          <w:p w14:paraId="40C6BFD7">
            <w:pPr>
              <w:pStyle w:val="6"/>
              <w:spacing w:before="65" w:line="219" w:lineRule="auto"/>
              <w:ind w:left="108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18"/>
                <w:szCs w:val="18"/>
              </w:rPr>
              <w:t>公务接待费</w:t>
            </w:r>
          </w:p>
        </w:tc>
        <w:tc>
          <w:tcPr>
            <w:tcW w:w="1357" w:type="dxa"/>
            <w:vMerge w:val="restart"/>
            <w:tcBorders>
              <w:left w:val="single" w:color="000000" w:sz="4" w:space="0"/>
              <w:bottom w:val="nil"/>
            </w:tcBorders>
            <w:vAlign w:val="top"/>
          </w:tcPr>
          <w:p w14:paraId="703650A2">
            <w:pPr>
              <w:spacing w:line="303" w:lineRule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</w:p>
          <w:p w14:paraId="6AEDAFFC">
            <w:pPr>
              <w:pStyle w:val="6"/>
              <w:spacing w:before="66" w:line="220" w:lineRule="auto"/>
              <w:ind w:left="482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207" w:type="dxa"/>
            <w:vMerge w:val="restart"/>
            <w:tcBorders>
              <w:bottom w:val="nil"/>
            </w:tcBorders>
            <w:vAlign w:val="top"/>
          </w:tcPr>
          <w:p w14:paraId="0734AD11">
            <w:pPr>
              <w:pStyle w:val="6"/>
              <w:spacing w:before="215" w:line="290" w:lineRule="auto"/>
              <w:ind w:left="211" w:right="193" w:firstLine="10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  <w:sz w:val="18"/>
                <w:szCs w:val="18"/>
              </w:rPr>
              <w:t>因公出国</w:t>
            </w:r>
            <w:r>
              <w:rPr>
                <w:rFonts w:hint="eastAsia" w:ascii="方正仿宋_GB2312" w:hAnsi="方正仿宋_GB2312" w:eastAsia="方正仿宋_GB2312" w:cs="方正仿宋_GB2312"/>
                <w:spacing w:val="-5"/>
                <w:sz w:val="18"/>
                <w:szCs w:val="18"/>
              </w:rPr>
              <w:t>（境）费</w:t>
            </w:r>
          </w:p>
        </w:tc>
        <w:tc>
          <w:tcPr>
            <w:tcW w:w="3772" w:type="dxa"/>
            <w:gridSpan w:val="3"/>
            <w:vAlign w:val="top"/>
          </w:tcPr>
          <w:p w14:paraId="13A9130E">
            <w:pPr>
              <w:pStyle w:val="6"/>
              <w:spacing w:before="50" w:line="219" w:lineRule="auto"/>
              <w:ind w:left="696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214" w:type="dxa"/>
            <w:vMerge w:val="restart"/>
            <w:tcBorders>
              <w:bottom w:val="nil"/>
            </w:tcBorders>
            <w:vAlign w:val="top"/>
          </w:tcPr>
          <w:p w14:paraId="6BD020CD">
            <w:pPr>
              <w:spacing w:line="303" w:lineRule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</w:p>
          <w:p w14:paraId="590EA56F">
            <w:pPr>
              <w:pStyle w:val="6"/>
              <w:spacing w:before="65" w:line="219" w:lineRule="auto"/>
              <w:ind w:left="116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18"/>
                <w:szCs w:val="18"/>
              </w:rPr>
              <w:t>公务接待费</w:t>
            </w:r>
          </w:p>
        </w:tc>
      </w:tr>
      <w:tr w14:paraId="2F0580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66" w:type="dxa"/>
            <w:vMerge w:val="continue"/>
            <w:tcBorders>
              <w:top w:val="nil"/>
            </w:tcBorders>
            <w:vAlign w:val="top"/>
          </w:tcPr>
          <w:p w14:paraId="2F24220E">
            <w:pPr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</w:p>
        </w:tc>
        <w:tc>
          <w:tcPr>
            <w:tcW w:w="1208" w:type="dxa"/>
            <w:vMerge w:val="continue"/>
            <w:tcBorders>
              <w:top w:val="nil"/>
            </w:tcBorders>
            <w:vAlign w:val="top"/>
          </w:tcPr>
          <w:p w14:paraId="616E2EB8">
            <w:pPr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</w:p>
        </w:tc>
        <w:tc>
          <w:tcPr>
            <w:tcW w:w="1358" w:type="dxa"/>
            <w:vAlign w:val="top"/>
          </w:tcPr>
          <w:p w14:paraId="48F02C42">
            <w:pPr>
              <w:pStyle w:val="6"/>
              <w:spacing w:before="210" w:line="220" w:lineRule="auto"/>
              <w:ind w:left="480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18"/>
                <w:szCs w:val="18"/>
              </w:rPr>
              <w:t>小计</w:t>
            </w:r>
          </w:p>
        </w:tc>
        <w:tc>
          <w:tcPr>
            <w:tcW w:w="1208" w:type="dxa"/>
            <w:vAlign w:val="top"/>
          </w:tcPr>
          <w:p w14:paraId="4C8C30A6">
            <w:pPr>
              <w:pStyle w:val="6"/>
              <w:spacing w:before="54" w:line="256" w:lineRule="auto"/>
              <w:ind w:left="403" w:right="98" w:hanging="296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18"/>
                <w:szCs w:val="18"/>
              </w:rPr>
              <w:t>公务用车购置费</w:t>
            </w:r>
          </w:p>
        </w:tc>
        <w:tc>
          <w:tcPr>
            <w:tcW w:w="1207" w:type="dxa"/>
            <w:vAlign w:val="top"/>
          </w:tcPr>
          <w:p w14:paraId="079D043B">
            <w:pPr>
              <w:pStyle w:val="6"/>
              <w:spacing w:before="54" w:line="256" w:lineRule="auto"/>
              <w:ind w:left="200" w:right="97" w:hanging="93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18"/>
                <w:szCs w:val="18"/>
              </w:rPr>
              <w:t>公务用车运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18"/>
                <w:szCs w:val="18"/>
              </w:rPr>
              <w:t>行维护费</w:t>
            </w:r>
          </w:p>
        </w:tc>
        <w:tc>
          <w:tcPr>
            <w:tcW w:w="1207" w:type="dxa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 w14:paraId="58B02CA0">
            <w:pPr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</w:p>
        </w:tc>
        <w:tc>
          <w:tcPr>
            <w:tcW w:w="1357" w:type="dxa"/>
            <w:vMerge w:val="continue"/>
            <w:tcBorders>
              <w:top w:val="nil"/>
              <w:left w:val="single" w:color="000000" w:sz="4" w:space="0"/>
            </w:tcBorders>
            <w:vAlign w:val="top"/>
          </w:tcPr>
          <w:p w14:paraId="16C99937">
            <w:pPr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</w:p>
        </w:tc>
        <w:tc>
          <w:tcPr>
            <w:tcW w:w="1207" w:type="dxa"/>
            <w:vMerge w:val="continue"/>
            <w:tcBorders>
              <w:top w:val="nil"/>
            </w:tcBorders>
            <w:vAlign w:val="top"/>
          </w:tcPr>
          <w:p w14:paraId="7E1D99ED">
            <w:pPr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</w:p>
        </w:tc>
        <w:tc>
          <w:tcPr>
            <w:tcW w:w="1358" w:type="dxa"/>
            <w:vAlign w:val="top"/>
          </w:tcPr>
          <w:p w14:paraId="2F3E1DF1">
            <w:pPr>
              <w:pStyle w:val="6"/>
              <w:spacing w:before="210" w:line="220" w:lineRule="auto"/>
              <w:ind w:left="489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18"/>
                <w:szCs w:val="18"/>
              </w:rPr>
              <w:t>小计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78DDEA4D">
            <w:pPr>
              <w:pStyle w:val="6"/>
              <w:spacing w:before="54" w:line="256" w:lineRule="auto"/>
              <w:ind w:left="410" w:right="93" w:hanging="296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18"/>
                <w:szCs w:val="18"/>
              </w:rPr>
              <w:t>公务用车购置费</w:t>
            </w:r>
          </w:p>
        </w:tc>
        <w:tc>
          <w:tcPr>
            <w:tcW w:w="1207" w:type="dxa"/>
            <w:tcBorders>
              <w:left w:val="single" w:color="000000" w:sz="4" w:space="0"/>
            </w:tcBorders>
            <w:vAlign w:val="top"/>
          </w:tcPr>
          <w:p w14:paraId="71521BF5">
            <w:pPr>
              <w:pStyle w:val="6"/>
              <w:spacing w:before="54" w:line="256" w:lineRule="auto"/>
              <w:ind w:left="211" w:right="89" w:hanging="93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18"/>
                <w:szCs w:val="18"/>
              </w:rPr>
              <w:t>公务用车运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18"/>
                <w:szCs w:val="18"/>
              </w:rPr>
              <w:t>行维护费</w:t>
            </w:r>
          </w:p>
        </w:tc>
        <w:tc>
          <w:tcPr>
            <w:tcW w:w="1214" w:type="dxa"/>
            <w:vMerge w:val="continue"/>
            <w:tcBorders>
              <w:top w:val="nil"/>
            </w:tcBorders>
            <w:vAlign w:val="top"/>
          </w:tcPr>
          <w:p w14:paraId="7921FBEA">
            <w:pPr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</w:p>
        </w:tc>
      </w:tr>
      <w:tr w14:paraId="70B507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366" w:type="dxa"/>
            <w:vAlign w:val="top"/>
          </w:tcPr>
          <w:p w14:paraId="503DE8BB">
            <w:pPr>
              <w:pStyle w:val="6"/>
              <w:spacing w:before="59" w:line="222" w:lineRule="auto"/>
              <w:ind w:left="594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  <w:t>1</w:t>
            </w:r>
          </w:p>
        </w:tc>
        <w:tc>
          <w:tcPr>
            <w:tcW w:w="1208" w:type="dxa"/>
            <w:vAlign w:val="top"/>
          </w:tcPr>
          <w:p w14:paraId="1B0EFFDA">
            <w:pPr>
              <w:pStyle w:val="6"/>
              <w:spacing w:before="59" w:line="222" w:lineRule="auto"/>
              <w:ind w:left="500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  <w:t>2</w:t>
            </w:r>
          </w:p>
        </w:tc>
        <w:tc>
          <w:tcPr>
            <w:tcW w:w="1358" w:type="dxa"/>
            <w:vAlign w:val="top"/>
          </w:tcPr>
          <w:p w14:paraId="3AD694B6">
            <w:pPr>
              <w:pStyle w:val="6"/>
              <w:spacing w:before="59" w:line="222" w:lineRule="auto"/>
              <w:ind w:left="578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  <w:t>3</w:t>
            </w:r>
          </w:p>
        </w:tc>
        <w:tc>
          <w:tcPr>
            <w:tcW w:w="1208" w:type="dxa"/>
            <w:vAlign w:val="top"/>
          </w:tcPr>
          <w:p w14:paraId="12CF016F">
            <w:pPr>
              <w:pStyle w:val="6"/>
              <w:spacing w:before="59" w:line="222" w:lineRule="auto"/>
              <w:ind w:left="500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  <w:t>4</w:t>
            </w:r>
          </w:p>
        </w:tc>
        <w:tc>
          <w:tcPr>
            <w:tcW w:w="1207" w:type="dxa"/>
            <w:vAlign w:val="top"/>
          </w:tcPr>
          <w:p w14:paraId="2A4AF938">
            <w:pPr>
              <w:pStyle w:val="6"/>
              <w:spacing w:before="59" w:line="222" w:lineRule="auto"/>
              <w:ind w:left="505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  <w:t>5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34B10EC9">
            <w:pPr>
              <w:pStyle w:val="6"/>
              <w:spacing w:before="59" w:line="222" w:lineRule="auto"/>
              <w:ind w:left="504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  <w:t>6</w:t>
            </w:r>
          </w:p>
        </w:tc>
        <w:tc>
          <w:tcPr>
            <w:tcW w:w="1357" w:type="dxa"/>
            <w:tcBorders>
              <w:left w:val="single" w:color="000000" w:sz="4" w:space="0"/>
            </w:tcBorders>
            <w:vAlign w:val="top"/>
          </w:tcPr>
          <w:p w14:paraId="2C184AF8">
            <w:pPr>
              <w:pStyle w:val="6"/>
              <w:spacing w:before="59" w:line="222" w:lineRule="auto"/>
              <w:ind w:left="586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  <w:t>7</w:t>
            </w:r>
          </w:p>
        </w:tc>
        <w:tc>
          <w:tcPr>
            <w:tcW w:w="1207" w:type="dxa"/>
            <w:vAlign w:val="top"/>
          </w:tcPr>
          <w:p w14:paraId="6F8D1B22">
            <w:pPr>
              <w:pStyle w:val="6"/>
              <w:spacing w:before="59" w:line="222" w:lineRule="auto"/>
              <w:ind w:left="506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  <w:t>8</w:t>
            </w:r>
          </w:p>
        </w:tc>
        <w:tc>
          <w:tcPr>
            <w:tcW w:w="1358" w:type="dxa"/>
            <w:vAlign w:val="top"/>
          </w:tcPr>
          <w:p w14:paraId="1021AF51">
            <w:pPr>
              <w:pStyle w:val="6"/>
              <w:spacing w:before="59" w:line="222" w:lineRule="auto"/>
              <w:ind w:left="583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  <w:t>9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536D4E62">
            <w:pPr>
              <w:pStyle w:val="6"/>
              <w:spacing w:before="59" w:line="222" w:lineRule="auto"/>
              <w:ind w:left="473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  <w:sz w:val="18"/>
                <w:szCs w:val="18"/>
              </w:rPr>
              <w:t>10</w:t>
            </w:r>
          </w:p>
        </w:tc>
        <w:tc>
          <w:tcPr>
            <w:tcW w:w="1207" w:type="dxa"/>
            <w:tcBorders>
              <w:left w:val="single" w:color="000000" w:sz="4" w:space="0"/>
            </w:tcBorders>
            <w:vAlign w:val="top"/>
          </w:tcPr>
          <w:p w14:paraId="621E22EA">
            <w:pPr>
              <w:pStyle w:val="6"/>
              <w:spacing w:before="59" w:line="222" w:lineRule="auto"/>
              <w:ind w:left="476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  <w:sz w:val="18"/>
                <w:szCs w:val="18"/>
              </w:rPr>
              <w:t>11</w:t>
            </w:r>
          </w:p>
        </w:tc>
        <w:tc>
          <w:tcPr>
            <w:tcW w:w="1214" w:type="dxa"/>
            <w:vAlign w:val="top"/>
          </w:tcPr>
          <w:p w14:paraId="565CEE87">
            <w:pPr>
              <w:pStyle w:val="6"/>
              <w:spacing w:before="59" w:line="222" w:lineRule="auto"/>
              <w:ind w:left="475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  <w:sz w:val="18"/>
                <w:szCs w:val="18"/>
              </w:rPr>
              <w:t>12</w:t>
            </w:r>
          </w:p>
        </w:tc>
      </w:tr>
      <w:tr w14:paraId="48C6BA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366" w:type="dxa"/>
            <w:vAlign w:val="top"/>
          </w:tcPr>
          <w:p w14:paraId="363C3FCA">
            <w:pPr>
              <w:pStyle w:val="6"/>
              <w:spacing w:before="61" w:line="227" w:lineRule="auto"/>
              <w:ind w:right="2"/>
              <w:jc w:val="right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18"/>
                <w:szCs w:val="18"/>
              </w:rPr>
              <w:t>12.99</w:t>
            </w:r>
          </w:p>
        </w:tc>
        <w:tc>
          <w:tcPr>
            <w:tcW w:w="1208" w:type="dxa"/>
            <w:vAlign w:val="top"/>
          </w:tcPr>
          <w:p w14:paraId="3A8DA913">
            <w:pPr>
              <w:pStyle w:val="6"/>
              <w:spacing w:before="61" w:line="227" w:lineRule="auto"/>
              <w:ind w:right="3"/>
              <w:jc w:val="right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18"/>
                <w:szCs w:val="18"/>
              </w:rPr>
              <w:t>0.00</w:t>
            </w:r>
          </w:p>
        </w:tc>
        <w:tc>
          <w:tcPr>
            <w:tcW w:w="1358" w:type="dxa"/>
            <w:vAlign w:val="top"/>
          </w:tcPr>
          <w:p w14:paraId="08F2C2D1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18"/>
                <w:szCs w:val="18"/>
              </w:rPr>
              <w:t>12.41</w:t>
            </w:r>
          </w:p>
        </w:tc>
        <w:tc>
          <w:tcPr>
            <w:tcW w:w="1208" w:type="dxa"/>
            <w:vAlign w:val="top"/>
          </w:tcPr>
          <w:p w14:paraId="05ECA182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18"/>
                <w:szCs w:val="18"/>
              </w:rPr>
              <w:t>0.00</w:t>
            </w:r>
          </w:p>
        </w:tc>
        <w:tc>
          <w:tcPr>
            <w:tcW w:w="1207" w:type="dxa"/>
            <w:vAlign w:val="top"/>
          </w:tcPr>
          <w:p w14:paraId="312DDB0B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18"/>
                <w:szCs w:val="18"/>
              </w:rPr>
              <w:t>12.41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05395513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18"/>
                <w:szCs w:val="18"/>
              </w:rPr>
              <w:t>0.58</w:t>
            </w:r>
          </w:p>
        </w:tc>
        <w:tc>
          <w:tcPr>
            <w:tcW w:w="1357" w:type="dxa"/>
            <w:tcBorders>
              <w:left w:val="single" w:color="000000" w:sz="4" w:space="0"/>
            </w:tcBorders>
            <w:vAlign w:val="top"/>
          </w:tcPr>
          <w:p w14:paraId="6617B050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18"/>
                <w:szCs w:val="18"/>
              </w:rPr>
              <w:t>12.99</w:t>
            </w:r>
          </w:p>
        </w:tc>
        <w:tc>
          <w:tcPr>
            <w:tcW w:w="1207" w:type="dxa"/>
            <w:vAlign w:val="top"/>
          </w:tcPr>
          <w:p w14:paraId="4810ABA0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18"/>
                <w:szCs w:val="18"/>
              </w:rPr>
              <w:t>0.00</w:t>
            </w:r>
          </w:p>
        </w:tc>
        <w:tc>
          <w:tcPr>
            <w:tcW w:w="1358" w:type="dxa"/>
            <w:vAlign w:val="top"/>
          </w:tcPr>
          <w:p w14:paraId="6E4AFB56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  <w:sz w:val="18"/>
                <w:szCs w:val="18"/>
              </w:rPr>
              <w:t>12.41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11167431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18"/>
                <w:szCs w:val="18"/>
              </w:rPr>
              <w:t>0.00</w:t>
            </w:r>
          </w:p>
        </w:tc>
        <w:tc>
          <w:tcPr>
            <w:tcW w:w="1207" w:type="dxa"/>
            <w:tcBorders>
              <w:left w:val="single" w:color="000000" w:sz="4" w:space="0"/>
            </w:tcBorders>
            <w:vAlign w:val="top"/>
          </w:tcPr>
          <w:p w14:paraId="0037DC97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  <w:sz w:val="18"/>
                <w:szCs w:val="18"/>
              </w:rPr>
              <w:t>12.41</w:t>
            </w:r>
          </w:p>
        </w:tc>
        <w:tc>
          <w:tcPr>
            <w:tcW w:w="1214" w:type="dxa"/>
            <w:vAlign w:val="top"/>
          </w:tcPr>
          <w:p w14:paraId="29C7A5F9">
            <w:pPr>
              <w:pStyle w:val="6"/>
              <w:spacing w:before="61" w:line="227" w:lineRule="auto"/>
              <w:jc w:val="right"/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18"/>
                <w:szCs w:val="18"/>
              </w:rPr>
              <w:t>0.58</w:t>
            </w:r>
          </w:p>
        </w:tc>
      </w:tr>
    </w:tbl>
    <w:p w14:paraId="1845B778">
      <w:pPr>
        <w:spacing w:before="9" w:line="211" w:lineRule="auto"/>
        <w:ind w:left="10" w:hanging="4"/>
        <w:rPr>
          <w:rFonts w:hint="eastAsia" w:ascii="方正仿宋_GB2312" w:hAnsi="方正仿宋_GB2312" w:eastAsia="方正仿宋_GB2312" w:cs="方正仿宋_GB2312"/>
          <w:sz w:val="18"/>
          <w:szCs w:val="18"/>
        </w:rPr>
      </w:pPr>
      <w:r>
        <w:rPr>
          <w:rFonts w:hint="eastAsia" w:ascii="方正仿宋_GB2312" w:hAnsi="方正仿宋_GB2312" w:eastAsia="方正仿宋_GB2312" w:cs="方正仿宋_GB2312"/>
          <w:sz w:val="18"/>
          <w:szCs w:val="18"/>
        </w:rPr>
        <w:t>注：本表反映部门本年度财政拨款“三公”经费支出预决算情况。其中，预算数为“三公”经费全年预算数，反映按规定程序调整后的预算数；决算数是包括当年财政拨款和</w:t>
      </w:r>
      <w:r>
        <w:rPr>
          <w:rFonts w:hint="eastAsia" w:ascii="方正仿宋_GB2312" w:hAnsi="方正仿宋_GB2312" w:eastAsia="方正仿宋_GB2312" w:cs="方正仿宋_GB2312"/>
          <w:spacing w:val="-1"/>
          <w:sz w:val="18"/>
          <w:szCs w:val="18"/>
        </w:rPr>
        <w:t>以前年度结转资金</w:t>
      </w:r>
      <w:r>
        <w:rPr>
          <w:rFonts w:hint="eastAsia" w:ascii="方正仿宋_GB2312" w:hAnsi="方正仿宋_GB2312" w:eastAsia="方正仿宋_GB2312" w:cs="方正仿宋_GB2312"/>
          <w:spacing w:val="-4"/>
          <w:sz w:val="18"/>
          <w:szCs w:val="18"/>
        </w:rPr>
        <w:t>安排的实际支出。</w:t>
      </w:r>
    </w:p>
    <w:p w14:paraId="33CC0A4C">
      <w:pPr>
        <w:spacing w:line="211" w:lineRule="auto"/>
        <w:rPr>
          <w:rFonts w:ascii="宋体" w:hAnsi="宋体" w:eastAsia="宋体" w:cs="宋体"/>
          <w:sz w:val="18"/>
          <w:szCs w:val="18"/>
        </w:rPr>
        <w:sectPr>
          <w:headerReference r:id="rId5" w:type="default"/>
          <w:footerReference r:id="rId6" w:type="default"/>
          <w:pgSz w:w="16838" w:h="11906"/>
          <w:pgMar w:top="400" w:right="877" w:bottom="412" w:left="840" w:header="0" w:footer="189" w:gutter="0"/>
          <w:cols w:space="720" w:num="1"/>
        </w:sectPr>
      </w:pPr>
    </w:p>
    <w:p w14:paraId="71F88BF1">
      <w:pPr>
        <w:spacing w:line="400" w:lineRule="auto"/>
        <w:rPr>
          <w:rFonts w:ascii="Arial"/>
          <w:sz w:val="21"/>
        </w:rPr>
      </w:pPr>
    </w:p>
    <w:p w14:paraId="2B2F0C2D">
      <w:pPr>
        <w:pStyle w:val="2"/>
        <w:spacing w:before="30" w:line="221" w:lineRule="auto"/>
        <w:ind w:left="640"/>
      </w:pPr>
    </w:p>
    <w:p w14:paraId="40489EB1">
      <w:pPr>
        <w:spacing w:before="266" w:line="222" w:lineRule="auto"/>
        <w:ind w:left="6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-6"/>
          <w:sz w:val="32"/>
          <w:szCs w:val="32"/>
        </w:rPr>
        <w:t>（一）“三公”经费财政拨款支出决算总体情况说明</w:t>
      </w:r>
    </w:p>
    <w:p w14:paraId="31E8FE5B">
      <w:pPr>
        <w:spacing w:before="97" w:line="369" w:lineRule="auto"/>
        <w:ind w:left="12" w:firstLine="588"/>
        <w:jc w:val="both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徐闻县农业农村局2025年度“三公”经费财政拨款支出决算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为12.99万元，完成全年预算12.99万元的100%，</w:t>
      </w:r>
      <w:r>
        <w:rPr>
          <w:rFonts w:hint="eastAsia" w:ascii="方正仿宋_GB2312" w:hAnsi="方正仿宋_GB2312" w:eastAsia="方正仿宋_GB2312" w:cs="方正仿宋_GB2312"/>
          <w:spacing w:val="-87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比上年决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算数减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少22.16万元，下降63%。其中：因公出国（境）费支出决算为0万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元，完成预算0万元的0%（基数为0，不可比</w:t>
      </w:r>
      <w:r>
        <w:rPr>
          <w:rFonts w:hint="eastAsia" w:ascii="方正仿宋_GB2312" w:hAnsi="方正仿宋_GB2312" w:eastAsia="方正仿宋_GB2312" w:cs="方正仿宋_GB2312"/>
          <w:spacing w:val="37"/>
          <w:sz w:val="32"/>
          <w:szCs w:val="32"/>
        </w:rPr>
        <w:t>），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比上年决算数增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加0万元，增长0（基数为0，不可比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）；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公务用车购置及运行维护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费支出决算为12.41万元，完成预算12.41万元的100%，</w:t>
      </w:r>
      <w:r>
        <w:rPr>
          <w:rFonts w:hint="eastAsia" w:ascii="方正仿宋_GB2312" w:hAnsi="方正仿宋_GB2312" w:eastAsia="方正仿宋_GB2312" w:cs="方正仿宋_GB2312"/>
          <w:spacing w:val="-87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比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上年决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算数减少22.47万元，下降64.4%；其中：公务用车购置支出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决算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为0万元，完成预算0万元的0%（基数为0，不可比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），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比上年决算数增加0万元，增长0（基数为0，不可比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）；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公务用车运行维护费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支出决算为12.41万元，完成预算12.41万元的100%，</w:t>
      </w:r>
      <w:r>
        <w:rPr>
          <w:rFonts w:hint="eastAsia" w:ascii="方正仿宋_GB2312" w:hAnsi="方正仿宋_GB2312" w:eastAsia="方正仿宋_GB2312" w:cs="方正仿宋_GB2312"/>
          <w:spacing w:val="-87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比上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年决算</w:t>
      </w:r>
      <w:r>
        <w:rPr>
          <w:rFonts w:hint="eastAsia" w:ascii="方正仿宋_GB2312" w:hAnsi="方正仿宋_GB2312" w:eastAsia="方正仿宋_GB2312" w:cs="方正仿宋_GB2312"/>
          <w:spacing w:val="13"/>
          <w:sz w:val="32"/>
          <w:szCs w:val="32"/>
        </w:rPr>
        <w:t>数减少22.47万元，下降64.4%；公务接</w:t>
      </w:r>
      <w:r>
        <w:rPr>
          <w:rFonts w:hint="eastAsia" w:ascii="方正仿宋_GB2312" w:hAnsi="方正仿宋_GB2312" w:eastAsia="方正仿宋_GB2312" w:cs="方正仿宋_GB2312"/>
          <w:spacing w:val="12"/>
          <w:sz w:val="32"/>
          <w:szCs w:val="32"/>
        </w:rPr>
        <w:t>待费支出决算为0.58万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元，完成预算0.58万元的100%，</w:t>
      </w:r>
      <w:r>
        <w:rPr>
          <w:rFonts w:hint="eastAsia" w:ascii="方正仿宋_GB2312" w:hAnsi="方正仿宋_GB2312" w:eastAsia="方正仿宋_GB2312" w:cs="方正仿宋_GB2312"/>
          <w:spacing w:val="-86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比上年决算数增加0.31万元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，增</w:t>
      </w:r>
      <w:r>
        <w:rPr>
          <w:rFonts w:hint="eastAsia" w:ascii="方正仿宋_GB2312" w:hAnsi="方正仿宋_GB2312" w:eastAsia="方正仿宋_GB2312" w:cs="方正仿宋_GB2312"/>
          <w:spacing w:val="-5"/>
          <w:sz w:val="32"/>
          <w:szCs w:val="32"/>
        </w:rPr>
        <w:t>长116.4%。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2025年度“三公”经费支出决算等于预算数的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主要情况：认真贯彻落实中央八项规定精神和厉行节约的要求，从严控制“三</w:t>
      </w:r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</w:rPr>
        <w:t>公”经费开支，全年实际支出比预算有所节约。</w:t>
      </w:r>
    </w:p>
    <w:p w14:paraId="55FE1765">
      <w:pPr>
        <w:spacing w:line="369" w:lineRule="auto"/>
        <w:ind w:left="8" w:firstLine="593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16"/>
          <w:sz w:val="32"/>
          <w:szCs w:val="32"/>
        </w:rPr>
        <w:t>2025年度“三公”经费支出决算小于上年决算数的主要情</w:t>
      </w:r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</w:rPr>
        <w:t>况：由于财政资金紧张，</w:t>
      </w:r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</w:rPr>
        <w:t>三公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  <w:lang w:eastAsia="zh-CN"/>
        </w:rPr>
        <w:t>”</w:t>
      </w:r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</w:rPr>
        <w:t>经费还有未支出的。</w:t>
      </w:r>
    </w:p>
    <w:p w14:paraId="650A255C">
      <w:pPr>
        <w:spacing w:line="221" w:lineRule="auto"/>
        <w:ind w:left="60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-6"/>
          <w:sz w:val="32"/>
          <w:szCs w:val="32"/>
        </w:rPr>
        <w:t>（二）“三公”经费财政拨款支出决算具体情况说明</w:t>
      </w:r>
    </w:p>
    <w:p w14:paraId="504CBD51">
      <w:pPr>
        <w:spacing w:before="241" w:line="369" w:lineRule="auto"/>
        <w:ind w:left="6" w:firstLine="594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2025年度“</w:t>
      </w:r>
      <w:r>
        <w:rPr>
          <w:rFonts w:hint="eastAsia" w:ascii="方正仿宋_GB2312" w:hAnsi="方正仿宋_GB2312" w:eastAsia="方正仿宋_GB2312" w:cs="方正仿宋_GB2312"/>
          <w:spacing w:val="-74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三公</w:t>
      </w:r>
      <w:r>
        <w:rPr>
          <w:rFonts w:hint="eastAsia" w:ascii="方正仿宋_GB2312" w:hAnsi="方正仿宋_GB2312" w:eastAsia="方正仿宋_GB2312" w:cs="方正仿宋_GB2312"/>
          <w:spacing w:val="-8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”经费财政拨款支</w:t>
      </w:r>
      <w:r>
        <w:rPr>
          <w:rFonts w:hint="eastAsia" w:ascii="方正仿宋_GB2312" w:hAnsi="方正仿宋_GB2312" w:eastAsia="方正仿宋_GB2312" w:cs="方正仿宋_GB2312"/>
          <w:spacing w:val="-7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出决算</w:t>
      </w:r>
      <w:r>
        <w:rPr>
          <w:rFonts w:hint="eastAsia" w:ascii="方正仿宋_GB2312" w:hAnsi="方正仿宋_GB2312" w:eastAsia="方正仿宋_GB2312" w:cs="方正仿宋_GB2312"/>
          <w:spacing w:val="-6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中</w:t>
      </w:r>
      <w:r>
        <w:rPr>
          <w:rFonts w:hint="eastAsia" w:ascii="方正仿宋_GB2312" w:hAnsi="方正仿宋_GB2312" w:eastAsia="方正仿宋_GB2312" w:cs="方正仿宋_GB2312"/>
          <w:spacing w:val="-79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，</w:t>
      </w:r>
      <w:r>
        <w:rPr>
          <w:rFonts w:hint="eastAsia" w:ascii="方正仿宋_GB2312" w:hAnsi="方正仿宋_GB2312" w:eastAsia="方正仿宋_GB2312" w:cs="方正仿宋_GB2312"/>
          <w:spacing w:val="-7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因公</w:t>
      </w:r>
      <w:r>
        <w:rPr>
          <w:rFonts w:hint="eastAsia" w:ascii="方正仿宋_GB2312" w:hAnsi="方正仿宋_GB2312" w:eastAsia="方正仿宋_GB2312" w:cs="方正仿宋_GB2312"/>
          <w:spacing w:val="-7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出</w:t>
      </w:r>
      <w:r>
        <w:rPr>
          <w:rFonts w:hint="eastAsia" w:ascii="方正仿宋_GB2312" w:hAnsi="方正仿宋_GB2312" w:eastAsia="方正仿宋_GB2312" w:cs="方正仿宋_GB2312"/>
          <w:spacing w:val="-66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国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（境）费0万元，</w:t>
      </w:r>
      <w:r>
        <w:rPr>
          <w:rFonts w:hint="eastAsia" w:ascii="方正仿宋_GB2312" w:hAnsi="方正仿宋_GB2312" w:eastAsia="方正仿宋_GB2312" w:cs="方正仿宋_GB2312"/>
          <w:spacing w:val="-53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  <w:t>占0%；公务用车购置及运行维护费支出12.41万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元，</w:t>
      </w:r>
      <w:r>
        <w:rPr>
          <w:rFonts w:hint="eastAsia" w:ascii="方正仿宋_GB2312" w:hAnsi="方正仿宋_GB2312" w:eastAsia="方正仿宋_GB2312" w:cs="方正仿宋_GB2312"/>
          <w:spacing w:val="-6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占95.5%；公务接待费支出0.58万元，</w:t>
      </w:r>
      <w:r>
        <w:rPr>
          <w:rFonts w:hint="eastAsia" w:ascii="方正仿宋_GB2312" w:hAnsi="方正仿宋_GB2312" w:eastAsia="方正仿宋_GB2312" w:cs="方正仿宋_GB2312"/>
          <w:spacing w:val="-6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占4.5%。具体情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</w:rPr>
        <w:t>况如</w:t>
      </w:r>
      <w:r>
        <w:rPr>
          <w:rFonts w:hint="eastAsia" w:ascii="方正仿宋_GB2312" w:hAnsi="方正仿宋_GB2312" w:eastAsia="方正仿宋_GB2312" w:cs="方正仿宋_GB2312"/>
          <w:spacing w:val="-22"/>
          <w:sz w:val="32"/>
          <w:szCs w:val="32"/>
        </w:rPr>
        <w:t>下：</w:t>
      </w:r>
    </w:p>
    <w:p w14:paraId="07FABF3A">
      <w:pPr>
        <w:spacing w:before="2" w:line="369" w:lineRule="auto"/>
        <w:ind w:firstLine="619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1.因公出国（境）费支出0万元。全年使用财政</w:t>
      </w:r>
      <w:r>
        <w:rPr>
          <w:rFonts w:hint="eastAsia" w:ascii="方正仿宋_GB2312" w:hAnsi="方正仿宋_GB2312" w:eastAsia="方正仿宋_GB2312" w:cs="方正仿宋_GB2312"/>
          <w:spacing w:val="-2"/>
          <w:sz w:val="32"/>
          <w:szCs w:val="32"/>
        </w:rPr>
        <w:t>拨款安排出国（境）团组0个、累计0人次。开支内容包括</w:t>
      </w: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：（</w:t>
      </w:r>
      <w:r>
        <w:rPr>
          <w:rFonts w:hint="eastAsia" w:ascii="方正仿宋_GB2312" w:hAnsi="方正仿宋_GB2312" w:eastAsia="方正仿宋_GB2312" w:cs="方正仿宋_GB2312"/>
          <w:spacing w:val="-2"/>
          <w:sz w:val="32"/>
          <w:szCs w:val="32"/>
        </w:rPr>
        <w:t>1）参加会议支出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0万元</w:t>
      </w:r>
      <w:r>
        <w:rPr>
          <w:rFonts w:hint="eastAsia" w:ascii="方正仿宋_GB2312" w:hAnsi="方正仿宋_GB2312" w:eastAsia="方正仿宋_GB2312" w:cs="方正仿宋_GB2312"/>
          <w:spacing w:val="-14"/>
          <w:sz w:val="32"/>
          <w:szCs w:val="32"/>
        </w:rPr>
        <w:t>；（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2）</w:t>
      </w:r>
      <w:r>
        <w:rPr>
          <w:rFonts w:hint="eastAsia" w:ascii="方正仿宋_GB2312" w:hAnsi="方正仿宋_GB2312" w:eastAsia="方正仿宋_GB2312" w:cs="方正仿宋_GB2312"/>
          <w:spacing w:val="-88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出国谈判、工作磋商支出0万元</w:t>
      </w:r>
      <w:r>
        <w:rPr>
          <w:rFonts w:hint="eastAsia" w:ascii="方正仿宋_GB2312" w:hAnsi="方正仿宋_GB2312" w:eastAsia="方正仿宋_GB2312" w:cs="方正仿宋_GB2312"/>
          <w:spacing w:val="-14"/>
          <w:sz w:val="32"/>
          <w:szCs w:val="32"/>
        </w:rPr>
        <w:t>；（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3）境外业务培</w:t>
      </w:r>
      <w:r>
        <w:rPr>
          <w:rFonts w:hint="eastAsia" w:ascii="方正仿宋_GB2312" w:hAnsi="方正仿宋_GB2312" w:eastAsia="方正仿宋_GB2312" w:cs="方正仿宋_GB2312"/>
          <w:spacing w:val="-6"/>
          <w:sz w:val="32"/>
          <w:szCs w:val="32"/>
        </w:rPr>
        <w:t>训及考察0万元。</w:t>
      </w:r>
    </w:p>
    <w:p w14:paraId="4347F29B">
      <w:pPr>
        <w:spacing w:before="1" w:line="369" w:lineRule="auto"/>
        <w:ind w:left="6" w:firstLine="594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-1"/>
          <w:sz w:val="32"/>
          <w:szCs w:val="32"/>
        </w:rPr>
        <w:t>2.公务用车购置及运行维护费支出12.41万元，其中：公务用</w:t>
      </w: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车购置支出为0万元，公务用车购置数0辆。公务用车运行维护费</w:t>
      </w:r>
      <w:r>
        <w:rPr>
          <w:rFonts w:hint="eastAsia" w:ascii="方正仿宋_GB2312" w:hAnsi="方正仿宋_GB2312" w:eastAsia="方正仿宋_GB2312" w:cs="方正仿宋_GB2312"/>
          <w:spacing w:val="9"/>
          <w:sz w:val="32"/>
          <w:szCs w:val="32"/>
        </w:rPr>
        <w:t>支出12.41万元，公务用车保有量为12辆，主要用于开展业务工</w:t>
      </w:r>
      <w:r>
        <w:rPr>
          <w:rFonts w:hint="eastAsia" w:ascii="方正仿宋_GB2312" w:hAnsi="方正仿宋_GB2312" w:eastAsia="方正仿宋_GB2312" w:cs="方正仿宋_GB2312"/>
          <w:spacing w:val="-15"/>
          <w:sz w:val="32"/>
          <w:szCs w:val="32"/>
        </w:rPr>
        <w:t>作。</w:t>
      </w:r>
    </w:p>
    <w:p w14:paraId="3A3168D4">
      <w:pPr>
        <w:spacing w:before="1" w:line="369" w:lineRule="auto"/>
        <w:ind w:left="8" w:firstLine="595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3.公务接待费支出0.58万元，主要用于接待上级单位开展工作，共接待国外、境外来访团组0个，来访外宾0人次；发生国内接待11次，接待人数共72人。主要包括接待上级单位检查指导工</w:t>
      </w:r>
      <w:r>
        <w:rPr>
          <w:rFonts w:hint="eastAsia" w:ascii="方正仿宋_GB2312" w:hAnsi="方正仿宋_GB2312" w:eastAsia="方正仿宋_GB2312" w:cs="方正仿宋_GB2312"/>
          <w:spacing w:val="-16"/>
          <w:sz w:val="32"/>
          <w:szCs w:val="32"/>
        </w:rPr>
        <w:t>作。</w:t>
      </w:r>
    </w:p>
    <w:p w14:paraId="29C1C3B8">
      <w:pPr>
        <w:spacing w:before="231" w:line="370" w:lineRule="auto"/>
        <w:ind w:firstLine="600"/>
        <w:jc w:val="both"/>
        <w:rPr>
          <w:rFonts w:hint="eastAsia" w:ascii="方正仿宋_GB2312" w:hAnsi="方正仿宋_GB2312" w:eastAsia="方正仿宋_GB2312" w:cs="方正仿宋_GB2312"/>
          <w:sz w:val="32"/>
          <w:szCs w:val="32"/>
        </w:rPr>
        <w:sectPr>
          <w:footerReference r:id="rId7" w:type="default"/>
          <w:pgSz w:w="11906" w:h="16838"/>
          <w:pgMar w:top="400" w:right="1615" w:bottom="412" w:left="1758" w:header="0" w:footer="189" w:gutter="0"/>
          <w:cols w:space="720" w:num="1"/>
        </w:sectPr>
      </w:pPr>
    </w:p>
    <w:p w14:paraId="49570581">
      <w:pPr>
        <w:spacing w:line="368" w:lineRule="auto"/>
        <w:rPr>
          <w:rFonts w:ascii="Arial"/>
          <w:sz w:val="21"/>
        </w:rPr>
      </w:pPr>
    </w:p>
    <w:p w14:paraId="0EF27B81">
      <w:pPr>
        <w:spacing w:line="368" w:lineRule="auto"/>
        <w:rPr>
          <w:rFonts w:ascii="Arial"/>
          <w:sz w:val="21"/>
        </w:rPr>
      </w:pPr>
    </w:p>
    <w:p w14:paraId="0AC53111">
      <w:pPr>
        <w:spacing w:line="256" w:lineRule="auto"/>
        <w:rPr>
          <w:rFonts w:ascii="Arial"/>
          <w:sz w:val="21"/>
        </w:rPr>
      </w:pPr>
    </w:p>
    <w:p w14:paraId="414A2FD7">
      <w:pPr>
        <w:spacing w:line="369" w:lineRule="auto"/>
        <w:rPr>
          <w:rFonts w:ascii="仿宋" w:hAnsi="仿宋" w:eastAsia="仿宋" w:cs="仿宋"/>
          <w:sz w:val="30"/>
          <w:szCs w:val="30"/>
        </w:rPr>
      </w:pPr>
    </w:p>
    <w:sectPr>
      <w:footerReference r:id="rId8" w:type="default"/>
      <w:pgSz w:w="11906" w:h="16838"/>
      <w:pgMar w:top="400" w:right="1615" w:bottom="489" w:left="1758" w:header="0" w:footer="16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12043">
    <w:pPr>
      <w:spacing w:line="185" w:lineRule="auto"/>
      <w:rPr>
        <w:rFonts w:ascii="Arial" w:hAnsi="Arial" w:eastAsia="Arial" w:cs="Arial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7B16A5">
    <w:pPr>
      <w:spacing w:line="185" w:lineRule="auto"/>
      <w:rPr>
        <w:rFonts w:ascii="Arial" w:hAnsi="Arial" w:eastAsia="Arial" w:cs="Arial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54377">
    <w:pPr>
      <w:spacing w:line="317" w:lineRule="exact"/>
      <w:rPr>
        <w:rFonts w:ascii="Arial" w:hAnsi="Arial" w:eastAsia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691D7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jQyZTI4MzM0YTkzY2E0ZjI4ZmNlMGIxODNmMTM1YjEifQ=="/>
  </w:docVars>
  <w:rsids>
    <w:rsidRoot w:val="00000000"/>
    <w:rsid w:val="235878A9"/>
    <w:rsid w:val="296E7A86"/>
    <w:rsid w:val="69360D33"/>
    <w:rsid w:val="72935B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1087</Words>
  <Characters>1253</Characters>
  <TotalTime>0</TotalTime>
  <ScaleCrop>false</ScaleCrop>
  <LinksUpToDate>false</LinksUpToDate>
  <CharactersWithSpaces>1537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2026-09-17T01:44:00Z</dcterms:created>
  <dc:creator>Lenovo</dc:creator>
  <cp:lastModifiedBy>立羽 翊</cp:lastModifiedBy>
  <dcterms:modified xsi:type="dcterms:W3CDTF">2026-09-17T09:27:44Z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2026-09-17T09:44:58Z</vt:filetime>
  </property>
  <property fmtid="{D5CDD505-2E9C-101B-9397-08002B2CF9AE}" pid="4" name="KSOTemplateDocerSaveRecord">
    <vt:lpwstr>eyJoZGlkIjoiMmJhOGFiNzk5YjQ3YjFkOGQxYzEyNjVjNTcxMmQxYTMiLCJ1c2VySWQiOiI1OTAzMjU4NTcifQ==</vt:lpwstr>
  </property>
  <property fmtid="{D5CDD505-2E9C-101B-9397-08002B2CF9AE}" pid="5" name="KSOProductBuildVer">
    <vt:lpwstr>2052-12.1.0.18276</vt:lpwstr>
  </property>
  <property fmtid="{D5CDD505-2E9C-101B-9397-08002B2CF9AE}" pid="6" name="ICV">
    <vt:lpwstr>F969E2BDD07645C58BD4B10CD27C9A4E_12</vt:lpwstr>
  </property>
</Properties>
</file>