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44A63">
      <w:pPr>
        <w:spacing w:line="248" w:lineRule="auto"/>
        <w:rPr>
          <w:rFonts w:ascii="Arial"/>
          <w:sz w:val="21"/>
        </w:rPr>
      </w:pPr>
    </w:p>
    <w:p w14:paraId="57C0C2C7">
      <w:pPr>
        <w:spacing w:line="248" w:lineRule="auto"/>
        <w:rPr>
          <w:rFonts w:ascii="Arial"/>
          <w:sz w:val="21"/>
        </w:rPr>
      </w:pPr>
    </w:p>
    <w:p w14:paraId="2EA3A8D7">
      <w:pPr>
        <w:spacing w:line="248" w:lineRule="auto"/>
        <w:rPr>
          <w:rFonts w:ascii="Arial"/>
          <w:sz w:val="21"/>
        </w:rPr>
      </w:pPr>
    </w:p>
    <w:p w14:paraId="1EA84419">
      <w:pPr>
        <w:spacing w:before="166" w:line="207" w:lineRule="auto"/>
        <w:jc w:val="center"/>
        <w:outlineLvl w:val="0"/>
        <w:rPr>
          <w:rFonts w:hint="eastAsia" w:ascii="方正楷体_GB2312" w:hAnsi="方正楷体_GB2312" w:eastAsia="方正楷体_GB2312" w:cs="方正楷体_GB2312"/>
          <w:b/>
          <w:bCs/>
          <w:spacing w:val="-5"/>
          <w:sz w:val="32"/>
          <w:szCs w:val="32"/>
        </w:rPr>
      </w:pPr>
    </w:p>
    <w:p w14:paraId="31A15960">
      <w:pPr>
        <w:spacing w:before="166" w:line="207" w:lineRule="auto"/>
        <w:jc w:val="center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</w:rPr>
        <w:t>2025年徐闻县农业农村局（本级）</w:t>
      </w:r>
      <w:r>
        <w:rPr>
          <w:rFonts w:hint="eastAsia" w:ascii="方正仿宋_GB2312" w:hAnsi="方正仿宋_GB2312" w:eastAsia="方正仿宋_GB2312" w:cs="方正仿宋_GB2312"/>
          <w:spacing w:val="-10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val="en-US" w:eastAsia="zh-CN"/>
        </w:rPr>
        <w:t>三公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val="en-US" w:eastAsia="zh-CN"/>
        </w:rPr>
        <w:t>经费决算公开</w:t>
      </w:r>
    </w:p>
    <w:p w14:paraId="533E1A89">
      <w:pPr>
        <w:spacing w:before="78" w:line="220" w:lineRule="auto"/>
        <w:jc w:val="both"/>
        <w:rPr>
          <w:rFonts w:hint="eastAsia" w:ascii="方正仿宋_GB2312" w:hAnsi="方正仿宋_GB2312" w:eastAsia="方正仿宋_GB2312" w:cs="方正仿宋_GB2312"/>
          <w:spacing w:val="-5"/>
          <w:sz w:val="24"/>
          <w:szCs w:val="24"/>
        </w:rPr>
      </w:pPr>
    </w:p>
    <w:p w14:paraId="299140BB">
      <w:pPr>
        <w:spacing w:before="78" w:line="220" w:lineRule="auto"/>
        <w:jc w:val="center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pacing w:val="-5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</w:t>
      </w:r>
      <w:r>
        <w:rPr>
          <w:rFonts w:hint="eastAsia" w:ascii="方正仿宋_GB2312" w:hAnsi="方正仿宋_GB2312" w:eastAsia="方正仿宋_GB2312" w:cs="方正仿宋_GB2312"/>
          <w:spacing w:val="-5"/>
          <w:sz w:val="24"/>
          <w:szCs w:val="24"/>
        </w:rPr>
        <w:t>表9</w:t>
      </w:r>
    </w:p>
    <w:p w14:paraId="52DC970E">
      <w:pPr>
        <w:spacing w:before="269" w:line="211" w:lineRule="auto"/>
        <w:ind w:firstLine="960" w:firstLineChars="400"/>
        <w:jc w:val="both"/>
        <w:rPr>
          <w:rFonts w:hint="default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  <w:lang w:val="en-US" w:eastAsia="zh-CN"/>
        </w:rPr>
        <w:t xml:space="preserve">     财政拨款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</w:rPr>
        <w:t>“三公”经费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  <w:lang w:val="en-US" w:eastAsia="zh-CN"/>
        </w:rPr>
        <w:t>支出决算表</w:t>
      </w:r>
    </w:p>
    <w:p w14:paraId="7F76091C">
      <w:pPr>
        <w:spacing w:before="269" w:line="211" w:lineRule="auto"/>
        <w:ind w:firstLine="960" w:firstLineChars="400"/>
        <w:jc w:val="both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单位：徐闻县农业农村局（本级）                                                                              </w:t>
      </w:r>
      <w:r>
        <w:rPr>
          <w:rFonts w:hint="eastAsia" w:ascii="方正仿宋_GB2312" w:hAnsi="方正仿宋_GB2312" w:eastAsia="方正仿宋_GB2312" w:cs="方正仿宋_GB2312"/>
          <w:spacing w:val="-1"/>
          <w:sz w:val="24"/>
          <w:szCs w:val="24"/>
        </w:rPr>
        <w:t xml:space="preserve">        单位：万元</w:t>
      </w:r>
    </w:p>
    <w:tbl>
      <w:tblPr>
        <w:tblStyle w:val="5"/>
        <w:tblW w:w="1510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1208"/>
        <w:gridCol w:w="1358"/>
        <w:gridCol w:w="1208"/>
        <w:gridCol w:w="1207"/>
        <w:gridCol w:w="1207"/>
        <w:gridCol w:w="1357"/>
        <w:gridCol w:w="1207"/>
        <w:gridCol w:w="1358"/>
        <w:gridCol w:w="1207"/>
        <w:gridCol w:w="1207"/>
        <w:gridCol w:w="1214"/>
      </w:tblGrid>
      <w:tr w14:paraId="4D8687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554" w:type="dxa"/>
            <w:gridSpan w:val="6"/>
            <w:tcBorders>
              <w:right w:val="single" w:color="000000" w:sz="4" w:space="0"/>
            </w:tcBorders>
            <w:vAlign w:val="top"/>
          </w:tcPr>
          <w:p w14:paraId="03E10483">
            <w:pPr>
              <w:pStyle w:val="6"/>
              <w:spacing w:before="55" w:line="219" w:lineRule="auto"/>
              <w:ind w:left="3477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预算数</w:t>
            </w:r>
          </w:p>
        </w:tc>
        <w:tc>
          <w:tcPr>
            <w:tcW w:w="7550" w:type="dxa"/>
            <w:gridSpan w:val="6"/>
            <w:tcBorders>
              <w:left w:val="single" w:color="000000" w:sz="4" w:space="0"/>
            </w:tcBorders>
            <w:vAlign w:val="top"/>
          </w:tcPr>
          <w:p w14:paraId="0FCD510F">
            <w:pPr>
              <w:pStyle w:val="6"/>
              <w:spacing w:before="55" w:line="219" w:lineRule="auto"/>
              <w:ind w:left="348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决算数</w:t>
            </w:r>
          </w:p>
        </w:tc>
      </w:tr>
      <w:tr w14:paraId="0A7888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6" w:type="dxa"/>
            <w:vMerge w:val="restart"/>
            <w:tcBorders>
              <w:bottom w:val="nil"/>
            </w:tcBorders>
            <w:vAlign w:val="top"/>
          </w:tcPr>
          <w:p w14:paraId="54B02ABA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  <w:p w14:paraId="5B895467">
            <w:pPr>
              <w:pStyle w:val="6"/>
              <w:spacing w:before="66" w:line="220" w:lineRule="auto"/>
              <w:ind w:left="48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合计</w:t>
            </w:r>
          </w:p>
        </w:tc>
        <w:tc>
          <w:tcPr>
            <w:tcW w:w="1208" w:type="dxa"/>
            <w:vMerge w:val="restart"/>
            <w:tcBorders>
              <w:bottom w:val="nil"/>
            </w:tcBorders>
            <w:vAlign w:val="top"/>
          </w:tcPr>
          <w:p w14:paraId="17300C46">
            <w:pPr>
              <w:pStyle w:val="6"/>
              <w:spacing w:before="215" w:line="290" w:lineRule="auto"/>
              <w:ind w:left="203" w:right="201" w:firstLine="1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因公出国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</w:rPr>
              <w:t>（境）费</w:t>
            </w:r>
          </w:p>
        </w:tc>
        <w:tc>
          <w:tcPr>
            <w:tcW w:w="3773" w:type="dxa"/>
            <w:gridSpan w:val="3"/>
            <w:vAlign w:val="top"/>
          </w:tcPr>
          <w:p w14:paraId="4720EFA7">
            <w:pPr>
              <w:pStyle w:val="6"/>
              <w:spacing w:before="50" w:line="219" w:lineRule="auto"/>
              <w:ind w:left="688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</w:rPr>
              <w:t>公务用车购置及运行维护费</w:t>
            </w:r>
          </w:p>
        </w:tc>
        <w:tc>
          <w:tcPr>
            <w:tcW w:w="1207" w:type="dxa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 w14:paraId="28DCF620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  <w:p w14:paraId="78A0736C">
            <w:pPr>
              <w:pStyle w:val="6"/>
              <w:spacing w:before="65" w:line="219" w:lineRule="auto"/>
              <w:ind w:left="108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公务接待费</w:t>
            </w:r>
          </w:p>
        </w:tc>
        <w:tc>
          <w:tcPr>
            <w:tcW w:w="1357" w:type="dxa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 w14:paraId="48824F89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  <w:p w14:paraId="6654D17E">
            <w:pPr>
              <w:pStyle w:val="6"/>
              <w:spacing w:before="66" w:line="220" w:lineRule="auto"/>
              <w:ind w:left="482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合计</w:t>
            </w:r>
          </w:p>
        </w:tc>
        <w:tc>
          <w:tcPr>
            <w:tcW w:w="1207" w:type="dxa"/>
            <w:vMerge w:val="restart"/>
            <w:tcBorders>
              <w:bottom w:val="nil"/>
            </w:tcBorders>
            <w:vAlign w:val="top"/>
          </w:tcPr>
          <w:p w14:paraId="60C00665">
            <w:pPr>
              <w:pStyle w:val="6"/>
              <w:spacing w:before="215" w:line="290" w:lineRule="auto"/>
              <w:ind w:left="211" w:right="193" w:firstLine="1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因公出国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</w:rPr>
              <w:t>（境）费</w:t>
            </w:r>
          </w:p>
        </w:tc>
        <w:tc>
          <w:tcPr>
            <w:tcW w:w="3772" w:type="dxa"/>
            <w:gridSpan w:val="3"/>
            <w:vAlign w:val="top"/>
          </w:tcPr>
          <w:p w14:paraId="7E1E4186">
            <w:pPr>
              <w:pStyle w:val="6"/>
              <w:spacing w:before="50" w:line="219" w:lineRule="auto"/>
              <w:ind w:left="69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</w:rPr>
              <w:t>公务用车购置及运行维护费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 w14:paraId="490E341D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  <w:p w14:paraId="6D9489A6">
            <w:pPr>
              <w:pStyle w:val="6"/>
              <w:spacing w:before="65" w:line="219" w:lineRule="auto"/>
              <w:ind w:left="11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公务接待费</w:t>
            </w:r>
          </w:p>
        </w:tc>
      </w:tr>
      <w:tr w14:paraId="2DC44B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66" w:type="dxa"/>
            <w:vMerge w:val="continue"/>
            <w:tcBorders>
              <w:top w:val="nil"/>
            </w:tcBorders>
            <w:vAlign w:val="top"/>
          </w:tcPr>
          <w:p w14:paraId="2FA8C26F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</w:tcBorders>
            <w:vAlign w:val="top"/>
          </w:tcPr>
          <w:p w14:paraId="5C7BA027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358" w:type="dxa"/>
            <w:vAlign w:val="top"/>
          </w:tcPr>
          <w:p w14:paraId="424ED5B9">
            <w:pPr>
              <w:pStyle w:val="6"/>
              <w:spacing w:before="210" w:line="220" w:lineRule="auto"/>
              <w:ind w:left="48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</w:rPr>
              <w:t>小计</w:t>
            </w:r>
          </w:p>
        </w:tc>
        <w:tc>
          <w:tcPr>
            <w:tcW w:w="1208" w:type="dxa"/>
            <w:vAlign w:val="top"/>
          </w:tcPr>
          <w:p w14:paraId="3B2C5E5D">
            <w:pPr>
              <w:pStyle w:val="6"/>
              <w:spacing w:before="54" w:line="256" w:lineRule="auto"/>
              <w:ind w:left="403" w:right="98" w:hanging="29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公务用车购置费</w:t>
            </w:r>
          </w:p>
        </w:tc>
        <w:tc>
          <w:tcPr>
            <w:tcW w:w="1207" w:type="dxa"/>
            <w:vAlign w:val="top"/>
          </w:tcPr>
          <w:p w14:paraId="052CC250">
            <w:pPr>
              <w:pStyle w:val="6"/>
              <w:spacing w:before="54" w:line="256" w:lineRule="auto"/>
              <w:ind w:left="200" w:right="97" w:hanging="9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公务用车运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行维护费</w:t>
            </w:r>
          </w:p>
        </w:tc>
        <w:tc>
          <w:tcPr>
            <w:tcW w:w="1207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1821D358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357" w:type="dxa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 w14:paraId="6DEA92EC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207" w:type="dxa"/>
            <w:vMerge w:val="continue"/>
            <w:tcBorders>
              <w:top w:val="nil"/>
            </w:tcBorders>
            <w:vAlign w:val="top"/>
          </w:tcPr>
          <w:p w14:paraId="27CACEF7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358" w:type="dxa"/>
            <w:vAlign w:val="top"/>
          </w:tcPr>
          <w:p w14:paraId="5BE6F34A">
            <w:pPr>
              <w:pStyle w:val="6"/>
              <w:spacing w:before="210" w:line="220" w:lineRule="auto"/>
              <w:ind w:left="489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</w:rPr>
              <w:t>小计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4C32F8A4">
            <w:pPr>
              <w:pStyle w:val="6"/>
              <w:spacing w:before="54" w:line="256" w:lineRule="auto"/>
              <w:ind w:left="410" w:right="93" w:hanging="29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公务用车购置费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7CEFC609">
            <w:pPr>
              <w:pStyle w:val="6"/>
              <w:spacing w:before="54" w:line="256" w:lineRule="auto"/>
              <w:ind w:left="211" w:right="89" w:hanging="9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公务用车运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行维护费</w:t>
            </w: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0ECC3002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</w:tr>
      <w:tr w14:paraId="027703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6" w:type="dxa"/>
            <w:vAlign w:val="top"/>
          </w:tcPr>
          <w:p w14:paraId="0F596393">
            <w:pPr>
              <w:pStyle w:val="6"/>
              <w:spacing w:before="59" w:line="222" w:lineRule="auto"/>
              <w:ind w:left="59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1</w:t>
            </w:r>
          </w:p>
        </w:tc>
        <w:tc>
          <w:tcPr>
            <w:tcW w:w="1208" w:type="dxa"/>
            <w:vAlign w:val="top"/>
          </w:tcPr>
          <w:p w14:paraId="3D369E94">
            <w:pPr>
              <w:pStyle w:val="6"/>
              <w:spacing w:before="59" w:line="222" w:lineRule="auto"/>
              <w:ind w:left="50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2</w:t>
            </w:r>
          </w:p>
        </w:tc>
        <w:tc>
          <w:tcPr>
            <w:tcW w:w="1358" w:type="dxa"/>
            <w:vAlign w:val="top"/>
          </w:tcPr>
          <w:p w14:paraId="344DB250">
            <w:pPr>
              <w:pStyle w:val="6"/>
              <w:spacing w:before="59" w:line="222" w:lineRule="auto"/>
              <w:ind w:left="578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3</w:t>
            </w:r>
          </w:p>
        </w:tc>
        <w:tc>
          <w:tcPr>
            <w:tcW w:w="1208" w:type="dxa"/>
            <w:vAlign w:val="top"/>
          </w:tcPr>
          <w:p w14:paraId="1FE1D340">
            <w:pPr>
              <w:pStyle w:val="6"/>
              <w:spacing w:before="59" w:line="222" w:lineRule="auto"/>
              <w:ind w:left="50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4</w:t>
            </w:r>
          </w:p>
        </w:tc>
        <w:tc>
          <w:tcPr>
            <w:tcW w:w="1207" w:type="dxa"/>
            <w:vAlign w:val="top"/>
          </w:tcPr>
          <w:p w14:paraId="5F5A2845">
            <w:pPr>
              <w:pStyle w:val="6"/>
              <w:spacing w:before="59" w:line="222" w:lineRule="auto"/>
              <w:ind w:left="505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5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7457B50E">
            <w:pPr>
              <w:pStyle w:val="6"/>
              <w:spacing w:before="59" w:line="222" w:lineRule="auto"/>
              <w:ind w:left="50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6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1DBA7746">
            <w:pPr>
              <w:pStyle w:val="6"/>
              <w:spacing w:before="59" w:line="222" w:lineRule="auto"/>
              <w:ind w:left="58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7</w:t>
            </w:r>
          </w:p>
        </w:tc>
        <w:tc>
          <w:tcPr>
            <w:tcW w:w="1207" w:type="dxa"/>
            <w:vAlign w:val="top"/>
          </w:tcPr>
          <w:p w14:paraId="762FF416">
            <w:pPr>
              <w:pStyle w:val="6"/>
              <w:spacing w:before="59" w:line="222" w:lineRule="auto"/>
              <w:ind w:left="50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8</w:t>
            </w:r>
          </w:p>
        </w:tc>
        <w:tc>
          <w:tcPr>
            <w:tcW w:w="1358" w:type="dxa"/>
            <w:vAlign w:val="top"/>
          </w:tcPr>
          <w:p w14:paraId="6FABC0C4">
            <w:pPr>
              <w:pStyle w:val="6"/>
              <w:spacing w:before="59" w:line="222" w:lineRule="auto"/>
              <w:ind w:left="58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9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44636DAA">
            <w:pPr>
              <w:pStyle w:val="6"/>
              <w:spacing w:before="59" w:line="222" w:lineRule="auto"/>
              <w:ind w:left="47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10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4AC9C0A2">
            <w:pPr>
              <w:pStyle w:val="6"/>
              <w:spacing w:before="59" w:line="222" w:lineRule="auto"/>
              <w:ind w:left="47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11</w:t>
            </w:r>
          </w:p>
        </w:tc>
        <w:tc>
          <w:tcPr>
            <w:tcW w:w="1214" w:type="dxa"/>
            <w:vAlign w:val="top"/>
          </w:tcPr>
          <w:p w14:paraId="6F04C4C3">
            <w:pPr>
              <w:pStyle w:val="6"/>
              <w:spacing w:before="59" w:line="222" w:lineRule="auto"/>
              <w:ind w:left="475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12</w:t>
            </w:r>
          </w:p>
        </w:tc>
      </w:tr>
      <w:tr w14:paraId="670B9D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366" w:type="dxa"/>
            <w:vAlign w:val="top"/>
          </w:tcPr>
          <w:p w14:paraId="7B23C7A9">
            <w:pPr>
              <w:pStyle w:val="6"/>
              <w:spacing w:before="61" w:line="227" w:lineRule="auto"/>
              <w:ind w:right="2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</w:rPr>
              <w:t>12.99</w:t>
            </w:r>
          </w:p>
        </w:tc>
        <w:tc>
          <w:tcPr>
            <w:tcW w:w="1208" w:type="dxa"/>
            <w:vAlign w:val="top"/>
          </w:tcPr>
          <w:p w14:paraId="7A39D07C">
            <w:pPr>
              <w:pStyle w:val="6"/>
              <w:spacing w:before="61" w:line="227" w:lineRule="auto"/>
              <w:ind w:right="3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0.00</w:t>
            </w:r>
          </w:p>
        </w:tc>
        <w:tc>
          <w:tcPr>
            <w:tcW w:w="1358" w:type="dxa"/>
            <w:vAlign w:val="top"/>
          </w:tcPr>
          <w:p w14:paraId="498477F9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</w:rPr>
              <w:t>12.41</w:t>
            </w:r>
          </w:p>
        </w:tc>
        <w:tc>
          <w:tcPr>
            <w:tcW w:w="1208" w:type="dxa"/>
            <w:vAlign w:val="top"/>
          </w:tcPr>
          <w:p w14:paraId="73248B3D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0.00</w:t>
            </w:r>
          </w:p>
        </w:tc>
        <w:tc>
          <w:tcPr>
            <w:tcW w:w="1207" w:type="dxa"/>
            <w:vAlign w:val="top"/>
          </w:tcPr>
          <w:p w14:paraId="5D05896F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</w:rPr>
              <w:t>12.41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2FA8C7CE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0.58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05E1FC2A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</w:rPr>
              <w:t>12.99</w:t>
            </w:r>
          </w:p>
        </w:tc>
        <w:tc>
          <w:tcPr>
            <w:tcW w:w="1207" w:type="dxa"/>
            <w:vAlign w:val="top"/>
          </w:tcPr>
          <w:p w14:paraId="3F64D4A7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</w:rPr>
              <w:t>0.00</w:t>
            </w:r>
          </w:p>
        </w:tc>
        <w:tc>
          <w:tcPr>
            <w:tcW w:w="1358" w:type="dxa"/>
            <w:vAlign w:val="top"/>
          </w:tcPr>
          <w:p w14:paraId="741690CC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12.41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3CBBFFF2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0.00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5201ED52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12.41</w:t>
            </w:r>
          </w:p>
        </w:tc>
        <w:tc>
          <w:tcPr>
            <w:tcW w:w="1214" w:type="dxa"/>
            <w:vAlign w:val="top"/>
          </w:tcPr>
          <w:p w14:paraId="179A15C6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0.58</w:t>
            </w:r>
          </w:p>
        </w:tc>
      </w:tr>
    </w:tbl>
    <w:p w14:paraId="1DE360E0">
      <w:pPr>
        <w:spacing w:before="9" w:line="211" w:lineRule="auto"/>
        <w:ind w:left="10" w:hanging="4"/>
        <w:rPr>
          <w:rFonts w:hint="eastAsia" w:ascii="方正仿宋_GB2312" w:hAnsi="方正仿宋_GB2312" w:eastAsia="方正仿宋_GB2312" w:cs="方正仿宋_GB2312"/>
          <w:sz w:val="18"/>
          <w:szCs w:val="18"/>
        </w:rPr>
      </w:pPr>
      <w:r>
        <w:rPr>
          <w:rFonts w:hint="eastAsia" w:ascii="方正仿宋_GB2312" w:hAnsi="方正仿宋_GB2312" w:eastAsia="方正仿宋_GB2312" w:cs="方正仿宋_GB2312"/>
          <w:sz w:val="18"/>
          <w:szCs w:val="18"/>
        </w:rPr>
        <w:t>注：本表反映单位本年度财政拨款“三公”经费支出预决算情况。其中，预算数为“三公”经费全年预算数，反映按规定程序调整后的预算数；决算数是包括当年财政拨款和</w:t>
      </w:r>
      <w:r>
        <w:rPr>
          <w:rFonts w:hint="eastAsia" w:ascii="方正仿宋_GB2312" w:hAnsi="方正仿宋_GB2312" w:eastAsia="方正仿宋_GB2312" w:cs="方正仿宋_GB2312"/>
          <w:spacing w:val="-1"/>
          <w:sz w:val="18"/>
          <w:szCs w:val="18"/>
        </w:rPr>
        <w:t>以前年度结转资金</w:t>
      </w:r>
      <w:r>
        <w:rPr>
          <w:rFonts w:hint="eastAsia" w:ascii="方正仿宋_GB2312" w:hAnsi="方正仿宋_GB2312" w:eastAsia="方正仿宋_GB2312" w:cs="方正仿宋_GB2312"/>
          <w:spacing w:val="-4"/>
          <w:sz w:val="18"/>
          <w:szCs w:val="18"/>
        </w:rPr>
        <w:t>安排的实际支出。</w:t>
      </w:r>
    </w:p>
    <w:p w14:paraId="355A76C9">
      <w:pPr>
        <w:spacing w:line="211" w:lineRule="auto"/>
        <w:rPr>
          <w:rFonts w:hint="eastAsia" w:ascii="方正仿宋_GB18030" w:hAnsi="方正仿宋_GB18030" w:eastAsia="方正仿宋_GB18030" w:cs="方正仿宋_GB18030"/>
          <w:sz w:val="18"/>
          <w:szCs w:val="18"/>
        </w:rPr>
        <w:sectPr>
          <w:headerReference r:id="rId5" w:type="default"/>
          <w:footerReference r:id="rId6" w:type="default"/>
          <w:pgSz w:w="16838" w:h="11906"/>
          <w:pgMar w:top="400" w:right="877" w:bottom="412" w:left="840" w:header="0" w:footer="189" w:gutter="0"/>
          <w:cols w:space="720" w:num="1"/>
        </w:sectPr>
      </w:pPr>
    </w:p>
    <w:p w14:paraId="2CE40F0F">
      <w:pPr>
        <w:spacing w:before="266" w:line="222" w:lineRule="auto"/>
        <w:ind w:left="605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</w:rPr>
        <w:t>（一）“三公”经费财政拨款支出决算总体情况说明</w:t>
      </w:r>
    </w:p>
    <w:p w14:paraId="4118E2E3">
      <w:pPr>
        <w:spacing w:before="246" w:line="369" w:lineRule="auto"/>
        <w:ind w:left="5" w:firstLine="599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徐闻县农业农村局（本级）2025年度“三公”经费财政拨款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支出决算为12.99万元，完成全年预算12.99万元的100%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pacing w:val="-8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比上年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决算数减少22.16万元，下降63%。其中：</w:t>
      </w:r>
      <w:r>
        <w:rPr>
          <w:rFonts w:hint="eastAsia" w:ascii="方正仿宋_GB2312" w:hAnsi="方正仿宋_GB2312" w:eastAsia="方正仿宋_GB2312" w:cs="方正仿宋_GB2312"/>
          <w:spacing w:val="-85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因公出国（境）费支出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决算为0万元，完成预算0万元的0%（基数为0，不可比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），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比上年决算数增加0万元，增长0（基数为0，不可比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）；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公务用车购置及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运行维护费支出决算为12.41万元，完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成预算12.41万元的100%，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比上年决算数减少22.47万元，下降64.4%；其中：公务用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车购置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支出决算为0万元，完成预算0万元的0%（基数为0，不可比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），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比上年决算数增加0万元，增长0（基数为0，不可比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）；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公务用车运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行维护费支出决算为12.41万元，完成预算12.41万元的10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0%，</w:t>
      </w:r>
      <w:r>
        <w:rPr>
          <w:rFonts w:hint="eastAsia" w:ascii="方正仿宋_GB2312" w:hAnsi="方正仿宋_GB2312" w:eastAsia="方正仿宋_GB2312" w:cs="方正仿宋_GB2312"/>
          <w:spacing w:val="-8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比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上年决算数减少22.47万元，下降64.4%；公务接待费支出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决算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0.58万元，完成预算0.58万元的100%，</w:t>
      </w:r>
      <w:r>
        <w:rPr>
          <w:rFonts w:hint="eastAsia" w:ascii="方正仿宋_GB2312" w:hAnsi="方正仿宋_GB2312" w:eastAsia="方正仿宋_GB2312" w:cs="方正仿宋_GB2312"/>
          <w:spacing w:val="-8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比上年决算数增加0.31万</w:t>
      </w:r>
      <w:r>
        <w:rPr>
          <w:rFonts w:hint="eastAsia" w:ascii="方正仿宋_GB2312" w:hAnsi="方正仿宋_GB2312" w:eastAsia="方正仿宋_GB2312" w:cs="方正仿宋_GB2312"/>
          <w:spacing w:val="-5"/>
          <w:sz w:val="32"/>
          <w:szCs w:val="32"/>
        </w:rPr>
        <w:t>元，增长116.4%。</w:t>
      </w:r>
    </w:p>
    <w:bookmarkEnd w:id="0"/>
    <w:p w14:paraId="247E7C76">
      <w:pPr>
        <w:spacing w:before="1" w:line="369" w:lineRule="auto"/>
        <w:ind w:left="12" w:firstLine="588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2025年度“三公”经费支出决算等于预算数的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主要情况：认真贯彻落实中央八项规定精神和厉行节约的要求，从严控制“三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公”经费开支，全年实际支出比预算有所节约。</w:t>
      </w:r>
    </w:p>
    <w:p w14:paraId="7F1A44E5">
      <w:pPr>
        <w:spacing w:line="369" w:lineRule="auto"/>
        <w:ind w:left="8" w:firstLine="593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16"/>
          <w:sz w:val="32"/>
          <w:szCs w:val="32"/>
        </w:rPr>
        <w:t>2025年度“三公”经费支出决算小于上年决算数的主要情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况：由于财政资金紧张，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三公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经费还有未支出的。</w:t>
      </w:r>
    </w:p>
    <w:p w14:paraId="4BC57B92">
      <w:pPr>
        <w:spacing w:line="221" w:lineRule="auto"/>
        <w:ind w:left="60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</w:rPr>
        <w:t>（二）“三公”经费财政拨款支出决算具体情况说明</w:t>
      </w:r>
    </w:p>
    <w:p w14:paraId="330E5B98">
      <w:pPr>
        <w:spacing w:before="241" w:line="369" w:lineRule="auto"/>
        <w:ind w:left="6" w:firstLine="594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2025年度“</w:t>
      </w:r>
      <w:r>
        <w:rPr>
          <w:rFonts w:hint="eastAsia" w:ascii="方正仿宋_GB2312" w:hAnsi="方正仿宋_GB2312" w:eastAsia="方正仿宋_GB2312" w:cs="方正仿宋_GB2312"/>
          <w:spacing w:val="-7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三公</w:t>
      </w:r>
      <w:r>
        <w:rPr>
          <w:rFonts w:hint="eastAsia" w:ascii="方正仿宋_GB2312" w:hAnsi="方正仿宋_GB2312" w:eastAsia="方正仿宋_GB2312" w:cs="方正仿宋_GB2312"/>
          <w:spacing w:val="-8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”经费财政拨款支</w:t>
      </w:r>
      <w:r>
        <w:rPr>
          <w:rFonts w:hint="eastAsia" w:ascii="方正仿宋_GB2312" w:hAnsi="方正仿宋_GB2312" w:eastAsia="方正仿宋_GB2312" w:cs="方正仿宋_GB2312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出决算</w:t>
      </w:r>
      <w:r>
        <w:rPr>
          <w:rFonts w:hint="eastAsia" w:ascii="方正仿宋_GB2312" w:hAnsi="方正仿宋_GB2312" w:eastAsia="方正仿宋_GB2312" w:cs="方正仿宋_GB2312"/>
          <w:spacing w:val="-6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中</w:t>
      </w:r>
      <w:r>
        <w:rPr>
          <w:rFonts w:hint="eastAsia" w:ascii="方正仿宋_GB2312" w:hAnsi="方正仿宋_GB2312" w:eastAsia="方正仿宋_GB2312" w:cs="方正仿宋_GB2312"/>
          <w:spacing w:val="-7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因公</w:t>
      </w:r>
      <w:r>
        <w:rPr>
          <w:rFonts w:hint="eastAsia" w:ascii="方正仿宋_GB2312" w:hAnsi="方正仿宋_GB2312" w:eastAsia="方正仿宋_GB2312" w:cs="方正仿宋_GB2312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出</w:t>
      </w:r>
      <w:r>
        <w:rPr>
          <w:rFonts w:hint="eastAsia" w:ascii="方正仿宋_GB2312" w:hAnsi="方正仿宋_GB2312" w:eastAsia="方正仿宋_GB2312" w:cs="方正仿宋_GB2312"/>
          <w:spacing w:val="-6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国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（境）费0万元，</w:t>
      </w:r>
      <w:r>
        <w:rPr>
          <w:rFonts w:hint="eastAsia" w:ascii="方正仿宋_GB2312" w:hAnsi="方正仿宋_GB2312" w:eastAsia="方正仿宋_GB2312" w:cs="方正仿宋_GB2312"/>
          <w:spacing w:val="-53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占0%；公务用车购置及运行维护费支出12.41万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元，</w:t>
      </w:r>
      <w:r>
        <w:rPr>
          <w:rFonts w:hint="eastAsia" w:ascii="方正仿宋_GB2312" w:hAnsi="方正仿宋_GB2312" w:eastAsia="方正仿宋_GB2312" w:cs="方正仿宋_GB2312"/>
          <w:spacing w:val="-6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占95.5%；公务接待费支出0.58万元，</w:t>
      </w:r>
      <w:r>
        <w:rPr>
          <w:rFonts w:hint="eastAsia" w:ascii="方正仿宋_GB2312" w:hAnsi="方正仿宋_GB2312" w:eastAsia="方正仿宋_GB2312" w:cs="方正仿宋_GB2312"/>
          <w:spacing w:val="-6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占4.5%。具体情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况如</w:t>
      </w:r>
      <w:r>
        <w:rPr>
          <w:rFonts w:hint="eastAsia" w:ascii="方正仿宋_GB2312" w:hAnsi="方正仿宋_GB2312" w:eastAsia="方正仿宋_GB2312" w:cs="方正仿宋_GB2312"/>
          <w:spacing w:val="-22"/>
          <w:sz w:val="32"/>
          <w:szCs w:val="32"/>
        </w:rPr>
        <w:t>下：</w:t>
      </w:r>
    </w:p>
    <w:p w14:paraId="25BD0827">
      <w:pPr>
        <w:spacing w:before="1" w:line="369" w:lineRule="auto"/>
        <w:ind w:firstLine="619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1.因公出国（境）费支出0万元。全年使用财政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</w:rPr>
        <w:t>拨款安排出国（境）团组0个、累计0人次。开支内容包括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：（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</w:rPr>
        <w:t>1）参加会议支出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0万元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；（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2）</w:t>
      </w:r>
      <w:r>
        <w:rPr>
          <w:rFonts w:hint="eastAsia" w:ascii="方正仿宋_GB2312" w:hAnsi="方正仿宋_GB2312" w:eastAsia="方正仿宋_GB2312" w:cs="方正仿宋_GB2312"/>
          <w:spacing w:val="-8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出国谈判、工作磋商支出0万元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；（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3）境外业务培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训及考察0万元。</w:t>
      </w:r>
    </w:p>
    <w:p w14:paraId="1297DFCD">
      <w:pPr>
        <w:spacing w:before="2" w:line="369" w:lineRule="auto"/>
        <w:ind w:left="6" w:firstLine="594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2.公务用车购置及运行维护费支出12.41万元，其中：公务用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车购置支出为0万元，公务用车购置数0辆。公务用车运行维护费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支出12.41万元，公务用车保有量为12辆，主要用于主要用于开展</w:t>
      </w:r>
      <w:r>
        <w:rPr>
          <w:rFonts w:hint="eastAsia" w:ascii="方正仿宋_GB2312" w:hAnsi="方正仿宋_GB2312" w:eastAsia="方正仿宋_GB2312" w:cs="方正仿宋_GB2312"/>
          <w:spacing w:val="-10"/>
          <w:sz w:val="32"/>
          <w:szCs w:val="32"/>
        </w:rPr>
        <w:t>业务工作。</w:t>
      </w:r>
    </w:p>
    <w:p w14:paraId="723C7E79">
      <w:pPr>
        <w:spacing w:before="1" w:line="369" w:lineRule="auto"/>
        <w:ind w:left="8" w:firstLine="595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3.公务接待费支出0.58万元，主要用于接待上级单位开展工作，共接待国外、境外来访团组0个，来访外宾0人次；发生国内接待11次，接待人数共72人。主要包括接待上级单位检查指导工</w:t>
      </w:r>
      <w:r>
        <w:rPr>
          <w:rFonts w:hint="eastAsia" w:ascii="方正仿宋_GB2312" w:hAnsi="方正仿宋_GB2312" w:eastAsia="方正仿宋_GB2312" w:cs="方正仿宋_GB2312"/>
          <w:spacing w:val="-16"/>
          <w:sz w:val="32"/>
          <w:szCs w:val="32"/>
        </w:rPr>
        <w:t>作。</w:t>
      </w:r>
    </w:p>
    <w:p w14:paraId="6137A060">
      <w:pPr>
        <w:spacing w:before="246" w:line="369" w:lineRule="auto"/>
        <w:ind w:left="5" w:firstLine="599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  <w:sectPr>
          <w:footerReference r:id="rId7" w:type="default"/>
          <w:pgSz w:w="11906" w:h="16838"/>
          <w:pgMar w:top="400" w:right="1615" w:bottom="412" w:left="1754" w:header="0" w:footer="189" w:gutter="0"/>
          <w:cols w:space="720" w:num="1"/>
        </w:sectPr>
      </w:pPr>
    </w:p>
    <w:p w14:paraId="64247387">
      <w:pPr>
        <w:spacing w:line="256" w:lineRule="auto"/>
        <w:rPr>
          <w:rFonts w:ascii="Arial"/>
          <w:sz w:val="21"/>
        </w:rPr>
      </w:pPr>
    </w:p>
    <w:p w14:paraId="497899D4">
      <w:pPr>
        <w:spacing w:line="256" w:lineRule="auto"/>
        <w:rPr>
          <w:rFonts w:ascii="Arial"/>
          <w:sz w:val="21"/>
        </w:rPr>
      </w:pPr>
    </w:p>
    <w:p w14:paraId="21778609">
      <w:pPr>
        <w:spacing w:line="257" w:lineRule="auto"/>
        <w:rPr>
          <w:rFonts w:ascii="Arial"/>
          <w:sz w:val="21"/>
        </w:rPr>
      </w:pPr>
    </w:p>
    <w:p w14:paraId="21D5C520">
      <w:pPr>
        <w:spacing w:line="257" w:lineRule="auto"/>
        <w:rPr>
          <w:rFonts w:ascii="Arial"/>
          <w:sz w:val="21"/>
        </w:rPr>
      </w:pPr>
    </w:p>
    <w:sectPr>
      <w:footerReference r:id="rId8" w:type="default"/>
      <w:pgSz w:w="11906" w:h="16838"/>
      <w:pgMar w:top="400" w:right="1615" w:bottom="489" w:left="1758" w:header="0" w:footer="16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280DF774-889D-429E-8160-615147D60975}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1BA7952-846C-4847-81E3-59E0DAE7769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463A58C-2AB8-4540-A1D3-19936D5AC7F6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E01E3F8-F86E-4B45-B377-DBD28A69EF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8AD41">
    <w:pPr>
      <w:spacing w:line="185" w:lineRule="auto"/>
      <w:ind w:left="7306"/>
      <w:rPr>
        <w:rFonts w:ascii="Arial" w:hAnsi="Arial" w:eastAsia="Arial" w:cs="Arial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4494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8D0DB">
    <w:pPr>
      <w:spacing w:line="317" w:lineRule="exact"/>
      <w:ind w:left="3921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pacing w:val="-5"/>
        <w:position w:val="1"/>
        <w:sz w:val="24"/>
        <w:szCs w:val="24"/>
      </w:rPr>
      <w:t>-</w:t>
    </w:r>
    <w:r>
      <w:rPr>
        <w:rFonts w:ascii="Arial" w:hAnsi="Arial" w:eastAsia="Arial" w:cs="Arial"/>
        <w:spacing w:val="11"/>
        <w:position w:val="1"/>
        <w:sz w:val="24"/>
        <w:szCs w:val="24"/>
      </w:rPr>
      <w:t xml:space="preserve"> </w:t>
    </w:r>
    <w:r>
      <w:rPr>
        <w:rFonts w:ascii="Arial" w:hAnsi="Arial" w:eastAsia="Arial" w:cs="Arial"/>
        <w:spacing w:val="-5"/>
        <w:position w:val="1"/>
        <w:sz w:val="24"/>
        <w:szCs w:val="24"/>
      </w:rPr>
      <w:t>32</w:t>
    </w:r>
    <w:r>
      <w:rPr>
        <w:rFonts w:ascii="Arial" w:hAnsi="Arial" w:eastAsia="Arial" w:cs="Arial"/>
        <w:spacing w:val="8"/>
        <w:position w:val="1"/>
        <w:sz w:val="24"/>
        <w:szCs w:val="24"/>
      </w:rPr>
      <w:t xml:space="preserve"> </w:t>
    </w:r>
    <w:r>
      <w:rPr>
        <w:rFonts w:ascii="Arial" w:hAnsi="Arial" w:eastAsia="Arial" w:cs="Arial"/>
        <w:spacing w:val="-5"/>
        <w:position w:val="1"/>
        <w:sz w:val="24"/>
        <w:szCs w:val="24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BEAE8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YjQyZTI4MzM0YTkzY2E0ZjI4ZmNlMGIxODNmMTM1YjEifQ=="/>
  </w:docVars>
  <w:rsids>
    <w:rsidRoot w:val="00000000"/>
    <w:rsid w:val="10472912"/>
    <w:rsid w:val="348C5BC2"/>
    <w:rsid w:val="46C2121B"/>
    <w:rsid w:val="48BC2954"/>
    <w:rsid w:val="67F11035"/>
    <w:rsid w:val="76041D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6c812a4-67ab-4959-8474-0507230d94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1102</Words>
  <Characters>1268</Characters>
  <TotalTime>0</TotalTime>
  <ScaleCrop>false</ScaleCrop>
  <LinksUpToDate>false</LinksUpToDate>
  <CharactersWithSpaces>1545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2026-09-17T01:34:00Z</dcterms:created>
  <dc:creator>Lenovo</dc:creator>
  <cp:lastModifiedBy>立羽 翊</cp:lastModifiedBy>
  <dcterms:modified xsi:type="dcterms:W3CDTF">2026-09-17T09:23:51Z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2026-09-17T09:34:25Z</vt:filetime>
  </property>
  <property fmtid="{D5CDD505-2E9C-101B-9397-08002B2CF9AE}" pid="4" name="KSOTemplateDocerSaveRecord">
    <vt:lpwstr>eyJoZGlkIjoiMmJhOGFiNzk5YjQ3YjFkOGQxYzEyNjVjNTcxMmQxYTMiLCJ1c2VySWQiOiI1OTAzMjU4NTcifQ==</vt:lpwstr>
  </property>
  <property fmtid="{D5CDD505-2E9C-101B-9397-08002B2CF9AE}" pid="5" name="KSOProductBuildVer">
    <vt:lpwstr>2052-12.1.0.18276</vt:lpwstr>
  </property>
  <property fmtid="{D5CDD505-2E9C-101B-9397-08002B2CF9AE}" pid="6" name="ICV">
    <vt:lpwstr>FB26E4AA64884A798645E6436937066A_13</vt:lpwstr>
  </property>
</Properties>
</file>