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8AA21">
      <w:pPr>
        <w:jc w:val="center"/>
        <w:rPr>
          <w:rFonts w:ascii="宋体" w:hAnsi="宋体" w:eastAsia="宋体" w:cs="宋体"/>
          <w:b/>
          <w:bCs/>
          <w:kern w:val="0"/>
          <w:sz w:val="24"/>
        </w:rPr>
      </w:pPr>
    </w:p>
    <w:p w14:paraId="0D4B0F4B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 w:val="44"/>
          <w:szCs w:val="44"/>
        </w:rPr>
        <w:t xml:space="preserve"> 2025年徐闻县人口和计划生育服务站“三公</w:t>
      </w:r>
      <w:r>
        <w:rPr>
          <w:rFonts w:ascii="仿宋_GB2312" w:hAnsi="宋体" w:eastAsia="仿宋_GB2312" w:cs="宋体"/>
          <w:b/>
          <w:sz w:val="44"/>
          <w:szCs w:val="44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</w:rPr>
        <w:t>经费决算公开</w:t>
      </w:r>
    </w:p>
    <w:p w14:paraId="701D28D1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</w:p>
    <w:p w14:paraId="2B9F62C6">
      <w:pPr>
        <w:jc w:val="center"/>
        <w:rPr>
          <w:rFonts w:ascii="仿宋_GB2312" w:hAnsi="宋体" w:eastAsia="仿宋_GB2312" w:cs="宋体"/>
          <w:b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66C1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21DD2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6237E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79B836F2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6CA9C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526E9C">
            <w:pPr>
              <w:spacing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：徐闻县人口和计划生育服务站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E9D0B41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2391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/>
            <w:vAlign w:val="center"/>
          </w:tcPr>
          <w:p w14:paraId="6D08789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/>
            <w:vAlign w:val="center"/>
          </w:tcPr>
          <w:p w14:paraId="073B0F2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25954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/>
            <w:vAlign w:val="center"/>
          </w:tcPr>
          <w:p w14:paraId="17D2E86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/>
            <w:vAlign w:val="center"/>
          </w:tcPr>
          <w:p w14:paraId="630054B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/>
            <w:vAlign w:val="center"/>
          </w:tcPr>
          <w:p w14:paraId="070964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/>
            <w:vAlign w:val="center"/>
          </w:tcPr>
          <w:p w14:paraId="6C7A08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/>
            <w:vAlign w:val="center"/>
          </w:tcPr>
          <w:p w14:paraId="6323B71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/>
            <w:vAlign w:val="center"/>
          </w:tcPr>
          <w:p w14:paraId="62DD4FE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/>
            <w:vAlign w:val="center"/>
          </w:tcPr>
          <w:p w14:paraId="497272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/>
            <w:vAlign w:val="center"/>
          </w:tcPr>
          <w:p w14:paraId="32CCFA2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377D6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/>
          </w:tcPr>
          <w:p w14:paraId="071639CF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/>
          </w:tcPr>
          <w:p w14:paraId="15C1B088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noWrap/>
            <w:vAlign w:val="center"/>
          </w:tcPr>
          <w:p w14:paraId="21226C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/>
            <w:vAlign w:val="center"/>
          </w:tcPr>
          <w:p w14:paraId="722A4C3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/>
            <w:vAlign w:val="center"/>
          </w:tcPr>
          <w:p w14:paraId="7DF937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/>
          </w:tcPr>
          <w:p w14:paraId="62B8CAA3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/>
          </w:tcPr>
          <w:p w14:paraId="7F74B3FB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/>
          </w:tcPr>
          <w:p w14:paraId="57CA7C93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noWrap/>
            <w:vAlign w:val="center"/>
          </w:tcPr>
          <w:p w14:paraId="699A67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/>
            <w:vAlign w:val="center"/>
          </w:tcPr>
          <w:p w14:paraId="18D045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/>
            <w:vAlign w:val="center"/>
          </w:tcPr>
          <w:p w14:paraId="5750232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/>
          </w:tcPr>
          <w:p w14:paraId="21ADCDB3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</w:tr>
      <w:tr w14:paraId="6EF9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/>
            <w:vAlign w:val="center"/>
          </w:tcPr>
          <w:p w14:paraId="58B9449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/>
            <w:vAlign w:val="center"/>
          </w:tcPr>
          <w:p w14:paraId="200D152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/>
            <w:vAlign w:val="center"/>
          </w:tcPr>
          <w:p w14:paraId="5469C49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/>
            <w:vAlign w:val="center"/>
          </w:tcPr>
          <w:p w14:paraId="0D23789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/>
            <w:vAlign w:val="center"/>
          </w:tcPr>
          <w:p w14:paraId="07415C4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/>
            <w:vAlign w:val="center"/>
          </w:tcPr>
          <w:p w14:paraId="38BF4D2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/>
            <w:vAlign w:val="center"/>
          </w:tcPr>
          <w:p w14:paraId="4D4D67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/>
            <w:vAlign w:val="center"/>
          </w:tcPr>
          <w:p w14:paraId="6D9AC4F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/>
            <w:vAlign w:val="center"/>
          </w:tcPr>
          <w:p w14:paraId="0B3F38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/>
            <w:vAlign w:val="center"/>
          </w:tcPr>
          <w:p w14:paraId="6B14201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/>
            <w:vAlign w:val="center"/>
          </w:tcPr>
          <w:p w14:paraId="0F03A4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/>
            <w:vAlign w:val="center"/>
          </w:tcPr>
          <w:p w14:paraId="79CC3EA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0AF6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/>
            <w:vAlign w:val="center"/>
          </w:tcPr>
          <w:p w14:paraId="68E3C492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26AA22B2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00A63B79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30B74681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5D4CB64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31093D18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2014272B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0A6E8791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423B05B6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06551AA2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/>
            <w:vAlign w:val="center"/>
          </w:tcPr>
          <w:p w14:paraId="16F62AAC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/>
            <w:vAlign w:val="center"/>
          </w:tcPr>
          <w:p w14:paraId="73E288B5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17EE6269">
      <w:pPr>
        <w:spacing w:line="360" w:lineRule="auto"/>
        <w:ind w:firstLine="420" w:firstLineChars="2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2324C806">
      <w:pPr>
        <w:widowControl/>
        <w:jc w:val="left"/>
        <w:rPr>
          <w:rFonts w:ascii="仿宋_GB2312" w:hAnsi="仿宋_GB2312" w:eastAsia="仿宋_GB2312" w:cs="仿宋_GB2312"/>
          <w:b/>
          <w:bCs/>
          <w:color w:val="525252"/>
          <w:spacing w:val="13"/>
          <w:kern w:val="0"/>
          <w:sz w:val="32"/>
          <w:szCs w:val="32"/>
        </w:rPr>
      </w:pPr>
    </w:p>
    <w:p w14:paraId="192877C2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39F8AEC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徐闻县人口和计划生育服务站2025年度“三公”经费财政拨款支出决算为0万元，完成全年预算0万元的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--%（基数为0，不可比），比上年决算数增加0万元，增长--（基数为0，不可比）。</w:t>
      </w:r>
      <w:r>
        <w:rPr>
          <w:rFonts w:hint="eastAsia" w:ascii="仿宋_GB2312" w:hAnsi="宋体" w:eastAsia="仿宋_GB2312" w:cs="宋体"/>
          <w:sz w:val="32"/>
          <w:szCs w:val="32"/>
        </w:rPr>
        <w:t>其中：因公出国（境）费支出决算为0万元，</w:t>
      </w:r>
      <w:bookmarkStart w:id="1" w:name="PO_part3A3B1C1Year1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完成预算0万元的--%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（基数为0，不可比），比上年决算数增加0万元，增长--（基数 为0，不可比）；公务用车购置及运行维护费支出决算为0万元， 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119452CF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预算数的主要情况：无。</w:t>
      </w:r>
    </w:p>
    <w:p w14:paraId="290C269C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" w:name="PO_part3A3B1C1Year2"/>
      <w:r>
        <w:rPr>
          <w:rFonts w:hint="eastAsia" w:ascii="仿宋_GB2312" w:hAnsi="宋体" w:eastAsia="仿宋_GB2312" w:cs="宋体"/>
          <w:sz w:val="32"/>
          <w:szCs w:val="32"/>
        </w:rPr>
        <w:t>2025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等于</w:t>
      </w:r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bookmarkStart w:id="3" w:name="PO_part3A3B1C1DiffReason2"/>
      <w:r>
        <w:rPr>
          <w:rFonts w:hint="eastAsia" w:ascii="仿宋_GB2312" w:hAnsi="宋体" w:eastAsia="仿宋_GB2312" w:cs="宋体"/>
          <w:sz w:val="32"/>
          <w:szCs w:val="32"/>
        </w:rPr>
        <w:t>无。</w:t>
      </w:r>
      <w:bookmarkEnd w:id="3"/>
      <w:bookmarkStart w:id="11" w:name="_GoBack"/>
      <w:bookmarkEnd w:id="11"/>
    </w:p>
    <w:p w14:paraId="077180C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0AB6469D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0B03F1F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4" w:name="PO_part3A3B2Year1"/>
      <w:r>
        <w:rPr>
          <w:rFonts w:hint="eastAsia" w:ascii="仿宋_GB2312" w:hAnsi="宋体" w:eastAsia="仿宋_GB2312" w:cs="宋体"/>
          <w:sz w:val="32"/>
          <w:szCs w:val="32"/>
        </w:rPr>
        <w:t>2025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5" w:name="PO_part3A3B2Amount1"/>
      <w:r>
        <w:rPr>
          <w:rFonts w:hint="eastAsia" w:ascii="仿宋_GB2312" w:hAnsi="宋体" w:eastAsia="仿宋_GB2312" w:cs="宋体"/>
          <w:sz w:val="32"/>
          <w:szCs w:val="32"/>
        </w:rPr>
        <w:t>0万元，占0%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6" w:name="PO_part3A3B2Amount2"/>
      <w:r>
        <w:rPr>
          <w:rFonts w:hint="eastAsia" w:ascii="仿宋_GB2312" w:hAnsi="宋体" w:eastAsia="仿宋_GB2312" w:cs="宋体"/>
          <w:sz w:val="32"/>
          <w:szCs w:val="32"/>
        </w:rPr>
        <w:t>0万元，占0%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7" w:name="PO_part3A3B2Amount3"/>
      <w:r>
        <w:rPr>
          <w:rFonts w:hint="eastAsia" w:ascii="仿宋_GB2312" w:hAnsi="宋体" w:eastAsia="仿宋_GB2312" w:cs="宋体"/>
          <w:sz w:val="32"/>
          <w:szCs w:val="32"/>
        </w:rPr>
        <w:t>0万元，占0%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4726704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1.因公出国（境）费支出0万元。全年使用财政拨款安排出国（境）团组0个、累计0人次</w:t>
      </w:r>
      <w:bookmarkStart w:id="8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0会议支出0万元，主要用于机构改革，今年无“三公”经费预算；（2）出国谈判、工作磋商支出0万元，主要用于机构改革，今年无“三公”经费预算；（3）境外业务培训及考察0万元，主要用于机构改革，今年无“三公”经费预算。</w:t>
      </w:r>
      <w:bookmarkEnd w:id="8"/>
    </w:p>
    <w:p w14:paraId="6740E66D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2.公务用车购置及运行维护费支出0万元，其中：公务用车购置支出为0万元，公务用车购置数0辆。公务用车运行维护费支出0万元，公务用车保有量为0辆，主要用于</w:t>
      </w:r>
      <w:bookmarkStart w:id="9" w:name="PO_part3A3B2C2D2Use1"/>
      <w:r>
        <w:rPr>
          <w:rFonts w:hint="eastAsia" w:ascii="仿宋_GB2312" w:hAnsi="宋体" w:eastAsia="仿宋_GB2312" w:cs="宋体"/>
          <w:sz w:val="32"/>
          <w:szCs w:val="32"/>
        </w:rPr>
        <w:t xml:space="preserve">机构改革，今年无“三公”经费预算。 </w:t>
      </w:r>
      <w:bookmarkEnd w:id="9"/>
    </w:p>
    <w:p w14:paraId="61688287">
      <w:pPr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3.公务接待费支出0万元，主要用于机构改革，今年无“三公”经费预算，共接待国外、境外来访团组0个，来访外宾0人次；发生国内接待0次，接待人数共0人。</w:t>
      </w:r>
      <w:bookmarkStart w:id="10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主要包括机构改革，今年无“三公”经费预算。</w:t>
      </w:r>
      <w:bookmarkEnd w:id="1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0312CC7"/>
    <w:rsid w:val="005F4343"/>
    <w:rsid w:val="00D6163F"/>
    <w:rsid w:val="00E13F44"/>
    <w:rsid w:val="0754675F"/>
    <w:rsid w:val="202D3B9A"/>
    <w:rsid w:val="26811F3C"/>
    <w:rsid w:val="279627D2"/>
    <w:rsid w:val="30BC0D4E"/>
    <w:rsid w:val="45B25BFB"/>
    <w:rsid w:val="5AEA2DB5"/>
    <w:rsid w:val="5C14771E"/>
    <w:rsid w:val="634C65C6"/>
    <w:rsid w:val="6959388A"/>
    <w:rsid w:val="75CB36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Sysceo.com</Company>
  <Pages>3</Pages>
  <Words>1212</Words>
  <Characters>1290</Characters>
  <Lines>1</Lines>
  <Paragraphs>2</Paragraphs>
  <TotalTime>19</TotalTime>
  <ScaleCrop>false</ScaleCrop>
  <LinksUpToDate>false</LinksUpToDate>
  <CharactersWithSpaces>1296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cream</cp:lastModifiedBy>
  <dcterms:modified xsi:type="dcterms:W3CDTF">2026-09-17T08:19:22Z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F87F7552B182454CA019747434DD2A29_13</vt:lpwstr>
  </property>
  <property fmtid="{D5CDD505-2E9C-101B-9397-08002B2CF9AE}" pid="4" name="KSOTemplateDocerSaveRecord">
    <vt:lpwstr>eyJoZGlkIjoiYTNmZTlkZjA3ZmI1Yjk3NDRhMWYyNWM2ZjMyNzQ0YTUiLCJ1c2VySWQiOiIzNzc5MDUwMzQifQ==</vt:lpwstr>
  </property>
</Properties>
</file>