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858B4C">
      <w:pPr>
        <w:jc w:val="center"/>
        <w:rPr>
          <w:rFonts w:hint="eastAsia" w:ascii="宋体" w:hAnsi="宋体" w:cs="宋体"/>
          <w:kern w:val="0"/>
          <w:sz w:val="20"/>
          <w:szCs w:val="20"/>
        </w:rPr>
      </w:pPr>
      <w:bookmarkStart w:id="1" w:name="_GoBack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徐闻县下洋镇人民政府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  <w:bookmarkEnd w:id="1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A01F969">
            <w:pPr>
              <w:jc w:val="righ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部门（单位）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：徐闻县下洋镇人民政府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25.48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23.15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17.93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5.22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2.33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25.48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23.15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17.93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5.22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2.33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224C72C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 w14:paraId="4BEF008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sz w:val="32"/>
          <w:szCs w:val="32"/>
        </w:rPr>
      </w:pPr>
      <w:r>
        <w:rPr>
          <w:rFonts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（一）“三公”经费财政拨款支出决算总体情况说明 </w:t>
      </w:r>
    </w:p>
    <w:p w14:paraId="5D13B5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徐闻县下洋镇人民政府2025年度“三公”经费财政拨款支出决算为25.48万元，完成全年预算25.48万元的100%，比上年决算数增加8.02万元，增长46%。其中：因公出国（境）费支出决算为0万元，完成预算0万元的--%（基数为0，不可比），比上年决算数增加0万元，增长--（基数为0，不可比）；公务用车购置及运行维护费支出决算为23.15万元，完成预算23.15万元的100%，比上年决算数增加18.34万元，增长381%；其中：公务用车购置支出决算为17.93万元，完成预算17.93万元的100%，比上年决算数增加17.93万元，增长--（基数为0，不可比）；公务用车运行维护费支出决算为5.22万元，完成预算5.22万元的100%，比上年决算数增加0.41万元，增长8.5%；公务接待费支出决算为2.33万元，完成预算2.33万元的100%，比上年决算数减少10.31万元，下降 81.6%。 </w:t>
      </w:r>
    </w:p>
    <w:p w14:paraId="4F1852A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2025年度“三公”经费支出决算等于预算数的主要情况：认真贯彻落实中央八项规定精神和厉行节约的要求，从严控制“三公”经费开支，严格按照“三公”经费预算数进行使用。 </w:t>
      </w:r>
    </w:p>
    <w:p w14:paraId="3B93308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2025年度“三公”经费支出决算大于上年决算数的主要情况：本年度增购一辆公务车花费179300元。</w:t>
      </w:r>
    </w:p>
    <w:p w14:paraId="7F958A1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sz w:val="32"/>
          <w:szCs w:val="32"/>
        </w:rPr>
      </w:pPr>
      <w:r>
        <w:rPr>
          <w:rFonts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（二）“三公”经费财政拨款支出决算具体情况说明 </w:t>
      </w:r>
    </w:p>
    <w:p w14:paraId="56272D5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2 0 2 5年度“三公”经费财政拨款支出决算中，因公出国（境）费0万元，占0%；公务用车购置及运行维护费支出23.15万元，占90.9%；公务接待费支出2.33万元，占9.1%。具体情况如下： </w:t>
      </w:r>
    </w:p>
    <w:p w14:paraId="09242F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1.因公出国（境）费支出0万元。全年使用财政拨款安排出国（境）团组0个、累计0人次。本单位没有因公出国（境）费支出。 </w:t>
      </w:r>
    </w:p>
    <w:p w14:paraId="4B3F24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2.公务用车购置及运行维护费支出23.15万元，其中：公务用车购置支出为17.93万元，公务用车购置数1辆。公务用车运行维护费支出5.22万元，公务用车保有量为3辆，主要用于于下乡督导工作、主持百千万工程工作以及开展各项工作。 </w:t>
      </w:r>
    </w:p>
    <w:p w14:paraId="4C039C3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3.公务接待费支出2.33万元，主要用于出席会议、考察调研、执行任务、交流学习、检查指导、请示汇报等公务活动，共接待国外、境外来访团组0个，来访外宾0人次；发生国内接待320次，接待人数共3,342人。主要包括上级机关单位进行业务调研以及考察、检查工作。</w:t>
      </w:r>
    </w:p>
    <w:p w14:paraId="43355EFF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</w:p>
    <w:p w14:paraId="11A1905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A761D3"/>
    <w:rsid w:val="77A7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2026-09-17T01:00:00Z</dcterms:created>
  <dc:creator>Pluto Wong</dc:creator>
  <cp:lastModifiedBy>Pluto Wong</cp:lastModifiedBy>
  <dcterms:modified xsi:type="dcterms:W3CDTF">2026-09-17T01:13:51Z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E3CE360DB45F4C4A8FDA6C4D70B51B14_11</vt:lpwstr>
  </property>
  <property fmtid="{D5CDD505-2E9C-101B-9397-08002B2CF9AE}" pid="4" name="KSOTemplateDocerSaveRecord">
    <vt:lpwstr>eyJoZGlkIjoiOGJjM2Y2NGY5MDNjN2ZiMjBlZTYxOWFmOWQxNWQ3MzMiLCJ1c2VySWQiOiIzNDkwODU3NzkifQ==</vt:lpwstr>
  </property>
</Properties>
</file>