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1D7AA">
      <w:pPr>
        <w:jc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 xml:space="preserve">  </w:t>
      </w:r>
    </w:p>
    <w:p w14:paraId="34A37F4E">
      <w:pPr>
        <w:jc w:val="center"/>
        <w:rPr>
          <w:rFonts w:hint="eastAsia" w:ascii="仿宋_GB2312" w:hAnsi="宋体" w:eastAsia="仿宋_GB2312" w:cs="宋体"/>
          <w:b/>
          <w:sz w:val="44"/>
          <w:szCs w:val="44"/>
          <w:lang w:val="en-US" w:eastAsia="zh-CN"/>
        </w:rPr>
      </w:pPr>
      <w:r>
        <w:rPr>
          <w:rFonts w:hint="eastAsia" w:ascii="宋体" w:hAnsi="宋体" w:eastAsia="宋体" w:cs="宋体"/>
          <w:b/>
          <w:bCs/>
          <w:kern w:val="0"/>
          <w:sz w:val="24"/>
          <w:szCs w:val="24"/>
          <w:lang w:val="en-US" w:eastAsia="zh-CN" w:bidi="ar"/>
        </w:rPr>
        <w:t xml:space="preserve"> </w:t>
      </w:r>
      <w:r>
        <w:rPr>
          <w:rFonts w:hint="eastAsia" w:ascii="仿宋_GB2312" w:hAnsi="宋体" w:eastAsia="仿宋_GB2312" w:cs="宋体"/>
          <w:b/>
          <w:sz w:val="44"/>
          <w:szCs w:val="44"/>
          <w:lang w:val="en-US" w:eastAsia="zh-CN"/>
        </w:rPr>
        <w:t xml:space="preserve"> 2025年</w:t>
      </w:r>
      <w:r>
        <w:rPr>
          <w:rFonts w:hint="eastAsia" w:ascii="仿宋_GB2312" w:hAnsi="宋体" w:eastAsia="仿宋_GB2312" w:cs="宋体"/>
          <w:b/>
          <w:color w:val="auto"/>
          <w:sz w:val="44"/>
          <w:szCs w:val="44"/>
          <w:lang w:val="en-US" w:eastAsia="zh-CN"/>
        </w:rPr>
        <w:t>徐闻县南山镇财政所</w:t>
      </w:r>
      <w:r>
        <w:rPr>
          <w:rFonts w:hint="eastAsia" w:ascii="仿宋_GB2312" w:hAnsi="宋体" w:eastAsia="仿宋_GB2312" w:cs="宋体"/>
          <w:b/>
          <w:sz w:val="44"/>
          <w:szCs w:val="44"/>
          <w:lang w:val="en-US" w:eastAsia="zh-CN"/>
        </w:rPr>
        <w:t>“三公</w:t>
      </w:r>
      <w:r>
        <w:rPr>
          <w:rFonts w:hint="default" w:ascii="仿宋_GB2312" w:hAnsi="宋体" w:eastAsia="仿宋_GB2312" w:cs="宋体"/>
          <w:b/>
          <w:sz w:val="44"/>
          <w:szCs w:val="44"/>
          <w:lang w:val="en-US" w:eastAsia="zh-CN"/>
        </w:rPr>
        <w:t>”</w:t>
      </w:r>
      <w:r>
        <w:rPr>
          <w:rFonts w:hint="eastAsia" w:ascii="仿宋_GB2312" w:hAnsi="宋体" w:eastAsia="仿宋_GB2312" w:cs="宋体"/>
          <w:b/>
          <w:sz w:val="44"/>
          <w:szCs w:val="44"/>
          <w:lang w:val="en-US" w:eastAsia="zh-CN"/>
        </w:rPr>
        <w:t>经费决算公开</w:t>
      </w:r>
    </w:p>
    <w:p w14:paraId="05AA9E84">
      <w:pPr>
        <w:jc w:val="center"/>
        <w:rPr>
          <w:rFonts w:hint="eastAsia" w:ascii="仿宋_GB2312" w:hAnsi="宋体" w:eastAsia="仿宋_GB2312" w:cs="宋体"/>
          <w:b/>
          <w:sz w:val="44"/>
          <w:szCs w:val="44"/>
          <w:lang w:val="en-US" w:eastAsia="zh-CN"/>
        </w:rPr>
      </w:pPr>
    </w:p>
    <w:p w14:paraId="35F2358F">
      <w:pPr>
        <w:jc w:val="center"/>
        <w:rPr>
          <w:rFonts w:hint="eastAsia" w:ascii="仿宋_GB2312" w:hAnsi="宋体" w:eastAsia="仿宋_GB2312" w:cs="宋体"/>
          <w:b/>
          <w:sz w:val="44"/>
          <w:szCs w:val="44"/>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14:paraId="51C0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center"/>
          </w:tcPr>
          <w:p w14:paraId="03A2F763">
            <w:pPr>
              <w:jc w:val="right"/>
              <w:rPr>
                <w:rFonts w:hint="eastAsia" w:ascii="宋体" w:hAnsi="宋体" w:cs="宋体"/>
              </w:rPr>
            </w:pPr>
            <w:r>
              <w:rPr>
                <w:rFonts w:hint="eastAsia" w:ascii="宋体" w:hAnsi="宋体" w:cs="宋体"/>
                <w:kern w:val="0"/>
                <w:sz w:val="20"/>
                <w:szCs w:val="20"/>
              </w:rPr>
              <w:t>表9</w:t>
            </w:r>
          </w:p>
        </w:tc>
      </w:tr>
      <w:tr w14:paraId="2F6B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top"/>
          </w:tcPr>
          <w:p w14:paraId="7CF647BD">
            <w:pPr>
              <w:jc w:val="center"/>
              <w:rPr>
                <w:rFonts w:hint="eastAsia" w:ascii="宋体" w:hAnsi="宋体" w:cs="宋体"/>
                <w:b/>
              </w:rPr>
            </w:pPr>
            <w:r>
              <w:rPr>
                <w:rFonts w:hint="eastAsia" w:ascii="宋体" w:hAnsi="宋体" w:cs="宋体"/>
                <w:b/>
                <w:kern w:val="0"/>
                <w:sz w:val="32"/>
                <w:szCs w:val="32"/>
              </w:rPr>
              <w:t>财政拨款“三公”经费支出决算表</w:t>
            </w:r>
          </w:p>
        </w:tc>
      </w:tr>
      <w:tr w14:paraId="5762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noWrap w:val="0"/>
            <w:vAlign w:val="center"/>
          </w:tcPr>
          <w:p w14:paraId="54F44F76">
            <w:pPr>
              <w:spacing w:line="288" w:lineRule="auto"/>
              <w:jc w:val="left"/>
              <w:rPr>
                <w:rFonts w:hint="eastAsia" w:ascii="宋体" w:hAnsi="宋体" w:cs="宋体" w:eastAsiaTheme="minorEastAsia"/>
                <w:sz w:val="28"/>
                <w:szCs w:val="28"/>
                <w:lang w:val="en-US" w:eastAsia="zh-CN"/>
              </w:rPr>
            </w:pPr>
            <w:bookmarkStart w:id="0" w:name="PO_part2DivName9"/>
            <w:r>
              <w:rPr>
                <w:rFonts w:hint="eastAsia" w:ascii="宋体" w:hAnsi="宋体" w:cs="宋体"/>
                <w:kern w:val="0"/>
                <w:sz w:val="20"/>
                <w:szCs w:val="20"/>
              </w:rPr>
              <w:t xml:space="preserve"> 单位 </w:t>
            </w:r>
            <w:bookmarkEnd w:id="0"/>
            <w:r>
              <w:rPr>
                <w:rFonts w:hint="eastAsia" w:ascii="宋体" w:hAnsi="宋体" w:cs="宋体"/>
                <w:kern w:val="0"/>
                <w:sz w:val="20"/>
                <w:szCs w:val="20"/>
              </w:rPr>
              <w:t>：</w:t>
            </w:r>
            <w:r>
              <w:rPr>
                <w:rFonts w:hint="eastAsia" w:ascii="宋体" w:hAnsi="宋体" w:cs="宋体"/>
                <w:color w:val="auto"/>
                <w:kern w:val="0"/>
                <w:sz w:val="20"/>
                <w:szCs w:val="20"/>
                <w:lang w:eastAsia="zh-CN"/>
              </w:rPr>
              <w:t>徐闻县南山镇财政所</w:t>
            </w:r>
          </w:p>
        </w:tc>
        <w:tc>
          <w:tcPr>
            <w:tcW w:w="3535" w:type="dxa"/>
            <w:gridSpan w:val="3"/>
            <w:tcBorders>
              <w:top w:val="nil"/>
              <w:left w:val="nil"/>
              <w:bottom w:val="single" w:color="auto" w:sz="4" w:space="0"/>
              <w:right w:val="nil"/>
            </w:tcBorders>
            <w:noWrap w:val="0"/>
            <w:vAlign w:val="center"/>
          </w:tcPr>
          <w:p w14:paraId="6B02612A">
            <w:pPr>
              <w:jc w:val="right"/>
              <w:rPr>
                <w:rFonts w:hint="eastAsia" w:ascii="宋体" w:hAnsi="宋体" w:cs="宋体"/>
              </w:rPr>
            </w:pPr>
            <w:r>
              <w:rPr>
                <w:rFonts w:hint="eastAsia" w:ascii="宋体" w:hAnsi="宋体" w:cs="宋体"/>
                <w:kern w:val="0"/>
                <w:sz w:val="20"/>
                <w:szCs w:val="20"/>
              </w:rPr>
              <w:t>单位：万元</w:t>
            </w:r>
          </w:p>
        </w:tc>
      </w:tr>
      <w:tr w14:paraId="1D80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noWrap w:val="0"/>
            <w:vAlign w:val="center"/>
          </w:tcPr>
          <w:p w14:paraId="6B6D10DB">
            <w:pPr>
              <w:jc w:val="center"/>
              <w:rPr>
                <w:rFonts w:hint="eastAsia" w:ascii="宋体" w:hAnsi="宋体" w:cs="宋体"/>
                <w:szCs w:val="21"/>
              </w:rPr>
            </w:pPr>
            <w:r>
              <w:rPr>
                <w:rFonts w:hint="eastAsia" w:ascii="宋体" w:hAnsi="宋体" w:cs="宋体"/>
                <w:kern w:val="0"/>
                <w:szCs w:val="21"/>
              </w:rPr>
              <w:t>预算数</w:t>
            </w:r>
          </w:p>
        </w:tc>
        <w:tc>
          <w:tcPr>
            <w:tcW w:w="7081" w:type="dxa"/>
            <w:gridSpan w:val="6"/>
            <w:tcBorders>
              <w:top w:val="single" w:color="auto" w:sz="4" w:space="0"/>
            </w:tcBorders>
            <w:noWrap w:val="0"/>
            <w:vAlign w:val="center"/>
          </w:tcPr>
          <w:p w14:paraId="3C2BAD0C">
            <w:pPr>
              <w:jc w:val="center"/>
              <w:rPr>
                <w:rFonts w:hint="eastAsia" w:ascii="宋体" w:hAnsi="宋体" w:cs="宋体"/>
                <w:szCs w:val="21"/>
              </w:rPr>
            </w:pPr>
            <w:r>
              <w:rPr>
                <w:rFonts w:hint="eastAsia" w:ascii="宋体" w:hAnsi="宋体" w:cs="宋体"/>
                <w:kern w:val="0"/>
                <w:szCs w:val="21"/>
              </w:rPr>
              <w:t>决算数</w:t>
            </w:r>
          </w:p>
        </w:tc>
      </w:tr>
      <w:tr w14:paraId="7E3E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restart"/>
            <w:noWrap w:val="0"/>
            <w:vAlign w:val="center"/>
          </w:tcPr>
          <w:p w14:paraId="29F0A20A">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0626D841">
            <w:pPr>
              <w:widowControl/>
              <w:jc w:val="center"/>
              <w:rPr>
                <w:rFonts w:hint="eastAsia" w:ascii="宋体" w:hAnsi="宋体" w:cs="宋体"/>
                <w:kern w:val="0"/>
                <w:szCs w:val="21"/>
              </w:rPr>
            </w:pPr>
            <w:r>
              <w:rPr>
                <w:rFonts w:hint="eastAsia" w:ascii="宋体" w:hAnsi="宋体" w:cs="宋体"/>
                <w:kern w:val="0"/>
                <w:szCs w:val="21"/>
              </w:rPr>
              <w:t>因公出国（境）费</w:t>
            </w:r>
          </w:p>
        </w:tc>
        <w:tc>
          <w:tcPr>
            <w:tcW w:w="3546" w:type="dxa"/>
            <w:gridSpan w:val="3"/>
            <w:noWrap w:val="0"/>
            <w:vAlign w:val="center"/>
          </w:tcPr>
          <w:p w14:paraId="338A4D43">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82" w:type="dxa"/>
            <w:vMerge w:val="restart"/>
            <w:noWrap w:val="0"/>
            <w:vAlign w:val="center"/>
          </w:tcPr>
          <w:p w14:paraId="07ADDF4A">
            <w:pPr>
              <w:widowControl/>
              <w:jc w:val="center"/>
              <w:rPr>
                <w:rFonts w:hint="eastAsia" w:ascii="宋体" w:hAnsi="宋体" w:cs="宋体"/>
                <w:kern w:val="0"/>
                <w:szCs w:val="21"/>
              </w:rPr>
            </w:pPr>
            <w:r>
              <w:rPr>
                <w:rFonts w:hint="eastAsia" w:ascii="宋体" w:hAnsi="宋体" w:cs="宋体"/>
                <w:kern w:val="0"/>
                <w:szCs w:val="21"/>
              </w:rPr>
              <w:t>公务接待费</w:t>
            </w:r>
          </w:p>
        </w:tc>
        <w:tc>
          <w:tcPr>
            <w:tcW w:w="1182" w:type="dxa"/>
            <w:vMerge w:val="restart"/>
            <w:noWrap w:val="0"/>
            <w:vAlign w:val="center"/>
          </w:tcPr>
          <w:p w14:paraId="1BB9B470">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184EA397">
            <w:pPr>
              <w:jc w:val="center"/>
              <w:rPr>
                <w:rFonts w:hint="eastAsia" w:ascii="宋体" w:hAnsi="宋体" w:cs="宋体"/>
                <w:szCs w:val="21"/>
              </w:rPr>
            </w:pPr>
            <w:r>
              <w:rPr>
                <w:rFonts w:hint="eastAsia" w:ascii="宋体" w:hAnsi="宋体" w:cs="宋体"/>
                <w:kern w:val="0"/>
                <w:szCs w:val="21"/>
              </w:rPr>
              <w:t>因公出国（境）费</w:t>
            </w:r>
          </w:p>
        </w:tc>
        <w:tc>
          <w:tcPr>
            <w:tcW w:w="3546" w:type="dxa"/>
            <w:gridSpan w:val="3"/>
            <w:noWrap w:val="0"/>
            <w:vAlign w:val="center"/>
          </w:tcPr>
          <w:p w14:paraId="429628C1">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71" w:type="dxa"/>
            <w:vMerge w:val="restart"/>
            <w:noWrap w:val="0"/>
            <w:vAlign w:val="center"/>
          </w:tcPr>
          <w:p w14:paraId="3D21A698">
            <w:pPr>
              <w:jc w:val="center"/>
              <w:rPr>
                <w:rFonts w:hint="eastAsia" w:ascii="宋体" w:hAnsi="宋体" w:cs="宋体"/>
                <w:szCs w:val="21"/>
              </w:rPr>
            </w:pPr>
            <w:r>
              <w:rPr>
                <w:rFonts w:hint="eastAsia" w:ascii="宋体" w:hAnsi="宋体" w:cs="宋体"/>
                <w:kern w:val="0"/>
                <w:szCs w:val="21"/>
              </w:rPr>
              <w:t>公务接待费</w:t>
            </w:r>
          </w:p>
        </w:tc>
      </w:tr>
      <w:tr w14:paraId="6D1E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continue"/>
            <w:noWrap w:val="0"/>
            <w:vAlign w:val="top"/>
          </w:tcPr>
          <w:p w14:paraId="70039CAC">
            <w:pPr>
              <w:spacing w:line="288" w:lineRule="auto"/>
              <w:rPr>
                <w:rFonts w:hint="eastAsia" w:ascii="宋体" w:hAnsi="宋体" w:cs="宋体"/>
                <w:szCs w:val="21"/>
              </w:rPr>
            </w:pPr>
          </w:p>
        </w:tc>
        <w:tc>
          <w:tcPr>
            <w:tcW w:w="1182" w:type="dxa"/>
            <w:vMerge w:val="continue"/>
            <w:noWrap w:val="0"/>
            <w:vAlign w:val="top"/>
          </w:tcPr>
          <w:p w14:paraId="4A38F19C">
            <w:pPr>
              <w:spacing w:line="288" w:lineRule="auto"/>
              <w:rPr>
                <w:rFonts w:hint="eastAsia" w:ascii="宋体" w:hAnsi="宋体" w:cs="宋体"/>
                <w:szCs w:val="21"/>
              </w:rPr>
            </w:pPr>
          </w:p>
        </w:tc>
        <w:tc>
          <w:tcPr>
            <w:tcW w:w="1182" w:type="dxa"/>
            <w:noWrap w:val="0"/>
            <w:vAlign w:val="center"/>
          </w:tcPr>
          <w:p w14:paraId="2D49DFAD">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57EC8C1A">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736959D8">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82" w:type="dxa"/>
            <w:vMerge w:val="continue"/>
            <w:noWrap w:val="0"/>
            <w:vAlign w:val="top"/>
          </w:tcPr>
          <w:p w14:paraId="5083F241">
            <w:pPr>
              <w:spacing w:line="288" w:lineRule="auto"/>
              <w:rPr>
                <w:rFonts w:hint="eastAsia" w:ascii="宋体" w:hAnsi="宋体" w:cs="宋体"/>
                <w:szCs w:val="21"/>
              </w:rPr>
            </w:pPr>
          </w:p>
        </w:tc>
        <w:tc>
          <w:tcPr>
            <w:tcW w:w="1182" w:type="dxa"/>
            <w:vMerge w:val="continue"/>
            <w:noWrap w:val="0"/>
            <w:vAlign w:val="top"/>
          </w:tcPr>
          <w:p w14:paraId="05CDFA52">
            <w:pPr>
              <w:spacing w:line="288" w:lineRule="auto"/>
              <w:rPr>
                <w:rFonts w:hint="eastAsia" w:ascii="宋体" w:hAnsi="宋体" w:cs="宋体"/>
                <w:szCs w:val="21"/>
              </w:rPr>
            </w:pPr>
          </w:p>
        </w:tc>
        <w:tc>
          <w:tcPr>
            <w:tcW w:w="1182" w:type="dxa"/>
            <w:vMerge w:val="continue"/>
            <w:noWrap w:val="0"/>
            <w:vAlign w:val="top"/>
          </w:tcPr>
          <w:p w14:paraId="68EBFA7E">
            <w:pPr>
              <w:spacing w:line="288" w:lineRule="auto"/>
              <w:rPr>
                <w:rFonts w:hint="eastAsia" w:ascii="宋体" w:hAnsi="宋体" w:cs="宋体"/>
                <w:szCs w:val="21"/>
              </w:rPr>
            </w:pPr>
          </w:p>
        </w:tc>
        <w:tc>
          <w:tcPr>
            <w:tcW w:w="1182" w:type="dxa"/>
            <w:noWrap w:val="0"/>
            <w:vAlign w:val="center"/>
          </w:tcPr>
          <w:p w14:paraId="6EFDF3B7">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6A203E7C">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46959E65">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71" w:type="dxa"/>
            <w:vMerge w:val="continue"/>
            <w:noWrap w:val="0"/>
            <w:vAlign w:val="top"/>
          </w:tcPr>
          <w:p w14:paraId="04470849">
            <w:pPr>
              <w:spacing w:line="288" w:lineRule="auto"/>
              <w:rPr>
                <w:rFonts w:hint="eastAsia" w:ascii="宋体" w:hAnsi="宋体" w:cs="宋体"/>
                <w:szCs w:val="21"/>
              </w:rPr>
            </w:pPr>
          </w:p>
        </w:tc>
      </w:tr>
      <w:tr w14:paraId="4E42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07C4178B">
            <w:pPr>
              <w:widowControl/>
              <w:jc w:val="center"/>
              <w:rPr>
                <w:rFonts w:hint="eastAsia" w:ascii="宋体" w:hAnsi="宋体" w:cs="宋体"/>
                <w:kern w:val="0"/>
                <w:szCs w:val="21"/>
              </w:rPr>
            </w:pPr>
            <w:r>
              <w:rPr>
                <w:rFonts w:hint="eastAsia" w:ascii="宋体" w:hAnsi="宋体" w:cs="宋体"/>
                <w:kern w:val="0"/>
                <w:szCs w:val="21"/>
              </w:rPr>
              <w:t>1</w:t>
            </w:r>
          </w:p>
        </w:tc>
        <w:tc>
          <w:tcPr>
            <w:tcW w:w="1182" w:type="dxa"/>
            <w:noWrap w:val="0"/>
            <w:vAlign w:val="center"/>
          </w:tcPr>
          <w:p w14:paraId="66443467">
            <w:pPr>
              <w:widowControl/>
              <w:jc w:val="center"/>
              <w:rPr>
                <w:rFonts w:hint="eastAsia" w:ascii="宋体" w:hAnsi="宋体" w:cs="宋体"/>
                <w:kern w:val="0"/>
                <w:szCs w:val="21"/>
              </w:rPr>
            </w:pPr>
            <w:r>
              <w:rPr>
                <w:rFonts w:hint="eastAsia" w:ascii="宋体" w:hAnsi="宋体" w:cs="宋体"/>
                <w:kern w:val="0"/>
                <w:szCs w:val="21"/>
              </w:rPr>
              <w:t>2</w:t>
            </w:r>
          </w:p>
        </w:tc>
        <w:tc>
          <w:tcPr>
            <w:tcW w:w="1182" w:type="dxa"/>
            <w:noWrap w:val="0"/>
            <w:vAlign w:val="center"/>
          </w:tcPr>
          <w:p w14:paraId="5D2058BD">
            <w:pPr>
              <w:widowControl/>
              <w:jc w:val="center"/>
              <w:rPr>
                <w:rFonts w:hint="eastAsia" w:ascii="宋体" w:hAnsi="宋体" w:cs="宋体"/>
                <w:kern w:val="0"/>
                <w:szCs w:val="21"/>
              </w:rPr>
            </w:pPr>
            <w:r>
              <w:rPr>
                <w:rFonts w:hint="eastAsia" w:ascii="宋体" w:hAnsi="宋体" w:cs="宋体"/>
                <w:kern w:val="0"/>
                <w:szCs w:val="21"/>
              </w:rPr>
              <w:t>3</w:t>
            </w:r>
          </w:p>
        </w:tc>
        <w:tc>
          <w:tcPr>
            <w:tcW w:w="1182" w:type="dxa"/>
            <w:noWrap w:val="0"/>
            <w:vAlign w:val="center"/>
          </w:tcPr>
          <w:p w14:paraId="7ED6ADD6">
            <w:pPr>
              <w:widowControl/>
              <w:jc w:val="center"/>
              <w:rPr>
                <w:rFonts w:hint="eastAsia" w:ascii="宋体" w:hAnsi="宋体" w:cs="宋体"/>
                <w:kern w:val="0"/>
                <w:szCs w:val="21"/>
              </w:rPr>
            </w:pPr>
            <w:r>
              <w:rPr>
                <w:rFonts w:hint="eastAsia" w:ascii="宋体" w:hAnsi="宋体" w:cs="宋体"/>
                <w:kern w:val="0"/>
                <w:szCs w:val="21"/>
              </w:rPr>
              <w:t>4</w:t>
            </w:r>
          </w:p>
        </w:tc>
        <w:tc>
          <w:tcPr>
            <w:tcW w:w="1182" w:type="dxa"/>
            <w:noWrap w:val="0"/>
            <w:vAlign w:val="center"/>
          </w:tcPr>
          <w:p w14:paraId="01E7A8FA">
            <w:pPr>
              <w:widowControl/>
              <w:jc w:val="center"/>
              <w:rPr>
                <w:rFonts w:hint="eastAsia" w:ascii="宋体" w:hAnsi="宋体" w:cs="宋体"/>
                <w:kern w:val="0"/>
                <w:szCs w:val="21"/>
              </w:rPr>
            </w:pPr>
            <w:r>
              <w:rPr>
                <w:rFonts w:hint="eastAsia" w:ascii="宋体" w:hAnsi="宋体" w:cs="宋体"/>
                <w:kern w:val="0"/>
                <w:szCs w:val="21"/>
              </w:rPr>
              <w:t>5</w:t>
            </w:r>
          </w:p>
        </w:tc>
        <w:tc>
          <w:tcPr>
            <w:tcW w:w="1182" w:type="dxa"/>
            <w:noWrap w:val="0"/>
            <w:vAlign w:val="center"/>
          </w:tcPr>
          <w:p w14:paraId="1E7B5419">
            <w:pPr>
              <w:widowControl/>
              <w:jc w:val="center"/>
              <w:rPr>
                <w:rFonts w:hint="eastAsia" w:ascii="宋体" w:hAnsi="宋体" w:cs="宋体"/>
                <w:kern w:val="0"/>
                <w:szCs w:val="21"/>
              </w:rPr>
            </w:pPr>
            <w:r>
              <w:rPr>
                <w:rFonts w:hint="eastAsia" w:ascii="宋体" w:hAnsi="宋体" w:cs="宋体"/>
                <w:kern w:val="0"/>
                <w:szCs w:val="21"/>
              </w:rPr>
              <w:t>6</w:t>
            </w:r>
          </w:p>
        </w:tc>
        <w:tc>
          <w:tcPr>
            <w:tcW w:w="1182" w:type="dxa"/>
            <w:noWrap w:val="0"/>
            <w:vAlign w:val="center"/>
          </w:tcPr>
          <w:p w14:paraId="28218258">
            <w:pPr>
              <w:widowControl/>
              <w:jc w:val="center"/>
              <w:rPr>
                <w:rFonts w:hint="eastAsia" w:ascii="宋体" w:hAnsi="宋体" w:cs="宋体"/>
                <w:kern w:val="0"/>
                <w:szCs w:val="21"/>
              </w:rPr>
            </w:pPr>
            <w:r>
              <w:rPr>
                <w:rFonts w:hint="eastAsia" w:ascii="宋体" w:hAnsi="宋体" w:cs="宋体"/>
                <w:kern w:val="0"/>
                <w:szCs w:val="21"/>
              </w:rPr>
              <w:t>7</w:t>
            </w:r>
          </w:p>
        </w:tc>
        <w:tc>
          <w:tcPr>
            <w:tcW w:w="1182" w:type="dxa"/>
            <w:noWrap w:val="0"/>
            <w:vAlign w:val="center"/>
          </w:tcPr>
          <w:p w14:paraId="5C68C9B6">
            <w:pPr>
              <w:widowControl/>
              <w:jc w:val="center"/>
              <w:rPr>
                <w:rFonts w:hint="eastAsia" w:ascii="宋体" w:hAnsi="宋体" w:cs="宋体"/>
                <w:kern w:val="0"/>
                <w:szCs w:val="21"/>
              </w:rPr>
            </w:pPr>
            <w:r>
              <w:rPr>
                <w:rFonts w:hint="eastAsia" w:ascii="宋体" w:hAnsi="宋体" w:cs="宋体"/>
                <w:kern w:val="0"/>
                <w:szCs w:val="21"/>
              </w:rPr>
              <w:t>8</w:t>
            </w:r>
          </w:p>
        </w:tc>
        <w:tc>
          <w:tcPr>
            <w:tcW w:w="1182" w:type="dxa"/>
            <w:noWrap w:val="0"/>
            <w:vAlign w:val="center"/>
          </w:tcPr>
          <w:p w14:paraId="14E47289">
            <w:pPr>
              <w:widowControl/>
              <w:jc w:val="center"/>
              <w:rPr>
                <w:rFonts w:hint="eastAsia" w:ascii="宋体" w:hAnsi="宋体" w:cs="宋体"/>
                <w:kern w:val="0"/>
                <w:szCs w:val="21"/>
              </w:rPr>
            </w:pPr>
            <w:r>
              <w:rPr>
                <w:rFonts w:hint="eastAsia" w:ascii="宋体" w:hAnsi="宋体" w:cs="宋体"/>
                <w:kern w:val="0"/>
                <w:szCs w:val="21"/>
              </w:rPr>
              <w:t>9</w:t>
            </w:r>
          </w:p>
        </w:tc>
        <w:tc>
          <w:tcPr>
            <w:tcW w:w="1182" w:type="dxa"/>
            <w:noWrap w:val="0"/>
            <w:vAlign w:val="center"/>
          </w:tcPr>
          <w:p w14:paraId="5C7C198D">
            <w:pPr>
              <w:widowControl/>
              <w:jc w:val="center"/>
              <w:rPr>
                <w:rFonts w:hint="eastAsia" w:ascii="宋体" w:hAnsi="宋体" w:cs="宋体"/>
                <w:kern w:val="0"/>
                <w:szCs w:val="21"/>
              </w:rPr>
            </w:pPr>
            <w:r>
              <w:rPr>
                <w:rFonts w:hint="eastAsia" w:ascii="宋体" w:hAnsi="宋体" w:cs="宋体"/>
                <w:kern w:val="0"/>
                <w:szCs w:val="21"/>
              </w:rPr>
              <w:t>10</w:t>
            </w:r>
          </w:p>
        </w:tc>
        <w:tc>
          <w:tcPr>
            <w:tcW w:w="1182" w:type="dxa"/>
            <w:noWrap w:val="0"/>
            <w:vAlign w:val="center"/>
          </w:tcPr>
          <w:p w14:paraId="7701D34D">
            <w:pPr>
              <w:widowControl/>
              <w:jc w:val="center"/>
              <w:rPr>
                <w:rFonts w:hint="eastAsia" w:ascii="宋体" w:hAnsi="宋体" w:cs="宋体"/>
                <w:kern w:val="0"/>
                <w:szCs w:val="21"/>
              </w:rPr>
            </w:pPr>
            <w:r>
              <w:rPr>
                <w:rFonts w:hint="eastAsia" w:ascii="宋体" w:hAnsi="宋体" w:cs="宋体"/>
                <w:kern w:val="0"/>
                <w:szCs w:val="21"/>
              </w:rPr>
              <w:t>11</w:t>
            </w:r>
          </w:p>
        </w:tc>
        <w:tc>
          <w:tcPr>
            <w:tcW w:w="1171" w:type="dxa"/>
            <w:noWrap w:val="0"/>
            <w:vAlign w:val="center"/>
          </w:tcPr>
          <w:p w14:paraId="4D45EE86">
            <w:pPr>
              <w:widowControl/>
              <w:jc w:val="center"/>
              <w:rPr>
                <w:rFonts w:hint="eastAsia" w:ascii="宋体" w:hAnsi="宋体" w:cs="宋体"/>
                <w:kern w:val="0"/>
                <w:szCs w:val="21"/>
              </w:rPr>
            </w:pPr>
            <w:r>
              <w:rPr>
                <w:rFonts w:hint="eastAsia" w:ascii="宋体" w:hAnsi="宋体" w:cs="宋体"/>
                <w:kern w:val="0"/>
                <w:szCs w:val="21"/>
              </w:rPr>
              <w:t>12</w:t>
            </w:r>
          </w:p>
        </w:tc>
      </w:tr>
      <w:tr w14:paraId="531B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77D264E3">
            <w:pPr>
              <w:widowControl/>
              <w:jc w:val="right"/>
              <w:rPr>
                <w:rFonts w:ascii="宋体" w:hAnsi="宋体" w:cs="宋体"/>
                <w:kern w:val="0"/>
                <w:szCs w:val="21"/>
              </w:rPr>
            </w:pPr>
            <w:r>
              <w:rPr>
                <w:rFonts w:hint="eastAsia" w:ascii="宋体" w:hAnsi="宋体" w:cs="宋体"/>
                <w:kern w:val="0"/>
                <w:szCs w:val="21"/>
              </w:rPr>
              <w:t>0.00</w:t>
            </w:r>
          </w:p>
        </w:tc>
        <w:tc>
          <w:tcPr>
            <w:tcW w:w="1182" w:type="dxa"/>
            <w:noWrap w:val="0"/>
            <w:vAlign w:val="center"/>
          </w:tcPr>
          <w:p w14:paraId="4D5EABE3">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11BE20D0">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3F02F800">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2FC129E7">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61F6E8B1">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3D00B007">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10F93DC7">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7B78195F">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59B24361">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74F22B8D">
            <w:pPr>
              <w:widowControl/>
              <w:jc w:val="right"/>
              <w:rPr>
                <w:rFonts w:hint="eastAsia" w:ascii="宋体" w:hAnsi="宋体" w:cs="宋体"/>
                <w:kern w:val="0"/>
                <w:szCs w:val="21"/>
              </w:rPr>
            </w:pPr>
            <w:r>
              <w:rPr>
                <w:rFonts w:hint="eastAsia" w:ascii="宋体" w:hAnsi="宋体" w:cs="宋体"/>
                <w:kern w:val="0"/>
                <w:szCs w:val="21"/>
              </w:rPr>
              <w:t>0.00</w:t>
            </w:r>
          </w:p>
        </w:tc>
        <w:tc>
          <w:tcPr>
            <w:tcW w:w="1171" w:type="dxa"/>
            <w:noWrap w:val="0"/>
            <w:vAlign w:val="center"/>
          </w:tcPr>
          <w:p w14:paraId="6F7ACF0A">
            <w:pPr>
              <w:widowControl/>
              <w:jc w:val="right"/>
              <w:rPr>
                <w:rFonts w:hint="eastAsia" w:ascii="宋体" w:hAnsi="宋体" w:cs="宋体"/>
                <w:kern w:val="0"/>
                <w:szCs w:val="21"/>
              </w:rPr>
            </w:pPr>
            <w:r>
              <w:rPr>
                <w:rFonts w:hint="eastAsia" w:ascii="宋体" w:hAnsi="宋体" w:cs="宋体"/>
                <w:kern w:val="0"/>
                <w:szCs w:val="21"/>
              </w:rPr>
              <w:t>0.00</w:t>
            </w:r>
          </w:p>
        </w:tc>
      </w:tr>
    </w:tbl>
    <w:p w14:paraId="5D62CBEC">
      <w:pPr>
        <w:spacing w:line="360" w:lineRule="auto"/>
        <w:ind w:firstLine="420" w:firstLineChars="200"/>
        <w:rPr>
          <w:rFonts w:hint="eastAsia" w:ascii="宋体" w:hAnsi="宋体" w:cs="宋体"/>
          <w:szCs w:val="21"/>
        </w:rPr>
      </w:pPr>
      <w:r>
        <w:rPr>
          <w:rFonts w:hint="eastAsia" w:ascii="宋体" w:hAnsi="宋体" w:cs="宋体"/>
          <w:szCs w:val="21"/>
        </w:rPr>
        <w:t>注：本表反映部门（单位）本年度财政拨款“三公”经费支出预决算情况。其中，预算数为“三公”经费全年预算数，反映按规定程序调整后的预算数；决算数是包括当年财政拨款和以前年度结转资金安排的实际支出。</w:t>
      </w:r>
    </w:p>
    <w:p w14:paraId="081565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仿宋_GB2312" w:hAnsi="仿宋_GB2312" w:eastAsia="仿宋_GB2312" w:cs="仿宋_GB2312"/>
          <w:b/>
          <w:bCs/>
          <w:i w:val="0"/>
          <w:iCs w:val="0"/>
          <w:caps w:val="0"/>
          <w:color w:val="525252"/>
          <w:spacing w:val="13"/>
          <w:kern w:val="0"/>
          <w:sz w:val="32"/>
          <w:szCs w:val="32"/>
          <w:lang w:val="en-US" w:eastAsia="zh-CN" w:bidi="ar"/>
        </w:rPr>
      </w:pPr>
    </w:p>
    <w:p w14:paraId="1399B1CD">
      <w:pPr>
        <w:ind w:firstLine="643" w:firstLineChars="200"/>
        <w:rPr>
          <w:rFonts w:hint="eastAsia" w:ascii="仿宋_GB2312" w:hAnsi="宋体" w:eastAsia="仿宋_GB2312" w:cs="宋体"/>
          <w:b/>
          <w:sz w:val="32"/>
          <w:szCs w:val="32"/>
        </w:rPr>
      </w:pPr>
      <w:r>
        <w:rPr>
          <w:rFonts w:hint="eastAsia" w:ascii="仿宋_GB2312" w:hAnsi="宋体" w:eastAsia="仿宋_GB2312" w:cs="宋体"/>
          <w:b/>
          <w:sz w:val="32"/>
          <w:szCs w:val="32"/>
        </w:rPr>
        <w:t>（一）“三公”经费财政拨款支出决算总体情况说明</w:t>
      </w:r>
    </w:p>
    <w:p w14:paraId="49FA747C">
      <w:pPr>
        <w:ind w:firstLine="640" w:firstLineChars="200"/>
        <w:rPr>
          <w:rFonts w:hint="eastAsia" w:ascii="仿宋_GB2312" w:hAnsi="宋体" w:eastAsia="仿宋_GB2312" w:cs="宋体"/>
          <w:sz w:val="32"/>
          <w:szCs w:val="32"/>
        </w:rPr>
      </w:pPr>
      <w:bookmarkStart w:id="1" w:name="PO_part3A3B1C1DivNameYear1"/>
      <w:r>
        <w:rPr>
          <w:rFonts w:hint="eastAsia" w:ascii="仿宋_GB2312" w:hAnsi="宋体" w:eastAsia="仿宋_GB2312" w:cs="宋体"/>
          <w:sz w:val="32"/>
          <w:szCs w:val="32"/>
          <w:lang w:eastAsia="zh-CN"/>
        </w:rPr>
        <w:t>徐闻县南山镇财政所</w:t>
      </w:r>
      <w:bookmarkEnd w:id="1"/>
      <w:r>
        <w:rPr>
          <w:rFonts w:hint="eastAsia" w:ascii="仿宋_GB2312" w:hAnsi="宋体" w:eastAsia="仿宋_GB2312" w:cs="宋体"/>
          <w:sz w:val="32"/>
          <w:szCs w:val="32"/>
          <w:lang w:val="en-US" w:eastAsia="zh-CN"/>
        </w:rPr>
        <w:t>2025</w:t>
      </w:r>
      <w:r>
        <w:rPr>
          <w:rFonts w:hint="eastAsia" w:ascii="仿宋_GB2312" w:hAnsi="宋体" w:eastAsia="仿宋_GB2312" w:cs="宋体"/>
          <w:sz w:val="32"/>
          <w:szCs w:val="32"/>
        </w:rPr>
        <w:t>年度“三公”经费财政拨款支出决算为</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万元，完成全年预算</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万元的</w:t>
      </w:r>
      <w:bookmarkStart w:id="2" w:name="PO_part3A3B1C1Percent1"/>
      <w:r>
        <w:rPr>
          <w:rFonts w:hint="eastAsia" w:ascii="仿宋_GB2312" w:hAnsi="宋体" w:eastAsia="仿宋_GB2312" w:cs="宋体"/>
          <w:sz w:val="32"/>
          <w:szCs w:val="32"/>
        </w:rPr>
        <w:t>--%（基数为0，不可比）</w:t>
      </w:r>
      <w:r>
        <w:rPr>
          <w:rFonts w:hint="eastAsia" w:ascii="仿宋_GB2312" w:hAnsi="宋体" w:eastAsia="仿宋_GB2312" w:cs="宋体"/>
          <w:sz w:val="11"/>
          <w:szCs w:val="11"/>
        </w:rPr>
        <w:t xml:space="preserve"> </w:t>
      </w:r>
      <w:bookmarkEnd w:id="2"/>
      <w:r>
        <w:rPr>
          <w:rFonts w:hint="eastAsia" w:ascii="仿宋_GB2312" w:hAnsi="宋体" w:eastAsia="仿宋_GB2312" w:cs="宋体"/>
          <w:sz w:val="32"/>
          <w:szCs w:val="32"/>
        </w:rPr>
        <w:t>，比上年决算数</w:t>
      </w:r>
      <w:bookmarkStart w:id="3" w:name="PO_part3A3B1C1IncAmount1"/>
      <w:r>
        <w:rPr>
          <w:rFonts w:hint="eastAsia" w:ascii="仿宋_GB2312" w:hAnsi="宋体" w:eastAsia="仿宋_GB2312" w:cs="宋体"/>
          <w:sz w:val="32"/>
          <w:szCs w:val="32"/>
        </w:rPr>
        <w:t>增加</w:t>
      </w:r>
      <w:r>
        <w:rPr>
          <w:rFonts w:hint="eastAsia" w:ascii="仿宋_GB2312" w:hAnsi="宋体" w:eastAsia="仿宋_GB2312" w:cs="宋体"/>
          <w:sz w:val="32"/>
          <w:szCs w:val="32"/>
          <w:lang w:val="en-US" w:eastAsia="zh-CN"/>
        </w:rPr>
        <w:t>0</w:t>
      </w:r>
      <w:bookmarkEnd w:id="3"/>
      <w:r>
        <w:rPr>
          <w:rFonts w:hint="eastAsia" w:ascii="仿宋_GB2312" w:hAnsi="宋体" w:eastAsia="仿宋_GB2312" w:cs="宋体"/>
          <w:sz w:val="32"/>
          <w:szCs w:val="32"/>
        </w:rPr>
        <w:t>万元，</w:t>
      </w:r>
      <w:bookmarkStart w:id="4" w:name="PO_part3A3B1C1IncPercent1"/>
      <w:r>
        <w:rPr>
          <w:rFonts w:hint="eastAsia" w:ascii="仿宋_GB2312" w:hAnsi="宋体" w:eastAsia="仿宋_GB2312" w:cs="宋体"/>
          <w:sz w:val="32"/>
          <w:szCs w:val="32"/>
        </w:rPr>
        <w:t>增长</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 xml:space="preserve">% </w:t>
      </w:r>
      <w:bookmarkEnd w:id="4"/>
      <w:r>
        <w:rPr>
          <w:rFonts w:hint="eastAsia" w:ascii="仿宋_GB2312" w:hAnsi="宋体" w:eastAsia="仿宋_GB2312" w:cs="宋体"/>
          <w:sz w:val="32"/>
          <w:szCs w:val="32"/>
        </w:rPr>
        <w:t>。其中：因公出国（境）费支出决算为</w:t>
      </w:r>
      <w:bookmarkStart w:id="5" w:name="PO_part3A3B1C1qz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5"/>
      <w:r>
        <w:rPr>
          <w:rFonts w:hint="eastAsia" w:ascii="仿宋_GB2312" w:hAnsi="宋体" w:eastAsia="仿宋_GB2312" w:cs="宋体"/>
          <w:sz w:val="32"/>
          <w:szCs w:val="32"/>
        </w:rPr>
        <w:t>万元，完成预算</w:t>
      </w:r>
      <w:bookmarkStart w:id="6" w:name="PO_part3A3B1C1qzys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6"/>
      <w:r>
        <w:rPr>
          <w:rFonts w:hint="eastAsia" w:ascii="仿宋_GB2312" w:hAnsi="宋体" w:eastAsia="仿宋_GB2312" w:cs="宋体"/>
          <w:sz w:val="32"/>
          <w:szCs w:val="32"/>
        </w:rPr>
        <w:t>万元的</w:t>
      </w:r>
      <w:bookmarkStart w:id="7" w:name="PO_part3A3B1C1qzPercent1"/>
      <w:r>
        <w:rPr>
          <w:rFonts w:hint="eastAsia" w:ascii="仿宋_GB2312" w:hAnsi="宋体" w:eastAsia="仿宋_GB2312" w:cs="宋体"/>
          <w:sz w:val="32"/>
          <w:szCs w:val="32"/>
        </w:rPr>
        <w:t>--%（基数为0，不可比）</w:t>
      </w:r>
      <w:bookmarkEnd w:id="7"/>
      <w:r>
        <w:rPr>
          <w:rFonts w:hint="eastAsia" w:ascii="仿宋_GB2312" w:hAnsi="宋体" w:eastAsia="仿宋_GB2312" w:cs="宋体"/>
          <w:sz w:val="32"/>
          <w:szCs w:val="32"/>
        </w:rPr>
        <w:t>，比上年决算数</w:t>
      </w:r>
      <w:bookmarkStart w:id="8" w:name="PO_part3A3B1C1IncAmount2"/>
      <w:r>
        <w:rPr>
          <w:rFonts w:hint="eastAsia" w:ascii="仿宋_GB2312" w:hAnsi="宋体" w:eastAsia="仿宋_GB2312" w:cs="宋体"/>
          <w:sz w:val="32"/>
          <w:szCs w:val="32"/>
        </w:rPr>
        <w:t>增加</w:t>
      </w:r>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8"/>
      <w:r>
        <w:rPr>
          <w:rFonts w:hint="eastAsia" w:ascii="仿宋_GB2312" w:hAnsi="宋体" w:eastAsia="仿宋_GB2312" w:cs="宋体"/>
          <w:sz w:val="32"/>
          <w:szCs w:val="32"/>
        </w:rPr>
        <w:t>万元，</w:t>
      </w:r>
      <w:bookmarkStart w:id="9" w:name="PO_part3A3B1C1IncPercent2"/>
      <w:r>
        <w:rPr>
          <w:rFonts w:hint="eastAsia" w:ascii="仿宋_GB2312" w:hAnsi="宋体" w:eastAsia="仿宋_GB2312" w:cs="宋体"/>
          <w:sz w:val="32"/>
          <w:szCs w:val="32"/>
        </w:rPr>
        <w:t>增长</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9"/>
      <w:r>
        <w:rPr>
          <w:rFonts w:hint="eastAsia" w:ascii="仿宋_GB2312" w:hAnsi="宋体" w:eastAsia="仿宋_GB2312" w:cs="宋体"/>
          <w:sz w:val="32"/>
          <w:szCs w:val="32"/>
        </w:rPr>
        <w:t>；公务用车购置及运行维护费支出决算为</w:t>
      </w:r>
      <w:bookmarkStart w:id="10" w:name="PO_part3A3B1C1qzAmount2"/>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0"/>
      <w:r>
        <w:rPr>
          <w:rFonts w:hint="eastAsia" w:ascii="仿宋_GB2312" w:hAnsi="宋体" w:eastAsia="仿宋_GB2312" w:cs="宋体"/>
          <w:sz w:val="32"/>
          <w:szCs w:val="32"/>
        </w:rPr>
        <w:t>万元，完成预算</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万元的</w:t>
      </w:r>
      <w:bookmarkStart w:id="11" w:name="PO_part3A3B1C1qzPercent2"/>
      <w:r>
        <w:rPr>
          <w:rFonts w:hint="eastAsia" w:ascii="仿宋_GB2312" w:hAnsi="宋体" w:eastAsia="仿宋_GB2312" w:cs="宋体"/>
          <w:sz w:val="32"/>
          <w:szCs w:val="32"/>
        </w:rPr>
        <w:t>--%（基数为0，不可比）</w:t>
      </w:r>
      <w:r>
        <w:rPr>
          <w:rFonts w:hint="eastAsia" w:ascii="仿宋_GB2312" w:hAnsi="宋体" w:eastAsia="仿宋_GB2312" w:cs="宋体"/>
          <w:sz w:val="11"/>
          <w:szCs w:val="11"/>
        </w:rPr>
        <w:t xml:space="preserve"> </w:t>
      </w:r>
      <w:bookmarkEnd w:id="11"/>
      <w:r>
        <w:rPr>
          <w:rFonts w:hint="eastAsia" w:ascii="仿宋_GB2312" w:hAnsi="宋体" w:eastAsia="仿宋_GB2312" w:cs="宋体"/>
          <w:sz w:val="32"/>
          <w:szCs w:val="32"/>
        </w:rPr>
        <w:t>，比上年决算数</w:t>
      </w:r>
      <w:bookmarkStart w:id="12" w:name="PO_part3A3B1C1IncAmount3"/>
      <w:r>
        <w:rPr>
          <w:rFonts w:hint="eastAsia" w:ascii="仿宋_GB2312" w:hAnsi="宋体" w:eastAsia="仿宋_GB2312" w:cs="宋体"/>
          <w:sz w:val="32"/>
          <w:szCs w:val="32"/>
        </w:rPr>
        <w:t>增加</w:t>
      </w:r>
      <w:bookmarkEnd w:id="12"/>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w:t>
      </w:r>
      <w:bookmarkStart w:id="13" w:name="PO_part3A3B1C1IncPercent3"/>
      <w:r>
        <w:rPr>
          <w:rFonts w:hint="eastAsia" w:ascii="仿宋_GB2312" w:hAnsi="宋体" w:eastAsia="仿宋_GB2312" w:cs="宋体"/>
          <w:sz w:val="32"/>
          <w:szCs w:val="32"/>
        </w:rPr>
        <w:t>增长</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13"/>
      <w:r>
        <w:rPr>
          <w:rFonts w:hint="eastAsia" w:ascii="仿宋_GB2312" w:hAnsi="宋体" w:eastAsia="仿宋_GB2312" w:cs="宋体"/>
          <w:sz w:val="32"/>
          <w:szCs w:val="32"/>
        </w:rPr>
        <w:t>；其中：公务用车购置支出决算为</w:t>
      </w:r>
      <w:bookmarkStart w:id="14" w:name="PO_part3A3B1C1qzAmount4"/>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4"/>
      <w:r>
        <w:rPr>
          <w:rFonts w:hint="eastAsia" w:ascii="仿宋_GB2312" w:hAnsi="宋体" w:eastAsia="仿宋_GB2312" w:cs="宋体"/>
          <w:sz w:val="32"/>
          <w:szCs w:val="32"/>
        </w:rPr>
        <w:t>万元，完成预算</w:t>
      </w:r>
      <w:bookmarkStart w:id="15" w:name="PO_part3A3B1C1qzysAmount4"/>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5"/>
      <w:r>
        <w:rPr>
          <w:rFonts w:hint="eastAsia" w:ascii="仿宋_GB2312" w:hAnsi="宋体" w:eastAsia="仿宋_GB2312" w:cs="宋体"/>
          <w:sz w:val="32"/>
          <w:szCs w:val="32"/>
        </w:rPr>
        <w:t>万元的</w:t>
      </w:r>
      <w:bookmarkStart w:id="16" w:name="PO_part3A3B1C1qzPercent4"/>
      <w:r>
        <w:rPr>
          <w:rFonts w:hint="eastAsia" w:ascii="仿宋_GB2312" w:hAnsi="宋体" w:eastAsia="仿宋_GB2312" w:cs="宋体"/>
          <w:sz w:val="32"/>
          <w:szCs w:val="32"/>
        </w:rPr>
        <w:t>--%（基数为0，不可比）</w:t>
      </w:r>
      <w:r>
        <w:rPr>
          <w:rFonts w:hint="eastAsia" w:ascii="仿宋_GB2312" w:hAnsi="宋体" w:eastAsia="仿宋_GB2312" w:cs="宋体"/>
          <w:sz w:val="11"/>
          <w:szCs w:val="11"/>
        </w:rPr>
        <w:t xml:space="preserve"> </w:t>
      </w:r>
      <w:bookmarkEnd w:id="16"/>
      <w:r>
        <w:rPr>
          <w:rFonts w:hint="eastAsia" w:ascii="仿宋_GB2312" w:hAnsi="宋体" w:eastAsia="仿宋_GB2312" w:cs="宋体"/>
          <w:sz w:val="32"/>
          <w:szCs w:val="32"/>
        </w:rPr>
        <w:t>，比上年决算数</w:t>
      </w:r>
      <w:bookmarkStart w:id="17" w:name="PO_part3A3B1C1IncAmount4"/>
      <w:r>
        <w:rPr>
          <w:rFonts w:hint="eastAsia" w:ascii="仿宋_GB2312" w:hAnsi="宋体" w:eastAsia="仿宋_GB2312" w:cs="宋体"/>
          <w:sz w:val="32"/>
          <w:szCs w:val="32"/>
        </w:rPr>
        <w:t>增加</w:t>
      </w:r>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7"/>
      <w:r>
        <w:rPr>
          <w:rFonts w:hint="eastAsia" w:ascii="仿宋_GB2312" w:hAnsi="宋体" w:eastAsia="仿宋_GB2312" w:cs="宋体"/>
          <w:sz w:val="32"/>
          <w:szCs w:val="32"/>
        </w:rPr>
        <w:t>万元，</w:t>
      </w:r>
      <w:bookmarkStart w:id="18" w:name="PO_part3A3B1C1IncPercent4"/>
      <w:r>
        <w:rPr>
          <w:rFonts w:hint="eastAsia" w:ascii="仿宋_GB2312" w:hAnsi="宋体" w:eastAsia="仿宋_GB2312" w:cs="宋体"/>
          <w:sz w:val="32"/>
          <w:szCs w:val="32"/>
        </w:rPr>
        <w:t>增长</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18"/>
      <w:r>
        <w:rPr>
          <w:rFonts w:hint="eastAsia" w:ascii="仿宋_GB2312" w:hAnsi="宋体" w:eastAsia="仿宋_GB2312" w:cs="宋体"/>
          <w:sz w:val="32"/>
          <w:szCs w:val="32"/>
        </w:rPr>
        <w:t>；公务用车运行维护费支出决算为</w:t>
      </w:r>
      <w:bookmarkStart w:id="19" w:name="PO_part3A3B1C1qzAmount5"/>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9"/>
      <w:r>
        <w:rPr>
          <w:rFonts w:hint="eastAsia" w:ascii="仿宋_GB2312" w:hAnsi="宋体" w:eastAsia="仿宋_GB2312" w:cs="宋体"/>
          <w:sz w:val="32"/>
          <w:szCs w:val="32"/>
        </w:rPr>
        <w:t>万元，完成预算</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万元的</w:t>
      </w:r>
      <w:bookmarkStart w:id="20" w:name="PO_part3A3B1C1qzPercent5"/>
      <w:r>
        <w:rPr>
          <w:rFonts w:hint="eastAsia" w:ascii="仿宋_GB2312" w:hAnsi="宋体" w:eastAsia="仿宋_GB2312" w:cs="宋体"/>
          <w:sz w:val="32"/>
          <w:szCs w:val="32"/>
        </w:rPr>
        <w:t>--%（基数为0，不可比）</w:t>
      </w:r>
      <w:r>
        <w:rPr>
          <w:rFonts w:hint="eastAsia" w:ascii="仿宋_GB2312" w:hAnsi="宋体" w:eastAsia="仿宋_GB2312" w:cs="宋体"/>
          <w:sz w:val="11"/>
          <w:szCs w:val="11"/>
        </w:rPr>
        <w:t xml:space="preserve"> </w:t>
      </w:r>
      <w:bookmarkEnd w:id="20"/>
      <w:r>
        <w:rPr>
          <w:rFonts w:hint="eastAsia" w:ascii="仿宋_GB2312" w:hAnsi="宋体" w:eastAsia="仿宋_GB2312" w:cs="宋体"/>
          <w:sz w:val="32"/>
          <w:szCs w:val="32"/>
        </w:rPr>
        <w:t>，比上年决算数</w:t>
      </w:r>
      <w:bookmarkStart w:id="21" w:name="PO_part3A3B1C1IncAmount5"/>
      <w:r>
        <w:rPr>
          <w:rFonts w:hint="eastAsia" w:ascii="仿宋_GB2312" w:hAnsi="宋体" w:eastAsia="仿宋_GB2312" w:cs="宋体"/>
          <w:sz w:val="32"/>
          <w:szCs w:val="32"/>
        </w:rPr>
        <w:t>增加</w:t>
      </w:r>
      <w:bookmarkEnd w:id="21"/>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w:t>
      </w:r>
      <w:bookmarkStart w:id="22" w:name="PO_part3A3B1C1IncPercent5"/>
      <w:r>
        <w:rPr>
          <w:rFonts w:hint="eastAsia" w:ascii="仿宋_GB2312" w:hAnsi="宋体" w:eastAsia="仿宋_GB2312" w:cs="宋体"/>
          <w:sz w:val="32"/>
          <w:szCs w:val="32"/>
        </w:rPr>
        <w:t>增长</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22"/>
      <w:r>
        <w:rPr>
          <w:rFonts w:hint="eastAsia" w:ascii="仿宋_GB2312" w:hAnsi="宋体" w:eastAsia="仿宋_GB2312" w:cs="宋体"/>
          <w:sz w:val="32"/>
          <w:szCs w:val="32"/>
        </w:rPr>
        <w:t>；公务接待费支出决算为</w:t>
      </w:r>
      <w:bookmarkStart w:id="23" w:name="PO_part3A3B1C1qzAmount3"/>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23"/>
      <w:r>
        <w:rPr>
          <w:rFonts w:hint="eastAsia" w:ascii="仿宋_GB2312" w:hAnsi="宋体" w:eastAsia="仿宋_GB2312" w:cs="宋体"/>
          <w:sz w:val="32"/>
          <w:szCs w:val="32"/>
        </w:rPr>
        <w:t>万元，完成预算</w:t>
      </w:r>
      <w:bookmarkStart w:id="24" w:name="PO_part3A3B1C1qzysAmount3"/>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24"/>
      <w:r>
        <w:rPr>
          <w:rFonts w:hint="eastAsia" w:ascii="仿宋_GB2312" w:hAnsi="宋体" w:eastAsia="仿宋_GB2312" w:cs="宋体"/>
          <w:sz w:val="32"/>
          <w:szCs w:val="32"/>
        </w:rPr>
        <w:t>万元的</w:t>
      </w:r>
      <w:bookmarkStart w:id="25" w:name="PO_part3A3B1C1qzPercent3"/>
      <w:r>
        <w:rPr>
          <w:rFonts w:hint="eastAsia" w:ascii="仿宋_GB2312" w:hAnsi="宋体" w:eastAsia="仿宋_GB2312" w:cs="宋体"/>
          <w:sz w:val="32"/>
          <w:szCs w:val="32"/>
        </w:rPr>
        <w:t>--%（基数为0，不可比）</w:t>
      </w:r>
      <w:r>
        <w:rPr>
          <w:rFonts w:hint="eastAsia" w:ascii="仿宋_GB2312" w:hAnsi="宋体" w:eastAsia="仿宋_GB2312" w:cs="宋体"/>
          <w:sz w:val="11"/>
          <w:szCs w:val="11"/>
        </w:rPr>
        <w:t xml:space="preserve"> </w:t>
      </w:r>
      <w:bookmarkEnd w:id="25"/>
      <w:r>
        <w:rPr>
          <w:rFonts w:hint="eastAsia" w:ascii="仿宋_GB2312" w:hAnsi="宋体" w:eastAsia="仿宋_GB2312" w:cs="宋体"/>
          <w:sz w:val="32"/>
          <w:szCs w:val="32"/>
        </w:rPr>
        <w:t>，比上年决算数</w:t>
      </w:r>
      <w:bookmarkStart w:id="26" w:name="PO_part3A3B1C1IncAmount6"/>
      <w:r>
        <w:rPr>
          <w:rFonts w:hint="eastAsia" w:ascii="仿宋_GB2312" w:hAnsi="宋体" w:eastAsia="仿宋_GB2312" w:cs="宋体"/>
          <w:sz w:val="32"/>
          <w:szCs w:val="32"/>
        </w:rPr>
        <w:t>增加</w:t>
      </w:r>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26"/>
      <w:r>
        <w:rPr>
          <w:rFonts w:hint="eastAsia" w:ascii="仿宋_GB2312" w:hAnsi="宋体" w:eastAsia="仿宋_GB2312" w:cs="宋体"/>
          <w:sz w:val="32"/>
          <w:szCs w:val="32"/>
        </w:rPr>
        <w:t>万元，</w:t>
      </w:r>
      <w:bookmarkStart w:id="27" w:name="PO_part3A3B1C1IncPercent6"/>
      <w:r>
        <w:rPr>
          <w:rFonts w:hint="eastAsia" w:ascii="仿宋_GB2312" w:hAnsi="宋体" w:eastAsia="仿宋_GB2312" w:cs="宋体"/>
          <w:sz w:val="32"/>
          <w:szCs w:val="32"/>
        </w:rPr>
        <w:t>增长</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 xml:space="preserve">%。 </w:t>
      </w:r>
      <w:bookmarkEnd w:id="27"/>
      <w:r>
        <w:rPr>
          <w:rFonts w:hint="eastAsia" w:ascii="仿宋_GB2312" w:hAnsi="宋体" w:eastAsia="仿宋_GB2312" w:cs="宋体"/>
          <w:sz w:val="32"/>
          <w:szCs w:val="32"/>
        </w:rPr>
        <w:t>2025年度“三公”经费支出决算等于预算数的主要情况：本单位无“三公”经费。2025年度“三公”经费支出决算等于上年决算数的主要情况：本单位“三公”经费。</w:t>
      </w:r>
    </w:p>
    <w:p w14:paraId="7CA8C0EF">
      <w:pPr>
        <w:ind w:firstLine="643" w:firstLineChars="200"/>
        <w:rPr>
          <w:rFonts w:hint="eastAsia" w:ascii="仿宋_GB2312" w:hAnsi="宋体" w:eastAsia="仿宋_GB2312" w:cs="宋体"/>
          <w:b/>
          <w:sz w:val="32"/>
          <w:szCs w:val="32"/>
        </w:rPr>
      </w:pPr>
      <w:r>
        <w:rPr>
          <w:rFonts w:hint="eastAsia" w:ascii="仿宋_GB2312" w:hAnsi="宋体" w:eastAsia="仿宋_GB2312" w:cs="宋体"/>
          <w:b/>
          <w:sz w:val="32"/>
          <w:szCs w:val="32"/>
        </w:rPr>
        <w:t>（二）“三公”经费财政拨款支出决算具体情况说明</w:t>
      </w:r>
    </w:p>
    <w:p w14:paraId="5D5028F3">
      <w:pPr>
        <w:ind w:firstLine="640" w:firstLineChars="200"/>
        <w:rPr>
          <w:rFonts w:hint="eastAsia" w:ascii="仿宋_GB2312" w:hAnsi="宋体" w:eastAsia="仿宋_GB2312" w:cs="宋体"/>
          <w:sz w:val="32"/>
          <w:szCs w:val="32"/>
        </w:rPr>
      </w:pPr>
      <w:bookmarkStart w:id="28" w:name="PO_part3A3B2Year1"/>
      <w:r>
        <w:rPr>
          <w:rFonts w:hint="eastAsia" w:ascii="仿宋_GB2312" w:hAnsi="宋体" w:eastAsia="仿宋_GB2312" w:cs="宋体"/>
          <w:sz w:val="32"/>
          <w:szCs w:val="32"/>
          <w:lang w:eastAsia="zh-CN"/>
        </w:rPr>
        <w:t>2025</w:t>
      </w:r>
      <w:r>
        <w:rPr>
          <w:rFonts w:hint="eastAsia" w:ascii="仿宋_GB2312" w:hAnsi="宋体" w:eastAsia="仿宋_GB2312" w:cs="宋体"/>
          <w:sz w:val="11"/>
          <w:szCs w:val="11"/>
        </w:rPr>
        <w:t xml:space="preserve"> </w:t>
      </w:r>
      <w:bookmarkEnd w:id="28"/>
      <w:r>
        <w:rPr>
          <w:rFonts w:hint="eastAsia" w:ascii="仿宋_GB2312" w:hAnsi="宋体" w:eastAsia="仿宋_GB2312" w:cs="宋体"/>
          <w:sz w:val="32"/>
          <w:szCs w:val="32"/>
        </w:rPr>
        <w:t>年度“三公”经费财政拨款支出决算中，因公出国（境）费</w:t>
      </w:r>
      <w:bookmarkStart w:id="29" w:name="PO_part3A3B2Amount1"/>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万元，占</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29"/>
      <w:r>
        <w:rPr>
          <w:rFonts w:hint="eastAsia" w:ascii="仿宋_GB2312" w:hAnsi="宋体" w:eastAsia="仿宋_GB2312" w:cs="宋体"/>
          <w:sz w:val="32"/>
          <w:szCs w:val="32"/>
        </w:rPr>
        <w:t>；公务用车购置及运行维护费支出</w:t>
      </w:r>
      <w:bookmarkStart w:id="30" w:name="PO_part3A3B2Amount2"/>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万元，占</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30"/>
      <w:r>
        <w:rPr>
          <w:rFonts w:hint="eastAsia" w:ascii="仿宋_GB2312" w:hAnsi="宋体" w:eastAsia="仿宋_GB2312" w:cs="宋体"/>
          <w:sz w:val="32"/>
          <w:szCs w:val="32"/>
        </w:rPr>
        <w:t>；公务接待费支出</w:t>
      </w:r>
      <w:bookmarkStart w:id="31" w:name="PO_part3A3B2Amount3"/>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万元，占</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31"/>
      <w:r>
        <w:rPr>
          <w:rFonts w:hint="eastAsia" w:ascii="仿宋_GB2312" w:hAnsi="宋体" w:eastAsia="仿宋_GB2312" w:cs="宋体"/>
          <w:sz w:val="32"/>
          <w:szCs w:val="32"/>
        </w:rPr>
        <w:t>。具体情况如下：</w:t>
      </w:r>
    </w:p>
    <w:p w14:paraId="59C94299">
      <w:pPr>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w:t>
      </w:r>
      <w:bookmarkStart w:id="32" w:name="PO_part3A3B2C1D1Meeting1"/>
      <w:r>
        <w:rPr>
          <w:rFonts w:hint="eastAsia" w:ascii="仿宋_GB2312" w:hAnsi="宋体" w:eastAsia="仿宋_GB2312" w:cs="宋体"/>
          <w:sz w:val="32"/>
          <w:szCs w:val="32"/>
          <w:lang w:val="en-US" w:eastAsia="zh-CN"/>
        </w:rPr>
        <w:t>因公出国（境）费支出0万元。全年使用财政拨款安排出国 （境）团组0个、累计0人次。本单位无因公出国（境）费支出支出。</w:t>
      </w:r>
      <w:r>
        <w:rPr>
          <w:rFonts w:hint="eastAsia" w:ascii="仿宋_GB2312" w:hAnsi="宋体" w:eastAsia="仿宋_GB2312" w:cs="宋体"/>
          <w:sz w:val="32"/>
          <w:szCs w:val="32"/>
        </w:rPr>
        <w:t xml:space="preserve"> </w:t>
      </w:r>
      <w:bookmarkEnd w:id="32"/>
    </w:p>
    <w:p w14:paraId="2CBB7C6B">
      <w:pPr>
        <w:keepNext w:val="0"/>
        <w:keepLines w:val="0"/>
        <w:widowControl/>
        <w:suppressLineNumbers w:val="0"/>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2.公务用车购置及运行维护费支出</w:t>
      </w:r>
      <w:bookmarkStart w:id="33" w:name="PO_part3A3B2C2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33"/>
      <w:r>
        <w:rPr>
          <w:rFonts w:hint="eastAsia" w:ascii="仿宋_GB2312" w:hAnsi="宋体" w:eastAsia="仿宋_GB2312" w:cs="宋体"/>
          <w:sz w:val="32"/>
          <w:szCs w:val="32"/>
        </w:rPr>
        <w:t>万元，其中：公务用车购置支出为</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万元，公务用车购置数</w:t>
      </w:r>
      <w:bookmarkStart w:id="34" w:name="PO_part3A3B2C2D1Car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34"/>
      <w:r>
        <w:rPr>
          <w:rFonts w:hint="eastAsia" w:ascii="仿宋_GB2312" w:hAnsi="宋体" w:eastAsia="仿宋_GB2312" w:cs="宋体"/>
          <w:sz w:val="32"/>
          <w:szCs w:val="32"/>
        </w:rPr>
        <w:t>辆。公务用车运行维护费支出</w:t>
      </w:r>
      <w:bookmarkStart w:id="35" w:name="PO_part3A3B2C2D2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35"/>
      <w:r>
        <w:rPr>
          <w:rFonts w:hint="eastAsia" w:ascii="仿宋_GB2312" w:hAnsi="宋体" w:eastAsia="仿宋_GB2312" w:cs="宋体"/>
          <w:sz w:val="32"/>
          <w:szCs w:val="32"/>
        </w:rPr>
        <w:t>万元，公务用车保有量为</w:t>
      </w:r>
      <w:bookmarkStart w:id="36" w:name="PO_part3A3B2C2D2Car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36"/>
      <w:r>
        <w:rPr>
          <w:rFonts w:hint="eastAsia" w:ascii="仿宋_GB2312" w:hAnsi="宋体" w:eastAsia="仿宋_GB2312" w:cs="宋体"/>
          <w:sz w:val="32"/>
          <w:szCs w:val="32"/>
        </w:rPr>
        <w:t>辆，主要用于</w:t>
      </w:r>
      <w:bookmarkStart w:id="37" w:name="PO_part3A3B2C2D2Use1"/>
      <w:r>
        <w:rPr>
          <w:rFonts w:hint="eastAsia" w:ascii="仿宋_GB2312" w:hAnsi="宋体" w:eastAsia="仿宋_GB2312" w:cs="宋体"/>
          <w:sz w:val="32"/>
          <w:szCs w:val="32"/>
          <w:lang w:val="en-US" w:eastAsia="zh-CN"/>
        </w:rPr>
        <w:t>公务用车购置数和公务用车保有量填列使用财政拨款负担费用所对应的车辆情况 。</w:t>
      </w:r>
    </w:p>
    <w:bookmarkEnd w:id="37"/>
    <w:p w14:paraId="75672C84">
      <w:pPr>
        <w:keepNext w:val="0"/>
        <w:keepLines w:val="0"/>
        <w:widowControl/>
        <w:suppressLineNumbers w:val="0"/>
        <w:ind w:firstLine="640" w:firstLineChars="200"/>
        <w:jc w:val="left"/>
        <w:rPr>
          <w:rFonts w:hint="eastAsia" w:ascii="仿宋" w:hAnsi="仿宋" w:eastAsia="仿宋" w:cs="仿宋"/>
          <w:color w:val="000000"/>
          <w:kern w:val="0"/>
          <w:sz w:val="30"/>
          <w:szCs w:val="30"/>
          <w:lang w:val="en-US" w:eastAsia="zh-CN" w:bidi="ar"/>
        </w:rPr>
      </w:pPr>
      <w:r>
        <w:rPr>
          <w:rFonts w:hint="eastAsia" w:ascii="仿宋_GB2312" w:hAnsi="宋体" w:eastAsia="仿宋_GB2312" w:cs="宋体"/>
          <w:sz w:val="32"/>
          <w:szCs w:val="32"/>
        </w:rPr>
        <w:t>3.</w:t>
      </w:r>
      <w:r>
        <w:rPr>
          <w:rFonts w:hint="eastAsia" w:ascii="仿宋_GB2312" w:hAnsi="宋体" w:eastAsia="仿宋_GB2312" w:cs="宋体"/>
          <w:sz w:val="32"/>
          <w:szCs w:val="32"/>
          <w:lang w:val="en-US" w:eastAsia="zh-CN"/>
        </w:rPr>
        <w:t>公务接待费支出0万元，主要用于</w:t>
      </w:r>
      <w:bookmarkStart w:id="38" w:name="PO_part3A3B2C3Detail1"/>
      <w:r>
        <w:rPr>
          <w:rFonts w:hint="eastAsia" w:ascii="仿宋_GB2312" w:hAnsi="宋体" w:eastAsia="仿宋_GB2312" w:cs="宋体"/>
          <w:sz w:val="32"/>
          <w:szCs w:val="32"/>
          <w:lang w:val="en-US" w:eastAsia="zh-CN"/>
        </w:rPr>
        <w:t>无公务接待费支出</w:t>
      </w:r>
      <w:r>
        <w:rPr>
          <w:rFonts w:ascii="宋体" w:hAnsi="宋体" w:eastAsia="宋体" w:cs="宋体"/>
          <w:kern w:val="0"/>
          <w:sz w:val="24"/>
          <w:szCs w:val="24"/>
          <w:lang w:val="en-US" w:eastAsia="zh-CN" w:bidi="ar"/>
        </w:rPr>
        <w:t xml:space="preserve"> </w:t>
      </w:r>
      <w:bookmarkEnd w:id="38"/>
      <w:r>
        <w:rPr>
          <w:rFonts w:hint="eastAsia" w:ascii="仿宋_GB2312" w:hAnsi="宋体" w:eastAsia="仿宋_GB2312" w:cs="宋体"/>
          <w:sz w:val="32"/>
          <w:szCs w:val="32"/>
        </w:rPr>
        <w:t>，共接待国外、境外来访团组</w:t>
      </w:r>
      <w:bookmarkStart w:id="39" w:name="PO_part3A3B2C3Lfzt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39"/>
      <w:r>
        <w:rPr>
          <w:rFonts w:hint="eastAsia" w:ascii="仿宋_GB2312" w:hAnsi="宋体" w:eastAsia="仿宋_GB2312" w:cs="宋体"/>
          <w:sz w:val="32"/>
          <w:szCs w:val="32"/>
        </w:rPr>
        <w:t>个，来访外宾</w:t>
      </w:r>
      <w:bookmarkStart w:id="40" w:name="PO_part3A3B2C3Lfwb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40"/>
      <w:r>
        <w:rPr>
          <w:rFonts w:hint="eastAsia" w:ascii="仿宋_GB2312" w:hAnsi="宋体" w:eastAsia="仿宋_GB2312" w:cs="宋体"/>
          <w:sz w:val="32"/>
          <w:szCs w:val="32"/>
        </w:rPr>
        <w:t>人次；发生国内接待</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次，接待人数共</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人。</w:t>
      </w:r>
      <w:bookmarkStart w:id="41" w:name="PO_part3A3B2C3GnjdInclude1"/>
      <w:r>
        <w:rPr>
          <w:rFonts w:hint="eastAsia" w:ascii="仿宋" w:hAnsi="仿宋" w:eastAsia="仿宋" w:cs="仿宋"/>
          <w:color w:val="000000"/>
          <w:kern w:val="0"/>
          <w:sz w:val="30"/>
          <w:szCs w:val="30"/>
          <w:lang w:val="en-US" w:eastAsia="zh-CN" w:bidi="ar"/>
        </w:rPr>
        <w:t>本单位无公务接待支出。</w:t>
      </w:r>
      <w:bookmarkEnd w:id="41"/>
    </w:p>
    <w:p w14:paraId="315312F5">
      <w:pPr>
        <w:keepNext w:val="0"/>
        <w:keepLines w:val="0"/>
        <w:widowControl/>
        <w:suppressLineNumbers w:val="0"/>
        <w:jc w:val="left"/>
      </w:pPr>
      <w:r>
        <w:rPr>
          <w:rFonts w:ascii="黑体" w:hAnsi="宋体" w:eastAsia="黑体" w:cs="黑体"/>
          <w:color w:val="000000"/>
          <w:kern w:val="0"/>
          <w:sz w:val="32"/>
          <w:szCs w:val="32"/>
          <w:lang w:val="en-US" w:eastAsia="zh-CN" w:bidi="ar"/>
        </w:rPr>
        <w:t xml:space="preserve">四、其他重要事项的情况说明 </w:t>
      </w:r>
    </w:p>
    <w:p w14:paraId="3A0F2E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b/>
          <w:bCs/>
          <w:color w:val="000000"/>
          <w:kern w:val="0"/>
          <w:sz w:val="30"/>
          <w:szCs w:val="30"/>
          <w:lang w:val="en-US" w:eastAsia="zh-CN" w:bidi="ar"/>
        </w:rPr>
      </w:pPr>
      <w:r>
        <w:rPr>
          <w:rFonts w:hint="eastAsia" w:ascii="仿宋" w:hAnsi="仿宋" w:eastAsia="仿宋" w:cs="仿宋"/>
          <w:b/>
          <w:bCs/>
          <w:color w:val="000000"/>
          <w:kern w:val="0"/>
          <w:sz w:val="30"/>
          <w:szCs w:val="30"/>
          <w:lang w:val="en-US" w:eastAsia="zh-CN" w:bidi="ar"/>
        </w:rPr>
        <w:t>（一）机关运行经费支出情况</w:t>
      </w:r>
    </w:p>
    <w:p w14:paraId="47297EFF">
      <w:pPr>
        <w:keepNext w:val="0"/>
        <w:keepLines w:val="0"/>
        <w:widowControl/>
        <w:suppressLineNumbers w:val="0"/>
        <w:ind w:firstLine="640" w:firstLineChars="200"/>
        <w:jc w:val="left"/>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2025年度本单位机关运行经费支出0万元，比上年决算数增加0万元，增长0%。主要增减变动情况是：本年决算数为0，同时较上年增减额为0，与上年决算数持平。</w:t>
      </w:r>
    </w:p>
    <w:p w14:paraId="172154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b/>
          <w:bCs/>
          <w:color w:val="000000"/>
          <w:kern w:val="0"/>
          <w:sz w:val="30"/>
          <w:szCs w:val="30"/>
          <w:lang w:val="en-US" w:eastAsia="zh-CN" w:bidi="ar"/>
        </w:rPr>
      </w:pPr>
      <w:r>
        <w:rPr>
          <w:rFonts w:hint="eastAsia" w:ascii="仿宋" w:hAnsi="仿宋" w:eastAsia="仿宋" w:cs="仿宋"/>
          <w:b/>
          <w:bCs/>
          <w:color w:val="000000"/>
          <w:kern w:val="0"/>
          <w:sz w:val="30"/>
          <w:szCs w:val="30"/>
          <w:lang w:val="en-US" w:eastAsia="zh-CN" w:bidi="ar"/>
        </w:rPr>
        <w:t>（二）政府采购支出情况说明</w:t>
      </w:r>
    </w:p>
    <w:p w14:paraId="5CEBAE97">
      <w:pPr>
        <w:keepNext w:val="0"/>
        <w:keepLines w:val="0"/>
        <w:widowControl/>
        <w:suppressLineNumbers w:val="0"/>
        <w:ind w:firstLine="640" w:firstLineChars="200"/>
        <w:jc w:val="left"/>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2025年度本单位政府采购支出总额3.81万元，其中：政府采购货物支出3.69万元、政府采购工程支出0万元、政府采购服务支出0.12万元。授予中小企业合同金额0万元，占政府采购支出总额的0%，其中：授予小微企业合同金额3.81万元，占授予中小企业合同金额的100%；货物采购授予中小企业合同金额占货物支出金额的96.85%，工程采购授予中小企业合同金额占工程支出金额的0%，服务采购授予中小企业合同金额占服务支出金额的3.15%。</w:t>
      </w:r>
    </w:p>
    <w:p w14:paraId="5F46A8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b/>
          <w:bCs/>
          <w:color w:val="000000"/>
          <w:kern w:val="0"/>
          <w:sz w:val="30"/>
          <w:szCs w:val="30"/>
          <w:lang w:val="en-US" w:eastAsia="zh-CN" w:bidi="ar"/>
        </w:rPr>
      </w:pPr>
      <w:r>
        <w:rPr>
          <w:rFonts w:hint="eastAsia" w:ascii="仿宋" w:hAnsi="仿宋" w:eastAsia="仿宋" w:cs="仿宋"/>
          <w:b/>
          <w:bCs/>
          <w:color w:val="000000"/>
          <w:kern w:val="0"/>
          <w:sz w:val="30"/>
          <w:szCs w:val="30"/>
          <w:lang w:val="en-US" w:eastAsia="zh-CN" w:bidi="ar"/>
        </w:rPr>
        <w:t>（三）国有资产占用情况说明</w:t>
      </w:r>
    </w:p>
    <w:p w14:paraId="5D6BF113">
      <w:pPr>
        <w:keepNext w:val="0"/>
        <w:keepLines w:val="0"/>
        <w:widowControl/>
        <w:suppressLineNumbers w:val="0"/>
        <w:ind w:firstLine="640" w:firstLineChars="200"/>
        <w:jc w:val="left"/>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截至2025年12月31日，本单位共有车辆1辆，其中，其他用车1辆，其他用车主要是公务用车；单位价值100万元以上设备（不含车辆）0台（套）。</w:t>
      </w:r>
    </w:p>
    <w:p w14:paraId="309C65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b/>
          <w:bCs/>
          <w:color w:val="000000"/>
          <w:kern w:val="0"/>
          <w:sz w:val="30"/>
          <w:szCs w:val="30"/>
          <w:lang w:val="en-US" w:eastAsia="zh-CN" w:bidi="ar"/>
        </w:rPr>
      </w:pPr>
      <w:r>
        <w:rPr>
          <w:rFonts w:hint="eastAsia" w:ascii="仿宋" w:hAnsi="仿宋" w:eastAsia="仿宋" w:cs="仿宋"/>
          <w:b/>
          <w:bCs/>
          <w:color w:val="000000"/>
          <w:kern w:val="0"/>
          <w:sz w:val="30"/>
          <w:szCs w:val="30"/>
          <w:lang w:val="en-US" w:eastAsia="zh-CN" w:bidi="ar"/>
        </w:rPr>
        <w:t>（四）2025年度绩效评价情况的说明</w:t>
      </w:r>
    </w:p>
    <w:p w14:paraId="6BBBF7EF">
      <w:pPr>
        <w:keepNext w:val="0"/>
        <w:keepLines w:val="0"/>
        <w:widowControl/>
        <w:suppressLineNumbers w:val="0"/>
        <w:ind w:firstLine="643" w:firstLineChars="200"/>
        <w:jc w:val="left"/>
        <w:rPr>
          <w:rFonts w:hint="eastAsia" w:ascii="仿宋_GB2312" w:hAnsi="宋体" w:eastAsia="仿宋_GB2312" w:cs="宋体"/>
          <w:sz w:val="32"/>
          <w:szCs w:val="32"/>
          <w:lang w:val="en-US" w:eastAsia="zh-CN"/>
        </w:rPr>
      </w:pPr>
      <w:r>
        <w:rPr>
          <w:rFonts w:hint="eastAsia" w:ascii="仿宋_GB2312" w:hAnsi="宋体" w:eastAsia="仿宋_GB2312" w:cs="宋体"/>
          <w:b/>
          <w:bCs/>
          <w:sz w:val="32"/>
          <w:szCs w:val="32"/>
          <w:lang w:val="en-US" w:eastAsia="zh-CN"/>
        </w:rPr>
        <w:t>绩效评价工作开展情况。</w:t>
      </w:r>
      <w:r>
        <w:rPr>
          <w:rFonts w:hint="eastAsia" w:ascii="仿宋_GB2312" w:hAnsi="宋体" w:eastAsia="仿宋_GB2312" w:cs="宋体"/>
          <w:sz w:val="32"/>
          <w:szCs w:val="32"/>
          <w:lang w:val="en-US" w:eastAsia="zh-CN"/>
        </w:rPr>
        <w:t>本单位无绩效项目。</w:t>
      </w:r>
    </w:p>
    <w:p w14:paraId="0C442397">
      <w:pPr>
        <w:keepNext w:val="0"/>
        <w:keepLines w:val="0"/>
        <w:widowControl/>
        <w:suppressLineNumbers w:val="0"/>
        <w:ind w:firstLine="643" w:firstLineChars="200"/>
        <w:jc w:val="left"/>
        <w:rPr>
          <w:rFonts w:hint="eastAsia" w:ascii="仿宋_GB2312" w:hAnsi="宋体" w:eastAsia="仿宋_GB2312" w:cs="宋体"/>
          <w:sz w:val="32"/>
          <w:szCs w:val="32"/>
          <w:lang w:val="en-US" w:eastAsia="zh-CN"/>
        </w:rPr>
      </w:pPr>
      <w:r>
        <w:rPr>
          <w:rFonts w:hint="eastAsia" w:ascii="仿宋_GB2312" w:hAnsi="宋体" w:eastAsia="仿宋_GB2312" w:cs="宋体"/>
          <w:b/>
          <w:bCs/>
          <w:sz w:val="32"/>
          <w:szCs w:val="32"/>
          <w:lang w:val="en-US" w:eastAsia="zh-CN"/>
        </w:rPr>
        <w:t>绩效自评结果。</w:t>
      </w:r>
      <w:r>
        <w:rPr>
          <w:rFonts w:hint="eastAsia" w:ascii="仿宋_GB2312" w:hAnsi="宋体" w:eastAsia="仿宋_GB2312" w:cs="宋体"/>
          <w:sz w:val="32"/>
          <w:szCs w:val="32"/>
          <w:lang w:val="en-US" w:eastAsia="zh-CN"/>
        </w:rPr>
        <w:t>本单位无绩效项目。</w:t>
      </w:r>
    </w:p>
    <w:p w14:paraId="01640718">
      <w:pPr>
        <w:keepNext w:val="0"/>
        <w:keepLines w:val="0"/>
        <w:widowControl/>
        <w:suppressLineNumbers w:val="0"/>
        <w:ind w:firstLine="640" w:firstLineChars="200"/>
        <w:jc w:val="left"/>
      </w:pPr>
      <w:r>
        <w:rPr>
          <w:rFonts w:hint="eastAsia" w:ascii="仿宋_GB2312" w:hAnsi="宋体" w:eastAsia="仿宋_GB2312" w:cs="宋体"/>
          <w:sz w:val="32"/>
          <w:szCs w:val="32"/>
          <w:lang w:val="en-US" w:eastAsia="zh-CN"/>
        </w:rPr>
        <w:t xml:space="preserve">本单位无绩效项目。 </w:t>
      </w:r>
      <w:bookmarkStart w:id="42" w:name="_GoBack"/>
      <w:bookmarkEnd w:id="42"/>
    </w:p>
    <w:p w14:paraId="56442241">
      <w:pPr>
        <w:keepNext w:val="0"/>
        <w:keepLines w:val="0"/>
        <w:widowControl/>
        <w:suppressLineNumbers w:val="0"/>
        <w:ind w:firstLine="640" w:firstLineChars="200"/>
        <w:jc w:val="left"/>
        <w:rPr>
          <w:rFonts w:hint="eastAsia" w:ascii="仿宋_GB2312" w:hAnsi="宋体" w:eastAsia="仿宋_GB2312" w:cs="宋体"/>
          <w:sz w:val="32"/>
          <w:szCs w:val="32"/>
          <w:lang w:val="en-US" w:eastAsia="zh-CN"/>
        </w:rPr>
      </w:pPr>
    </w:p>
    <w:p w14:paraId="555DF23A">
      <w:pPr>
        <w:keepNext w:val="0"/>
        <w:keepLines w:val="0"/>
        <w:widowControl/>
        <w:suppressLineNumbers w:val="0"/>
        <w:ind w:firstLine="600" w:firstLineChars="200"/>
        <w:jc w:val="left"/>
        <w:rPr>
          <w:rFonts w:hint="eastAsia" w:ascii="仿宋" w:hAnsi="仿宋" w:eastAsia="仿宋" w:cs="仿宋"/>
          <w:color w:val="000000"/>
          <w:kern w:val="0"/>
          <w:sz w:val="30"/>
          <w:szCs w:val="30"/>
          <w:lang w:val="en-US" w:eastAsia="zh-CN" w:bidi="ar"/>
        </w:rPr>
      </w:pPr>
    </w:p>
    <w:p w14:paraId="6A200A71"/>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yZTI4MzM0YTkzY2E0ZjI4ZmNlMGIxODNmMTM1YjEifQ=="/>
  </w:docVars>
  <w:rsids>
    <w:rsidRoot w:val="75CB36A1"/>
    <w:rsid w:val="0754675F"/>
    <w:rsid w:val="0F6D2DA8"/>
    <w:rsid w:val="202D3B9A"/>
    <w:rsid w:val="23044684"/>
    <w:rsid w:val="26811F3C"/>
    <w:rsid w:val="279627D2"/>
    <w:rsid w:val="2A425283"/>
    <w:rsid w:val="30BC0D4E"/>
    <w:rsid w:val="45B25BFB"/>
    <w:rsid w:val="5C14771E"/>
    <w:rsid w:val="75CB3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1474</Words>
  <Characters>1595</Characters>
  <Lines>0</Lines>
  <Paragraphs>0</Paragraphs>
  <TotalTime>4</TotalTime>
  <ScaleCrop>false</ScaleCrop>
  <LinksUpToDate>false</LinksUpToDate>
  <CharactersWithSpaces>1638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2025-10-06T02:55:00Z</dcterms:created>
  <dc:creator>超</dc:creator>
  <cp:lastModifiedBy>火山</cp:lastModifiedBy>
  <dcterms:modified xsi:type="dcterms:W3CDTF">2026-09-17T01:46:43Z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29C3D338A0F747439D9088CFFA86D4E6_11</vt:lpwstr>
  </property>
  <property fmtid="{D5CDD505-2E9C-101B-9397-08002B2CF9AE}" pid="4" name="KSOTemplateDocerSaveRecord">
    <vt:lpwstr>eyJoZGlkIjoiODUyODEyYmQxNjkwY2JmOGU0N2Q4ZTc4NDU4YjQyMmUiLCJ1c2VySWQiOiI0MDgxNzM2NDgifQ==</vt:lpwstr>
  </property>
</Properties>
</file>