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徐闻县卫生健康局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徐闻县卫生健康局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23.34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19.94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19.94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3.40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17.92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17.92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17.92</w:t>
            </w:r>
            <w:bookmarkStart w:id="1" w:name="_GoBack"/>
            <w:bookmarkEnd w:id="1"/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1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2E6E234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卫生健康局2025年度“三公”经费财政拨款支出决算为17.92万元，完成全年预算23.34万元的76.8%，比上年决算数增加4.86万元，增长37.2%。其中：因公出国（境）费支出决算为0万元，完成预算0万元的--%（基数为0，不可比），比上年决算数增加0万元，增长--（基数为0，不可比）；公务用车购置及运行维护费支出决算为17.92万元，完成预算19.94万元的89.8%，比上年决算数增加4.86万元，增长37.2%；其中：公务用车购置支出决算为0万元，完成预算0万元的--%（基数为0，不可比），比上年决算数增加0万元，增长--（基数为0，不可比）；公务用车运行维护费支出决算为17.92万元，完成预算19.94万元的89.8%，比上年决算数增加4.86万元，增长37.2%；公务接待费支出决算为0万元，完成预算3.4万元的0%，比上年决算数增加0万元，增长--（基数为0，不可比）。</w:t>
      </w:r>
    </w:p>
    <w:p w14:paraId="1D65109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2025年度“三公”经费支出决算小于预算数的主要情况：认真贯彻落实中央八项规定精神和厉行节约的要求，从严控制“三公”经费开支，全年实际支出比预算有所节约。</w:t>
      </w:r>
    </w:p>
    <w:p w14:paraId="31879751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2025年度“三公”经费支出决算大于上年决算数的主要情况：大部分下属单位公车使用年限较久，耗油、维修费用高等。</w:t>
      </w:r>
    </w:p>
    <w:p w14:paraId="7CA8C0EF">
      <w:pPr>
        <w:ind w:firstLine="641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20D0ACB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2025年度“三公”经费财政拨款支出决算中，因公出国（境）费0万元，占0%；公务用车购置及运行维护费支出17.92万元，占100%；公务接待费支出0万元，占0%。具体情况如下：</w:t>
      </w:r>
    </w:p>
    <w:p w14:paraId="7A60A72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1.因公出国（境）费支出0万元。全年使用财政拨款安排出国（境）团组0个、累计0人次。开支内容包括：（1）参加会议支出0万元；（2）出国谈判、工作磋商支出0万元；（3）境外业务培训及考察0万元。</w:t>
      </w:r>
    </w:p>
    <w:p w14:paraId="4B70588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17.92万元，其中：公务用车购置支出为0万元，公务用车购置数0辆。公务用车运行维护费支出17.92万元，公务用车保有量为13辆，主要用于救护车接送病人、日常下乡以及市区开会等。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3.公务接待费支出0万元，主要用于省市级业务指导，兄弟单位交流学习等，共接待国外、境外来访团组0个，来访外宾0人次；发生国内接待0次，接待人数共0人。主要包括省市级业务指导，兄弟单位交流学习等。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_GB2312">
    <w:altName w:val="CESI仿宋-GB13000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75CB36A1"/>
    <w:rsid w:val="7DF7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1458</Words>
  <Characters>1593</Characters>
  <Lines>0</Lines>
  <Paragraphs>0</Paragraphs>
  <TotalTime>2</TotalTime>
  <ScaleCrop>false</ScaleCrop>
  <LinksUpToDate>false</LinksUpToDate>
  <CharactersWithSpaces>1657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2025-10-06T10:55:00Z</dcterms:created>
  <dc:creator>超</dc:creator>
  <cp:lastModifiedBy>我没有名字</cp:lastModifiedBy>
  <dcterms:modified xsi:type="dcterms:W3CDTF">2026-09-16T13:35:38Z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