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1D7AA">
      <w:pPr>
        <w:jc w:val="center"/>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 xml:space="preserve">  </w:t>
      </w:r>
    </w:p>
    <w:p w14:paraId="34A37F4E">
      <w:pPr>
        <w:jc w:val="center"/>
        <w:rPr>
          <w:rFonts w:hint="eastAsia" w:ascii="仿宋_GB2312" w:hAnsi="宋体" w:eastAsia="仿宋_GB2312" w:cs="宋体"/>
          <w:b/>
          <w:sz w:val="44"/>
          <w:szCs w:val="44"/>
          <w:lang w:val="en-US" w:eastAsia="zh-CN"/>
        </w:rPr>
      </w:pPr>
      <w:r>
        <w:rPr>
          <w:rFonts w:hint="eastAsia" w:ascii="宋体" w:hAnsi="宋体" w:eastAsia="宋体" w:cs="宋体"/>
          <w:b/>
          <w:bCs/>
          <w:kern w:val="0"/>
          <w:sz w:val="24"/>
          <w:szCs w:val="24"/>
          <w:lang w:val="en-US" w:eastAsia="zh-CN" w:bidi="ar"/>
        </w:rPr>
        <w:t xml:space="preserve"> </w:t>
      </w:r>
      <w:r>
        <w:rPr>
          <w:rFonts w:hint="eastAsia" w:ascii="仿宋_GB2312" w:hAnsi="宋体" w:eastAsia="仿宋_GB2312" w:cs="宋体"/>
          <w:b/>
          <w:sz w:val="44"/>
          <w:szCs w:val="44"/>
          <w:lang w:val="en-US" w:eastAsia="zh-CN"/>
        </w:rPr>
        <w:t xml:space="preserve"> 2025年徐闻县民政局部门“三公</w:t>
      </w:r>
      <w:r>
        <w:rPr>
          <w:rFonts w:hint="default" w:ascii="仿宋_GB2312" w:hAnsi="宋体" w:eastAsia="仿宋_GB2312" w:cs="宋体"/>
          <w:b/>
          <w:sz w:val="44"/>
          <w:szCs w:val="44"/>
          <w:lang w:val="en-US" w:eastAsia="zh-CN"/>
        </w:rPr>
        <w:t>”</w:t>
      </w:r>
      <w:r>
        <w:rPr>
          <w:rFonts w:hint="eastAsia" w:ascii="仿宋_GB2312" w:hAnsi="宋体" w:eastAsia="仿宋_GB2312" w:cs="宋体"/>
          <w:b/>
          <w:sz w:val="44"/>
          <w:szCs w:val="44"/>
          <w:lang w:val="en-US" w:eastAsia="zh-CN"/>
        </w:rPr>
        <w:t>经费决算公开</w:t>
      </w:r>
    </w:p>
    <w:p w14:paraId="05AA9E84">
      <w:pPr>
        <w:jc w:val="center"/>
        <w:rPr>
          <w:rFonts w:hint="eastAsia" w:ascii="仿宋_GB2312" w:hAnsi="宋体" w:eastAsia="仿宋_GB2312" w:cs="宋体"/>
          <w:b/>
          <w:sz w:val="44"/>
          <w:szCs w:val="44"/>
          <w:lang w:val="en-US" w:eastAsia="zh-CN"/>
        </w:rPr>
      </w:pPr>
    </w:p>
    <w:p w14:paraId="35F2358F">
      <w:pPr>
        <w:jc w:val="center"/>
        <w:rPr>
          <w:rFonts w:hint="eastAsia" w:ascii="仿宋_GB2312" w:hAnsi="宋体" w:eastAsia="仿宋_GB2312" w:cs="宋体"/>
          <w:b/>
          <w:sz w:val="44"/>
          <w:szCs w:val="44"/>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14:paraId="51C0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center"/>
          </w:tcPr>
          <w:p w14:paraId="03A2F763">
            <w:pPr>
              <w:jc w:val="right"/>
              <w:rPr>
                <w:rFonts w:hint="eastAsia" w:ascii="宋体" w:hAnsi="宋体" w:cs="宋体"/>
              </w:rPr>
            </w:pPr>
            <w:r>
              <w:rPr>
                <w:rFonts w:hint="eastAsia" w:ascii="宋体" w:hAnsi="宋体" w:cs="宋体"/>
                <w:kern w:val="0"/>
                <w:sz w:val="20"/>
                <w:szCs w:val="20"/>
              </w:rPr>
              <w:t>表9</w:t>
            </w:r>
          </w:p>
        </w:tc>
      </w:tr>
      <w:tr w14:paraId="2F6B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top"/>
          </w:tcPr>
          <w:p w14:paraId="7CF647BD">
            <w:pPr>
              <w:jc w:val="center"/>
              <w:rPr>
                <w:rFonts w:hint="eastAsia" w:ascii="宋体" w:hAnsi="宋体" w:cs="宋体"/>
                <w:b/>
              </w:rPr>
            </w:pPr>
            <w:r>
              <w:rPr>
                <w:rFonts w:hint="eastAsia" w:ascii="宋体" w:hAnsi="宋体" w:cs="宋体"/>
                <w:b/>
                <w:kern w:val="0"/>
                <w:sz w:val="32"/>
                <w:szCs w:val="32"/>
              </w:rPr>
              <w:t>财政拨款“三公”经费支出决算表</w:t>
            </w:r>
          </w:p>
        </w:tc>
      </w:tr>
      <w:tr w14:paraId="5762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0639" w:type="dxa"/>
            <w:gridSpan w:val="9"/>
            <w:tcBorders>
              <w:top w:val="nil"/>
              <w:left w:val="nil"/>
              <w:bottom w:val="single" w:color="auto" w:sz="4" w:space="0"/>
              <w:right w:val="nil"/>
            </w:tcBorders>
            <w:noWrap w:val="0"/>
            <w:vAlign w:val="center"/>
          </w:tcPr>
          <w:p w14:paraId="54F44F76">
            <w:pPr>
              <w:spacing w:line="288" w:lineRule="auto"/>
              <w:jc w:val="left"/>
              <w:rPr>
                <w:rFonts w:hint="default" w:ascii="宋体" w:hAnsi="宋体" w:cs="宋体" w:eastAsiaTheme="minorEastAsia"/>
                <w:sz w:val="28"/>
                <w:szCs w:val="28"/>
                <w:lang w:val="en-US" w:eastAsia="zh-CN"/>
              </w:rPr>
            </w:pPr>
            <w:bookmarkStart w:id="0" w:name="PO_part2DivName9"/>
            <w:r>
              <w:rPr>
                <w:rFonts w:hint="eastAsia" w:ascii="宋体" w:hAnsi="宋体" w:cs="宋体"/>
                <w:kern w:val="0"/>
                <w:sz w:val="20"/>
                <w:szCs w:val="20"/>
              </w:rPr>
              <w:t xml:space="preserve"> 单位 </w:t>
            </w:r>
            <w:bookmarkEnd w:id="0"/>
            <w:r>
              <w:rPr>
                <w:rFonts w:hint="eastAsia" w:ascii="宋体" w:hAnsi="宋体" w:cs="宋体"/>
                <w:kern w:val="0"/>
                <w:sz w:val="20"/>
                <w:szCs w:val="20"/>
              </w:rPr>
              <w:t>：</w:t>
            </w:r>
            <w:r>
              <w:rPr>
                <w:rFonts w:hint="eastAsia" w:ascii="宋体" w:hAnsi="宋体" w:cs="宋体"/>
                <w:color w:val="auto"/>
                <w:kern w:val="0"/>
                <w:sz w:val="20"/>
                <w:szCs w:val="20"/>
                <w:lang w:val="en-US" w:eastAsia="zh-CN"/>
              </w:rPr>
              <w:t>徐闻县民政局</w:t>
            </w:r>
          </w:p>
        </w:tc>
        <w:tc>
          <w:tcPr>
            <w:tcW w:w="3535" w:type="dxa"/>
            <w:gridSpan w:val="3"/>
            <w:tcBorders>
              <w:top w:val="nil"/>
              <w:left w:val="nil"/>
              <w:bottom w:val="single" w:color="auto" w:sz="4" w:space="0"/>
              <w:right w:val="nil"/>
            </w:tcBorders>
            <w:noWrap w:val="0"/>
            <w:vAlign w:val="center"/>
          </w:tcPr>
          <w:p w14:paraId="6B02612A">
            <w:pPr>
              <w:jc w:val="right"/>
              <w:rPr>
                <w:rFonts w:hint="eastAsia" w:ascii="宋体" w:hAnsi="宋体" w:cs="宋体"/>
              </w:rPr>
            </w:pPr>
            <w:r>
              <w:rPr>
                <w:rFonts w:hint="eastAsia" w:ascii="宋体" w:hAnsi="宋体" w:cs="宋体"/>
                <w:kern w:val="0"/>
                <w:sz w:val="20"/>
                <w:szCs w:val="20"/>
              </w:rPr>
              <w:t>单位：万元</w:t>
            </w:r>
          </w:p>
        </w:tc>
      </w:tr>
      <w:tr w14:paraId="1D80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93" w:type="dxa"/>
            <w:gridSpan w:val="6"/>
            <w:tcBorders>
              <w:top w:val="single" w:color="auto" w:sz="4" w:space="0"/>
            </w:tcBorders>
            <w:noWrap w:val="0"/>
            <w:vAlign w:val="center"/>
          </w:tcPr>
          <w:p w14:paraId="6B6D10DB">
            <w:pPr>
              <w:jc w:val="center"/>
              <w:rPr>
                <w:rFonts w:hint="eastAsia" w:ascii="宋体" w:hAnsi="宋体" w:cs="宋体"/>
                <w:szCs w:val="21"/>
              </w:rPr>
            </w:pPr>
            <w:r>
              <w:rPr>
                <w:rFonts w:hint="eastAsia" w:ascii="宋体" w:hAnsi="宋体" w:cs="宋体"/>
                <w:kern w:val="0"/>
                <w:szCs w:val="21"/>
              </w:rPr>
              <w:t>预算数</w:t>
            </w:r>
          </w:p>
        </w:tc>
        <w:tc>
          <w:tcPr>
            <w:tcW w:w="7081" w:type="dxa"/>
            <w:gridSpan w:val="6"/>
            <w:tcBorders>
              <w:top w:val="single" w:color="auto" w:sz="4" w:space="0"/>
            </w:tcBorders>
            <w:noWrap w:val="0"/>
            <w:vAlign w:val="center"/>
          </w:tcPr>
          <w:p w14:paraId="3C2BAD0C">
            <w:pPr>
              <w:jc w:val="center"/>
              <w:rPr>
                <w:rFonts w:hint="eastAsia" w:ascii="宋体" w:hAnsi="宋体" w:cs="宋体"/>
                <w:szCs w:val="21"/>
              </w:rPr>
            </w:pPr>
            <w:r>
              <w:rPr>
                <w:rFonts w:hint="eastAsia" w:ascii="宋体" w:hAnsi="宋体" w:cs="宋体"/>
                <w:kern w:val="0"/>
                <w:szCs w:val="21"/>
              </w:rPr>
              <w:t>决算数</w:t>
            </w:r>
          </w:p>
        </w:tc>
      </w:tr>
      <w:tr w14:paraId="7E3E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restart"/>
            <w:noWrap w:val="0"/>
            <w:vAlign w:val="center"/>
          </w:tcPr>
          <w:p w14:paraId="29F0A20A">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0626D841">
            <w:pPr>
              <w:widowControl/>
              <w:jc w:val="center"/>
              <w:rPr>
                <w:rFonts w:hint="eastAsia" w:ascii="宋体" w:hAnsi="宋体" w:cs="宋体"/>
                <w:kern w:val="0"/>
                <w:szCs w:val="21"/>
              </w:rPr>
            </w:pPr>
            <w:r>
              <w:rPr>
                <w:rFonts w:hint="eastAsia" w:ascii="宋体" w:hAnsi="宋体" w:cs="宋体"/>
                <w:kern w:val="0"/>
                <w:szCs w:val="21"/>
              </w:rPr>
              <w:t>因公出国（境）费</w:t>
            </w:r>
          </w:p>
        </w:tc>
        <w:tc>
          <w:tcPr>
            <w:tcW w:w="3546" w:type="dxa"/>
            <w:gridSpan w:val="3"/>
            <w:noWrap w:val="0"/>
            <w:vAlign w:val="center"/>
          </w:tcPr>
          <w:p w14:paraId="338A4D43">
            <w:pPr>
              <w:widowControl/>
              <w:jc w:val="center"/>
              <w:rPr>
                <w:rFonts w:hint="eastAsia" w:ascii="宋体" w:hAnsi="宋体" w:cs="宋体"/>
                <w:kern w:val="0"/>
                <w:szCs w:val="21"/>
              </w:rPr>
            </w:pPr>
            <w:r>
              <w:rPr>
                <w:rFonts w:hint="eastAsia" w:ascii="宋体" w:hAnsi="宋体" w:cs="宋体"/>
                <w:kern w:val="0"/>
                <w:szCs w:val="21"/>
              </w:rPr>
              <w:t>公务用车购置及运行维护费</w:t>
            </w:r>
          </w:p>
        </w:tc>
        <w:tc>
          <w:tcPr>
            <w:tcW w:w="1182" w:type="dxa"/>
            <w:vMerge w:val="restart"/>
            <w:noWrap w:val="0"/>
            <w:vAlign w:val="center"/>
          </w:tcPr>
          <w:p w14:paraId="07ADDF4A">
            <w:pPr>
              <w:widowControl/>
              <w:jc w:val="center"/>
              <w:rPr>
                <w:rFonts w:hint="eastAsia" w:ascii="宋体" w:hAnsi="宋体" w:cs="宋体"/>
                <w:kern w:val="0"/>
                <w:szCs w:val="21"/>
              </w:rPr>
            </w:pPr>
            <w:r>
              <w:rPr>
                <w:rFonts w:hint="eastAsia" w:ascii="宋体" w:hAnsi="宋体" w:cs="宋体"/>
                <w:kern w:val="0"/>
                <w:szCs w:val="21"/>
              </w:rPr>
              <w:t>公务接待费</w:t>
            </w:r>
          </w:p>
        </w:tc>
        <w:tc>
          <w:tcPr>
            <w:tcW w:w="1182" w:type="dxa"/>
            <w:vMerge w:val="restart"/>
            <w:noWrap w:val="0"/>
            <w:vAlign w:val="center"/>
          </w:tcPr>
          <w:p w14:paraId="1BB9B470">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184EA397">
            <w:pPr>
              <w:jc w:val="center"/>
              <w:rPr>
                <w:rFonts w:hint="eastAsia" w:ascii="宋体" w:hAnsi="宋体" w:cs="宋体"/>
                <w:szCs w:val="21"/>
              </w:rPr>
            </w:pPr>
            <w:r>
              <w:rPr>
                <w:rFonts w:hint="eastAsia" w:ascii="宋体" w:hAnsi="宋体" w:cs="宋体"/>
                <w:kern w:val="0"/>
                <w:szCs w:val="21"/>
              </w:rPr>
              <w:t>因公出国（境）费</w:t>
            </w:r>
          </w:p>
        </w:tc>
        <w:tc>
          <w:tcPr>
            <w:tcW w:w="3546" w:type="dxa"/>
            <w:gridSpan w:val="3"/>
            <w:noWrap w:val="0"/>
            <w:vAlign w:val="center"/>
          </w:tcPr>
          <w:p w14:paraId="429628C1">
            <w:pPr>
              <w:widowControl/>
              <w:jc w:val="center"/>
              <w:rPr>
                <w:rFonts w:hint="eastAsia" w:ascii="宋体" w:hAnsi="宋体" w:cs="宋体"/>
                <w:kern w:val="0"/>
                <w:szCs w:val="21"/>
              </w:rPr>
            </w:pPr>
            <w:r>
              <w:rPr>
                <w:rFonts w:hint="eastAsia" w:ascii="宋体" w:hAnsi="宋体" w:cs="宋体"/>
                <w:kern w:val="0"/>
                <w:szCs w:val="21"/>
              </w:rPr>
              <w:t>公务用车购置及运行维护费</w:t>
            </w:r>
          </w:p>
        </w:tc>
        <w:tc>
          <w:tcPr>
            <w:tcW w:w="1171" w:type="dxa"/>
            <w:vMerge w:val="restart"/>
            <w:noWrap w:val="0"/>
            <w:vAlign w:val="center"/>
          </w:tcPr>
          <w:p w14:paraId="3D21A698">
            <w:pPr>
              <w:jc w:val="center"/>
              <w:rPr>
                <w:rFonts w:hint="eastAsia" w:ascii="宋体" w:hAnsi="宋体" w:cs="宋体"/>
                <w:szCs w:val="21"/>
              </w:rPr>
            </w:pPr>
            <w:r>
              <w:rPr>
                <w:rFonts w:hint="eastAsia" w:ascii="宋体" w:hAnsi="宋体" w:cs="宋体"/>
                <w:kern w:val="0"/>
                <w:szCs w:val="21"/>
              </w:rPr>
              <w:t>公务接待费</w:t>
            </w:r>
          </w:p>
        </w:tc>
      </w:tr>
      <w:tr w14:paraId="6D1E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continue"/>
            <w:noWrap w:val="0"/>
            <w:vAlign w:val="top"/>
          </w:tcPr>
          <w:p w14:paraId="70039CAC">
            <w:pPr>
              <w:spacing w:line="288" w:lineRule="auto"/>
              <w:rPr>
                <w:rFonts w:hint="eastAsia" w:ascii="宋体" w:hAnsi="宋体" w:cs="宋体"/>
                <w:szCs w:val="21"/>
              </w:rPr>
            </w:pPr>
          </w:p>
        </w:tc>
        <w:tc>
          <w:tcPr>
            <w:tcW w:w="1182" w:type="dxa"/>
            <w:vMerge w:val="continue"/>
            <w:noWrap w:val="0"/>
            <w:vAlign w:val="top"/>
          </w:tcPr>
          <w:p w14:paraId="4A38F19C">
            <w:pPr>
              <w:spacing w:line="288" w:lineRule="auto"/>
              <w:rPr>
                <w:rFonts w:hint="eastAsia" w:ascii="宋体" w:hAnsi="宋体" w:cs="宋体"/>
                <w:szCs w:val="21"/>
              </w:rPr>
            </w:pPr>
          </w:p>
        </w:tc>
        <w:tc>
          <w:tcPr>
            <w:tcW w:w="1182" w:type="dxa"/>
            <w:noWrap w:val="0"/>
            <w:vAlign w:val="center"/>
          </w:tcPr>
          <w:p w14:paraId="2D49DFAD">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57EC8C1A">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14:paraId="736959D8">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82" w:type="dxa"/>
            <w:vMerge w:val="continue"/>
            <w:noWrap w:val="0"/>
            <w:vAlign w:val="top"/>
          </w:tcPr>
          <w:p w14:paraId="5083F241">
            <w:pPr>
              <w:spacing w:line="288" w:lineRule="auto"/>
              <w:rPr>
                <w:rFonts w:hint="eastAsia" w:ascii="宋体" w:hAnsi="宋体" w:cs="宋体"/>
                <w:szCs w:val="21"/>
              </w:rPr>
            </w:pPr>
          </w:p>
        </w:tc>
        <w:tc>
          <w:tcPr>
            <w:tcW w:w="1182" w:type="dxa"/>
            <w:vMerge w:val="continue"/>
            <w:noWrap w:val="0"/>
            <w:vAlign w:val="top"/>
          </w:tcPr>
          <w:p w14:paraId="05CDFA52">
            <w:pPr>
              <w:spacing w:line="288" w:lineRule="auto"/>
              <w:rPr>
                <w:rFonts w:hint="eastAsia" w:ascii="宋体" w:hAnsi="宋体" w:cs="宋体"/>
                <w:szCs w:val="21"/>
              </w:rPr>
            </w:pPr>
          </w:p>
        </w:tc>
        <w:tc>
          <w:tcPr>
            <w:tcW w:w="1182" w:type="dxa"/>
            <w:vMerge w:val="continue"/>
            <w:noWrap w:val="0"/>
            <w:vAlign w:val="top"/>
          </w:tcPr>
          <w:p w14:paraId="68EBFA7E">
            <w:pPr>
              <w:spacing w:line="288" w:lineRule="auto"/>
              <w:rPr>
                <w:rFonts w:hint="eastAsia" w:ascii="宋体" w:hAnsi="宋体" w:cs="宋体"/>
                <w:szCs w:val="21"/>
              </w:rPr>
            </w:pPr>
          </w:p>
        </w:tc>
        <w:tc>
          <w:tcPr>
            <w:tcW w:w="1182" w:type="dxa"/>
            <w:noWrap w:val="0"/>
            <w:vAlign w:val="center"/>
          </w:tcPr>
          <w:p w14:paraId="6EFDF3B7">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6A203E7C">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14:paraId="46959E65">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71" w:type="dxa"/>
            <w:vMerge w:val="continue"/>
            <w:noWrap w:val="0"/>
            <w:vAlign w:val="top"/>
          </w:tcPr>
          <w:p w14:paraId="04470849">
            <w:pPr>
              <w:spacing w:line="288" w:lineRule="auto"/>
              <w:rPr>
                <w:rFonts w:hint="eastAsia" w:ascii="宋体" w:hAnsi="宋体" w:cs="宋体"/>
                <w:szCs w:val="21"/>
              </w:rPr>
            </w:pPr>
          </w:p>
        </w:tc>
      </w:tr>
      <w:tr w14:paraId="4E42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14:paraId="07C4178B">
            <w:pPr>
              <w:widowControl/>
              <w:jc w:val="center"/>
              <w:rPr>
                <w:rFonts w:hint="eastAsia" w:ascii="宋体" w:hAnsi="宋体" w:cs="宋体"/>
                <w:kern w:val="0"/>
                <w:szCs w:val="21"/>
              </w:rPr>
            </w:pPr>
            <w:r>
              <w:rPr>
                <w:rFonts w:hint="eastAsia" w:ascii="宋体" w:hAnsi="宋体" w:cs="宋体"/>
                <w:kern w:val="0"/>
                <w:szCs w:val="21"/>
              </w:rPr>
              <w:t>1</w:t>
            </w:r>
          </w:p>
        </w:tc>
        <w:tc>
          <w:tcPr>
            <w:tcW w:w="1182" w:type="dxa"/>
            <w:noWrap w:val="0"/>
            <w:vAlign w:val="center"/>
          </w:tcPr>
          <w:p w14:paraId="66443467">
            <w:pPr>
              <w:widowControl/>
              <w:jc w:val="center"/>
              <w:rPr>
                <w:rFonts w:hint="eastAsia" w:ascii="宋体" w:hAnsi="宋体" w:cs="宋体"/>
                <w:kern w:val="0"/>
                <w:szCs w:val="21"/>
              </w:rPr>
            </w:pPr>
            <w:r>
              <w:rPr>
                <w:rFonts w:hint="eastAsia" w:ascii="宋体" w:hAnsi="宋体" w:cs="宋体"/>
                <w:kern w:val="0"/>
                <w:szCs w:val="21"/>
              </w:rPr>
              <w:t>2</w:t>
            </w:r>
          </w:p>
        </w:tc>
        <w:tc>
          <w:tcPr>
            <w:tcW w:w="1182" w:type="dxa"/>
            <w:noWrap w:val="0"/>
            <w:vAlign w:val="center"/>
          </w:tcPr>
          <w:p w14:paraId="5D2058BD">
            <w:pPr>
              <w:widowControl/>
              <w:jc w:val="center"/>
              <w:rPr>
                <w:rFonts w:hint="eastAsia" w:ascii="宋体" w:hAnsi="宋体" w:cs="宋体"/>
                <w:kern w:val="0"/>
                <w:szCs w:val="21"/>
              </w:rPr>
            </w:pPr>
            <w:r>
              <w:rPr>
                <w:rFonts w:hint="eastAsia" w:ascii="宋体" w:hAnsi="宋体" w:cs="宋体"/>
                <w:kern w:val="0"/>
                <w:szCs w:val="21"/>
              </w:rPr>
              <w:t>3</w:t>
            </w:r>
          </w:p>
        </w:tc>
        <w:tc>
          <w:tcPr>
            <w:tcW w:w="1182" w:type="dxa"/>
            <w:noWrap w:val="0"/>
            <w:vAlign w:val="center"/>
          </w:tcPr>
          <w:p w14:paraId="7ED6ADD6">
            <w:pPr>
              <w:widowControl/>
              <w:jc w:val="center"/>
              <w:rPr>
                <w:rFonts w:hint="eastAsia" w:ascii="宋体" w:hAnsi="宋体" w:cs="宋体"/>
                <w:kern w:val="0"/>
                <w:szCs w:val="21"/>
              </w:rPr>
            </w:pPr>
            <w:r>
              <w:rPr>
                <w:rFonts w:hint="eastAsia" w:ascii="宋体" w:hAnsi="宋体" w:cs="宋体"/>
                <w:kern w:val="0"/>
                <w:szCs w:val="21"/>
              </w:rPr>
              <w:t>4</w:t>
            </w:r>
          </w:p>
        </w:tc>
        <w:tc>
          <w:tcPr>
            <w:tcW w:w="1182" w:type="dxa"/>
            <w:noWrap w:val="0"/>
            <w:vAlign w:val="center"/>
          </w:tcPr>
          <w:p w14:paraId="01E7A8FA">
            <w:pPr>
              <w:widowControl/>
              <w:jc w:val="center"/>
              <w:rPr>
                <w:rFonts w:hint="eastAsia" w:ascii="宋体" w:hAnsi="宋体" w:cs="宋体"/>
                <w:kern w:val="0"/>
                <w:szCs w:val="21"/>
              </w:rPr>
            </w:pPr>
            <w:r>
              <w:rPr>
                <w:rFonts w:hint="eastAsia" w:ascii="宋体" w:hAnsi="宋体" w:cs="宋体"/>
                <w:kern w:val="0"/>
                <w:szCs w:val="21"/>
              </w:rPr>
              <w:t>5</w:t>
            </w:r>
          </w:p>
        </w:tc>
        <w:tc>
          <w:tcPr>
            <w:tcW w:w="1182" w:type="dxa"/>
            <w:noWrap w:val="0"/>
            <w:vAlign w:val="center"/>
          </w:tcPr>
          <w:p w14:paraId="1E7B5419">
            <w:pPr>
              <w:widowControl/>
              <w:jc w:val="center"/>
              <w:rPr>
                <w:rFonts w:hint="eastAsia" w:ascii="宋体" w:hAnsi="宋体" w:cs="宋体"/>
                <w:kern w:val="0"/>
                <w:szCs w:val="21"/>
              </w:rPr>
            </w:pPr>
            <w:r>
              <w:rPr>
                <w:rFonts w:hint="eastAsia" w:ascii="宋体" w:hAnsi="宋体" w:cs="宋体"/>
                <w:kern w:val="0"/>
                <w:szCs w:val="21"/>
              </w:rPr>
              <w:t>6</w:t>
            </w:r>
          </w:p>
        </w:tc>
        <w:tc>
          <w:tcPr>
            <w:tcW w:w="1182" w:type="dxa"/>
            <w:noWrap w:val="0"/>
            <w:vAlign w:val="center"/>
          </w:tcPr>
          <w:p w14:paraId="28218258">
            <w:pPr>
              <w:widowControl/>
              <w:jc w:val="center"/>
              <w:rPr>
                <w:rFonts w:hint="eastAsia" w:ascii="宋体" w:hAnsi="宋体" w:cs="宋体"/>
                <w:kern w:val="0"/>
                <w:szCs w:val="21"/>
              </w:rPr>
            </w:pPr>
            <w:r>
              <w:rPr>
                <w:rFonts w:hint="eastAsia" w:ascii="宋体" w:hAnsi="宋体" w:cs="宋体"/>
                <w:kern w:val="0"/>
                <w:szCs w:val="21"/>
              </w:rPr>
              <w:t>7</w:t>
            </w:r>
          </w:p>
        </w:tc>
        <w:tc>
          <w:tcPr>
            <w:tcW w:w="1182" w:type="dxa"/>
            <w:noWrap w:val="0"/>
            <w:vAlign w:val="center"/>
          </w:tcPr>
          <w:p w14:paraId="5C68C9B6">
            <w:pPr>
              <w:widowControl/>
              <w:jc w:val="center"/>
              <w:rPr>
                <w:rFonts w:hint="eastAsia" w:ascii="宋体" w:hAnsi="宋体" w:cs="宋体"/>
                <w:kern w:val="0"/>
                <w:szCs w:val="21"/>
              </w:rPr>
            </w:pPr>
            <w:r>
              <w:rPr>
                <w:rFonts w:hint="eastAsia" w:ascii="宋体" w:hAnsi="宋体" w:cs="宋体"/>
                <w:kern w:val="0"/>
                <w:szCs w:val="21"/>
              </w:rPr>
              <w:t>8</w:t>
            </w:r>
          </w:p>
        </w:tc>
        <w:tc>
          <w:tcPr>
            <w:tcW w:w="1182" w:type="dxa"/>
            <w:noWrap w:val="0"/>
            <w:vAlign w:val="center"/>
          </w:tcPr>
          <w:p w14:paraId="14E47289">
            <w:pPr>
              <w:widowControl/>
              <w:jc w:val="center"/>
              <w:rPr>
                <w:rFonts w:hint="eastAsia" w:ascii="宋体" w:hAnsi="宋体" w:cs="宋体"/>
                <w:kern w:val="0"/>
                <w:szCs w:val="21"/>
              </w:rPr>
            </w:pPr>
            <w:r>
              <w:rPr>
                <w:rFonts w:hint="eastAsia" w:ascii="宋体" w:hAnsi="宋体" w:cs="宋体"/>
                <w:kern w:val="0"/>
                <w:szCs w:val="21"/>
              </w:rPr>
              <w:t>9</w:t>
            </w:r>
          </w:p>
        </w:tc>
        <w:tc>
          <w:tcPr>
            <w:tcW w:w="1182" w:type="dxa"/>
            <w:noWrap w:val="0"/>
            <w:vAlign w:val="center"/>
          </w:tcPr>
          <w:p w14:paraId="5C7C198D">
            <w:pPr>
              <w:widowControl/>
              <w:jc w:val="center"/>
              <w:rPr>
                <w:rFonts w:hint="eastAsia" w:ascii="宋体" w:hAnsi="宋体" w:cs="宋体"/>
                <w:kern w:val="0"/>
                <w:szCs w:val="21"/>
              </w:rPr>
            </w:pPr>
            <w:r>
              <w:rPr>
                <w:rFonts w:hint="eastAsia" w:ascii="宋体" w:hAnsi="宋体" w:cs="宋体"/>
                <w:kern w:val="0"/>
                <w:szCs w:val="21"/>
              </w:rPr>
              <w:t>10</w:t>
            </w:r>
          </w:p>
        </w:tc>
        <w:tc>
          <w:tcPr>
            <w:tcW w:w="1182" w:type="dxa"/>
            <w:noWrap w:val="0"/>
            <w:vAlign w:val="center"/>
          </w:tcPr>
          <w:p w14:paraId="7701D34D">
            <w:pPr>
              <w:widowControl/>
              <w:jc w:val="center"/>
              <w:rPr>
                <w:rFonts w:hint="eastAsia" w:ascii="宋体" w:hAnsi="宋体" w:cs="宋体"/>
                <w:kern w:val="0"/>
                <w:szCs w:val="21"/>
              </w:rPr>
            </w:pPr>
            <w:r>
              <w:rPr>
                <w:rFonts w:hint="eastAsia" w:ascii="宋体" w:hAnsi="宋体" w:cs="宋体"/>
                <w:kern w:val="0"/>
                <w:szCs w:val="21"/>
              </w:rPr>
              <w:t>11</w:t>
            </w:r>
          </w:p>
        </w:tc>
        <w:tc>
          <w:tcPr>
            <w:tcW w:w="1171" w:type="dxa"/>
            <w:noWrap w:val="0"/>
            <w:vAlign w:val="center"/>
          </w:tcPr>
          <w:p w14:paraId="4D45EE86">
            <w:pPr>
              <w:widowControl/>
              <w:jc w:val="center"/>
              <w:rPr>
                <w:rFonts w:hint="eastAsia" w:ascii="宋体" w:hAnsi="宋体" w:cs="宋体"/>
                <w:kern w:val="0"/>
                <w:szCs w:val="21"/>
              </w:rPr>
            </w:pPr>
            <w:r>
              <w:rPr>
                <w:rFonts w:hint="eastAsia" w:ascii="宋体" w:hAnsi="宋体" w:cs="宋体"/>
                <w:kern w:val="0"/>
                <w:szCs w:val="21"/>
              </w:rPr>
              <w:t>12</w:t>
            </w:r>
          </w:p>
        </w:tc>
      </w:tr>
      <w:tr w14:paraId="531B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14:paraId="77D264E3">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18.6</w:t>
            </w:r>
          </w:p>
        </w:tc>
        <w:tc>
          <w:tcPr>
            <w:tcW w:w="1182" w:type="dxa"/>
            <w:noWrap w:val="0"/>
            <w:vAlign w:val="center"/>
          </w:tcPr>
          <w:p w14:paraId="4D5EABE3">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11BE20D0">
            <w:pPr>
              <w:widowControl/>
              <w:jc w:val="right"/>
              <w:rPr>
                <w:rFonts w:hint="default" w:ascii="宋体" w:hAnsi="宋体" w:cs="宋体"/>
                <w:kern w:val="0"/>
                <w:szCs w:val="21"/>
                <w:lang w:val="en-US"/>
              </w:rPr>
            </w:pPr>
            <w:r>
              <w:rPr>
                <w:rFonts w:hint="eastAsia" w:ascii="宋体" w:hAnsi="宋体" w:cs="宋体"/>
                <w:kern w:val="0"/>
                <w:szCs w:val="21"/>
                <w:lang w:val="en-US" w:eastAsia="zh-CN"/>
              </w:rPr>
              <w:t>16.25</w:t>
            </w:r>
          </w:p>
        </w:tc>
        <w:tc>
          <w:tcPr>
            <w:tcW w:w="1182" w:type="dxa"/>
            <w:noWrap w:val="0"/>
            <w:vAlign w:val="center"/>
          </w:tcPr>
          <w:p w14:paraId="3F02F800">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2FC129E7">
            <w:pPr>
              <w:widowControl/>
              <w:jc w:val="right"/>
              <w:rPr>
                <w:rFonts w:hint="default" w:ascii="宋体" w:hAnsi="宋体" w:cs="宋体"/>
                <w:kern w:val="0"/>
                <w:szCs w:val="21"/>
                <w:lang w:val="en-US"/>
              </w:rPr>
            </w:pPr>
            <w:r>
              <w:rPr>
                <w:rFonts w:hint="eastAsia" w:ascii="宋体" w:hAnsi="宋体" w:cs="宋体"/>
                <w:kern w:val="0"/>
                <w:szCs w:val="21"/>
                <w:lang w:val="en-US" w:eastAsia="zh-CN"/>
              </w:rPr>
              <w:t>16.25</w:t>
            </w:r>
          </w:p>
        </w:tc>
        <w:tc>
          <w:tcPr>
            <w:tcW w:w="1182" w:type="dxa"/>
            <w:noWrap w:val="0"/>
            <w:vAlign w:val="center"/>
          </w:tcPr>
          <w:p w14:paraId="61F6E8B1">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2.34</w:t>
            </w:r>
          </w:p>
        </w:tc>
        <w:tc>
          <w:tcPr>
            <w:tcW w:w="1182" w:type="dxa"/>
            <w:noWrap w:val="0"/>
            <w:vAlign w:val="center"/>
          </w:tcPr>
          <w:p w14:paraId="3D00B007">
            <w:pPr>
              <w:widowControl/>
              <w:jc w:val="right"/>
              <w:rPr>
                <w:rFonts w:hint="default" w:ascii="宋体" w:hAnsi="宋体" w:cs="宋体"/>
                <w:kern w:val="0"/>
                <w:szCs w:val="21"/>
                <w:lang w:val="en-US"/>
              </w:rPr>
            </w:pPr>
            <w:r>
              <w:rPr>
                <w:rFonts w:hint="eastAsia" w:ascii="宋体" w:hAnsi="宋体" w:cs="宋体"/>
                <w:kern w:val="0"/>
                <w:szCs w:val="21"/>
                <w:lang w:val="en-US" w:eastAsia="zh-CN"/>
              </w:rPr>
              <w:t>16.37</w:t>
            </w:r>
          </w:p>
        </w:tc>
        <w:tc>
          <w:tcPr>
            <w:tcW w:w="1182" w:type="dxa"/>
            <w:noWrap w:val="0"/>
            <w:vAlign w:val="center"/>
          </w:tcPr>
          <w:p w14:paraId="10F93DC7">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7B78195F">
            <w:pPr>
              <w:widowControl/>
              <w:jc w:val="right"/>
              <w:rPr>
                <w:rFonts w:hint="default" w:ascii="宋体" w:hAnsi="宋体" w:cs="宋体"/>
                <w:kern w:val="0"/>
                <w:szCs w:val="21"/>
                <w:lang w:val="en-US"/>
              </w:rPr>
            </w:pPr>
            <w:r>
              <w:rPr>
                <w:rFonts w:hint="eastAsia" w:ascii="宋体" w:hAnsi="宋体" w:cs="宋体"/>
                <w:kern w:val="0"/>
                <w:szCs w:val="21"/>
                <w:lang w:val="en-US" w:eastAsia="zh-CN"/>
              </w:rPr>
              <w:t>15.79</w:t>
            </w:r>
          </w:p>
        </w:tc>
        <w:tc>
          <w:tcPr>
            <w:tcW w:w="1182" w:type="dxa"/>
            <w:noWrap w:val="0"/>
            <w:vAlign w:val="center"/>
          </w:tcPr>
          <w:p w14:paraId="59B24361">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74F22B8D">
            <w:pPr>
              <w:widowControl/>
              <w:jc w:val="right"/>
              <w:rPr>
                <w:rFonts w:hint="default" w:ascii="宋体" w:hAnsi="宋体" w:cs="宋体"/>
                <w:kern w:val="0"/>
                <w:szCs w:val="21"/>
                <w:lang w:val="en-US"/>
              </w:rPr>
            </w:pPr>
            <w:r>
              <w:rPr>
                <w:rFonts w:hint="eastAsia" w:ascii="宋体" w:hAnsi="宋体" w:cs="宋体"/>
                <w:kern w:val="0"/>
                <w:szCs w:val="21"/>
                <w:lang w:val="en-US" w:eastAsia="zh-CN"/>
              </w:rPr>
              <w:t>15.79</w:t>
            </w:r>
          </w:p>
        </w:tc>
        <w:tc>
          <w:tcPr>
            <w:tcW w:w="1171" w:type="dxa"/>
            <w:noWrap w:val="0"/>
            <w:vAlign w:val="center"/>
          </w:tcPr>
          <w:p w14:paraId="6F7ACF0A">
            <w:pPr>
              <w:widowControl/>
              <w:jc w:val="right"/>
              <w:rPr>
                <w:rFonts w:hint="default" w:ascii="宋体" w:hAnsi="宋体" w:cs="宋体" w:eastAsiaTheme="minorEastAsia"/>
                <w:kern w:val="0"/>
                <w:szCs w:val="21"/>
                <w:lang w:val="en-US" w:eastAsia="zh-CN"/>
              </w:rPr>
            </w:pPr>
            <w:r>
              <w:rPr>
                <w:rFonts w:hint="eastAsia" w:ascii="宋体" w:hAnsi="宋体" w:cs="宋体"/>
                <w:kern w:val="0"/>
                <w:szCs w:val="21"/>
                <w:lang w:val="en-US" w:eastAsia="zh-CN"/>
              </w:rPr>
              <w:t>0.57</w:t>
            </w:r>
          </w:p>
        </w:tc>
      </w:tr>
    </w:tbl>
    <w:p w14:paraId="214F5846">
      <w:pPr>
        <w:keepNext w:val="0"/>
        <w:keepLines w:val="0"/>
        <w:widowControl/>
        <w:suppressLineNumbers w:val="0"/>
        <w:jc w:val="left"/>
      </w:pPr>
      <w:r>
        <w:rPr>
          <w:rFonts w:hint="eastAsia" w:ascii="宋体" w:hAnsi="宋体" w:eastAsia="宋体" w:cs="宋体"/>
          <w:color w:val="000000"/>
          <w:kern w:val="0"/>
          <w:sz w:val="18"/>
          <w:szCs w:val="18"/>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p w14:paraId="5D62CBEC">
      <w:pPr>
        <w:keepNext w:val="0"/>
        <w:keepLines w:val="0"/>
        <w:widowControl/>
        <w:suppressLineNumbers w:val="0"/>
        <w:jc w:val="left"/>
        <w:rPr>
          <w:rFonts w:hint="eastAsia" w:ascii="宋体" w:hAnsi="宋体" w:cs="宋体"/>
          <w:szCs w:val="21"/>
        </w:rPr>
      </w:pPr>
    </w:p>
    <w:p w14:paraId="081565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仿宋_GB2312" w:hAnsi="仿宋_GB2312" w:eastAsia="仿宋_GB2312" w:cs="仿宋_GB2312"/>
          <w:b/>
          <w:bCs/>
          <w:i w:val="0"/>
          <w:iCs w:val="0"/>
          <w:caps w:val="0"/>
          <w:color w:val="525252"/>
          <w:spacing w:val="13"/>
          <w:kern w:val="0"/>
          <w:sz w:val="32"/>
          <w:szCs w:val="32"/>
          <w:lang w:val="en-US" w:eastAsia="zh-CN" w:bidi="ar"/>
        </w:rPr>
      </w:pPr>
    </w:p>
    <w:p w14:paraId="711F53D8">
      <w:pPr>
        <w:keepNext w:val="0"/>
        <w:keepLines w:val="0"/>
        <w:widowControl/>
        <w:suppressLineNumbers w:val="0"/>
        <w:jc w:val="left"/>
      </w:pPr>
      <w:bookmarkStart w:id="1" w:name="PO_part3A3B2C3GnjdInclude1"/>
      <w:r>
        <w:rPr>
          <w:rFonts w:ascii="黑体" w:hAnsi="宋体" w:eastAsia="黑体" w:cs="黑体"/>
          <w:color w:val="000000"/>
          <w:kern w:val="0"/>
          <w:sz w:val="32"/>
          <w:szCs w:val="32"/>
          <w:lang w:val="en-US" w:eastAsia="zh-CN" w:bidi="ar"/>
        </w:rPr>
        <w:t xml:space="preserve">三、2025年度财政拨款“三公”经费支出决算情况说明 </w:t>
      </w:r>
    </w:p>
    <w:p w14:paraId="1395918E">
      <w:pPr>
        <w:keepNext w:val="0"/>
        <w:keepLines w:val="0"/>
        <w:widowControl/>
        <w:suppressLineNumbers w:val="0"/>
        <w:jc w:val="left"/>
      </w:pPr>
      <w:r>
        <w:rPr>
          <w:rFonts w:ascii="仿宋" w:hAnsi="仿宋" w:eastAsia="仿宋" w:cs="仿宋"/>
          <w:b/>
          <w:bCs/>
          <w:color w:val="000000"/>
          <w:kern w:val="0"/>
          <w:sz w:val="30"/>
          <w:szCs w:val="30"/>
          <w:lang w:val="en-US" w:eastAsia="zh-CN" w:bidi="ar"/>
        </w:rPr>
        <w:t xml:space="preserve">（一）“三公”经费财政拨款支出决算总体情况说明 </w:t>
      </w:r>
    </w:p>
    <w:p w14:paraId="2ABED710">
      <w:pPr>
        <w:keepNext w:val="0"/>
        <w:keepLines w:val="0"/>
        <w:widowControl/>
        <w:suppressLineNumbers w:val="0"/>
        <w:ind w:firstLine="600" w:firstLineChars="200"/>
        <w:jc w:val="left"/>
      </w:pPr>
      <w:r>
        <w:rPr>
          <w:rFonts w:ascii="仿宋" w:hAnsi="仿宋" w:eastAsia="仿宋" w:cs="仿宋"/>
          <w:color w:val="000000"/>
          <w:kern w:val="0"/>
          <w:sz w:val="30"/>
          <w:szCs w:val="30"/>
          <w:lang w:val="en-US" w:eastAsia="zh-CN" w:bidi="ar"/>
        </w:rPr>
        <w:t>徐闻县民政局2025年度“三公”经费财政拨款支出决算为</w:t>
      </w:r>
      <w:r>
        <w:rPr>
          <w:rFonts w:hint="eastAsia" w:ascii="仿宋" w:hAnsi="仿宋" w:eastAsia="仿宋" w:cs="仿宋"/>
          <w:color w:val="000000"/>
          <w:kern w:val="0"/>
          <w:sz w:val="30"/>
          <w:szCs w:val="30"/>
          <w:lang w:val="en-US" w:eastAsia="zh-CN" w:bidi="ar"/>
        </w:rPr>
        <w:t xml:space="preserve">16.37万元，完成全年预算18.6万元的88%，比上年决算数增加1.56万元，增长10.5%。其中：因公出国（境）费支出决算为0万元，完成预算0万元的--%（基数为0，不可比），比上年决算数增加0万元，增长--（基数为0，不可比）；公务用车购置及运行维护费支出决算为15.79万元，完成预算16.25万元的97.2%，比上年决算数增加1.18万元，增长8%；其中：公务用车购置支出决算为0万元，完成预算0万元的--%（基数为0，不可比），比上年决算数增加0万元，增长--（基数为0，不可比）；公务用车运行维护费支出决算为15.79万元，完成预算16.25万元的97.2%，比上年决算数增加1.18万元，增长8%；公务接待费支出决算为0.57万元，完成预算2.34万元的24.5%，比上年决算数增加0.38万元，增长199%。 </w:t>
      </w:r>
    </w:p>
    <w:p w14:paraId="3BF6B52C">
      <w:pPr>
        <w:keepNext w:val="0"/>
        <w:keepLines w:val="0"/>
        <w:widowControl/>
        <w:suppressLineNumbers w:val="0"/>
        <w:ind w:firstLine="600" w:firstLineChars="200"/>
        <w:jc w:val="left"/>
      </w:pPr>
      <w:r>
        <w:rPr>
          <w:rFonts w:hint="eastAsia" w:ascii="仿宋" w:hAnsi="仿宋" w:eastAsia="仿宋" w:cs="仿宋"/>
          <w:color w:val="000000"/>
          <w:kern w:val="0"/>
          <w:sz w:val="30"/>
          <w:szCs w:val="30"/>
          <w:lang w:val="en-US" w:eastAsia="zh-CN" w:bidi="ar"/>
        </w:rPr>
        <w:t xml:space="preserve">2025年度“三公”经费支出决算小于预算数的主要情况：认真贯彻落实中央八项规定精神和厉行节约的要求，从严控制“三公”经费开支，全年实际支出比预算有所节约。 </w:t>
      </w:r>
    </w:p>
    <w:p w14:paraId="3CCCB86E">
      <w:pPr>
        <w:keepNext w:val="0"/>
        <w:keepLines w:val="0"/>
        <w:widowControl/>
        <w:suppressLineNumbers w:val="0"/>
        <w:ind w:firstLine="600" w:firstLineChars="200"/>
        <w:jc w:val="left"/>
      </w:pPr>
      <w:r>
        <w:rPr>
          <w:rFonts w:hint="eastAsia" w:ascii="仿宋" w:hAnsi="仿宋" w:eastAsia="仿宋" w:cs="仿宋"/>
          <w:color w:val="000000"/>
          <w:kern w:val="0"/>
          <w:sz w:val="30"/>
          <w:szCs w:val="30"/>
          <w:lang w:val="en-US" w:eastAsia="zh-CN" w:bidi="ar"/>
        </w:rPr>
        <w:t xml:space="preserve">2025年度“三公”经费支出决算大于上年决算数的主要情况：下属单位县殡仪馆的公务用车运行维护费增加。 </w:t>
      </w:r>
    </w:p>
    <w:p w14:paraId="364689DC">
      <w:pPr>
        <w:keepNext w:val="0"/>
        <w:keepLines w:val="0"/>
        <w:widowControl/>
        <w:suppressLineNumbers w:val="0"/>
        <w:jc w:val="left"/>
      </w:pPr>
      <w:r>
        <w:rPr>
          <w:rFonts w:hint="eastAsia" w:ascii="仿宋" w:hAnsi="仿宋" w:eastAsia="仿宋" w:cs="仿宋"/>
          <w:b/>
          <w:bCs/>
          <w:color w:val="000000"/>
          <w:kern w:val="0"/>
          <w:sz w:val="30"/>
          <w:szCs w:val="30"/>
          <w:lang w:val="en-US" w:eastAsia="zh-CN" w:bidi="ar"/>
        </w:rPr>
        <w:t xml:space="preserve">（二）“三公”经费财政拨款支出决算具体情况说明 </w:t>
      </w:r>
    </w:p>
    <w:p w14:paraId="5BE9F187">
      <w:pPr>
        <w:keepNext w:val="0"/>
        <w:keepLines w:val="0"/>
        <w:widowControl/>
        <w:suppressLineNumbers w:val="0"/>
        <w:ind w:firstLine="600" w:firstLineChars="200"/>
        <w:jc w:val="left"/>
      </w:pPr>
      <w:r>
        <w:rPr>
          <w:rFonts w:hint="eastAsia" w:ascii="仿宋" w:hAnsi="仿宋" w:eastAsia="仿宋" w:cs="仿宋"/>
          <w:color w:val="000000"/>
          <w:kern w:val="0"/>
          <w:sz w:val="30"/>
          <w:szCs w:val="30"/>
          <w:lang w:val="en-US" w:eastAsia="zh-CN" w:bidi="ar"/>
        </w:rPr>
        <w:t xml:space="preserve">2 0 2 5年度“三公”经费财政拨款支出决算中，因公出国（境）费0万元，占0%；公务用车购置及运行维护费支出15.79万元，占96.5%；公务接待费支出0.57万元，占3.5%。具体情况如下： </w:t>
      </w:r>
    </w:p>
    <w:p w14:paraId="275CC45C">
      <w:pPr>
        <w:keepNext w:val="0"/>
        <w:keepLines w:val="0"/>
        <w:widowControl/>
        <w:suppressLineNumbers w:val="0"/>
        <w:ind w:firstLine="600" w:firstLineChars="200"/>
        <w:jc w:val="left"/>
      </w:pPr>
      <w:r>
        <w:rPr>
          <w:rFonts w:hint="eastAsia" w:ascii="仿宋" w:hAnsi="仿宋" w:eastAsia="仿宋" w:cs="仿宋"/>
          <w:color w:val="000000"/>
          <w:kern w:val="0"/>
          <w:sz w:val="30"/>
          <w:szCs w:val="30"/>
          <w:lang w:val="en-US" w:eastAsia="zh-CN" w:bidi="ar"/>
        </w:rPr>
        <w:t xml:space="preserve">1.因公出国（境）费支出0万元。全年使用财政拨款安排出国（境）团组0个、累计0人次。 </w:t>
      </w:r>
    </w:p>
    <w:p w14:paraId="31BE583B">
      <w:pPr>
        <w:keepNext w:val="0"/>
        <w:keepLines w:val="0"/>
        <w:widowControl/>
        <w:suppressLineNumbers w:val="0"/>
        <w:ind w:firstLine="600" w:firstLineChars="200"/>
        <w:jc w:val="left"/>
      </w:pPr>
      <w:r>
        <w:rPr>
          <w:rFonts w:hint="eastAsia" w:ascii="仿宋" w:hAnsi="仿宋" w:eastAsia="仿宋" w:cs="仿宋"/>
          <w:color w:val="000000"/>
          <w:kern w:val="0"/>
          <w:sz w:val="30"/>
          <w:szCs w:val="30"/>
          <w:lang w:val="en-US" w:eastAsia="zh-CN" w:bidi="ar"/>
        </w:rPr>
        <w:t xml:space="preserve">2.公务用车购置及运行维护费支出15.79万元，其中：公务用车购置支出为0万元，公务用车购置数0辆。公务用车运行维护费支出15.79万元，公务用车保有量为10辆，主要用于局本级用于局机关公务日常工作运行；下属单位县殡仪馆的车主要用于公务出行及遗体接送；下属单位县未成年人保护中心的车主要用于接送弃婴，孤儿、在我中心需要临时看护的未成年人上学、就医，寻亲等工作；下属单位县救助管理站的车主要用于日常工作运行及接送流浪乞讨人员。 </w:t>
      </w:r>
    </w:p>
    <w:p w14:paraId="75672C84">
      <w:pPr>
        <w:keepNext w:val="0"/>
        <w:keepLines w:val="0"/>
        <w:widowControl/>
        <w:suppressLineNumbers w:val="0"/>
        <w:ind w:firstLine="600" w:firstLineChars="200"/>
        <w:jc w:val="left"/>
        <w:rPr>
          <w:rFonts w:hint="eastAsia" w:ascii="仿宋_GB2312" w:hAnsi="宋体" w:eastAsia="仿宋_GB2312" w:cs="宋体"/>
          <w:sz w:val="32"/>
          <w:szCs w:val="32"/>
        </w:rPr>
      </w:pPr>
      <w:r>
        <w:rPr>
          <w:rFonts w:hint="eastAsia" w:ascii="仿宋" w:hAnsi="仿宋" w:eastAsia="仿宋" w:cs="仿宋"/>
          <w:color w:val="000000"/>
          <w:kern w:val="0"/>
          <w:sz w:val="30"/>
          <w:szCs w:val="30"/>
          <w:lang w:val="en-US" w:eastAsia="zh-CN" w:bidi="ar"/>
        </w:rPr>
        <w:t>3.公务接待费支出0.57万元，主要用于局本级用于上级单位调研检查和相关单位交流工作；下属单位县救助管理站的用于日常接待各站护送流浪乞讨人员返乡误餐费，要包括接待各站护送流浪乞讨人员误餐费，共接待国外、境外来</w:t>
      </w:r>
      <w:bookmarkStart w:id="2" w:name="_GoBack"/>
      <w:bookmarkEnd w:id="2"/>
      <w:r>
        <w:rPr>
          <w:rFonts w:hint="eastAsia" w:ascii="仿宋" w:hAnsi="仿宋" w:eastAsia="仿宋" w:cs="仿宋"/>
          <w:color w:val="000000"/>
          <w:kern w:val="0"/>
          <w:sz w:val="30"/>
          <w:szCs w:val="30"/>
          <w:lang w:val="en-US" w:eastAsia="zh-CN" w:bidi="ar"/>
        </w:rPr>
        <w:t>访团组0个，来访外宾0人次；发生国内接待11次，接待人数共94人。主要包括局本级用于上级单位调研检查和相关单位交流工作；下属单位县救助管理站的用于日常接待各站护送流浪乞讨人员返乡误餐费，要包括接待各站护送流浪乞讨人员误餐费。</w:t>
      </w:r>
      <w:r>
        <w:rPr>
          <w:rFonts w:hint="eastAsia" w:ascii="仿宋_GB2312" w:hAnsi="宋体" w:eastAsia="仿宋_GB2312" w:cs="宋体"/>
          <w:sz w:val="32"/>
          <w:szCs w:val="32"/>
        </w:rPr>
        <w:t xml:space="preserve"> </w:t>
      </w:r>
      <w:bookmarkEnd w:id="1"/>
    </w:p>
    <w:p w14:paraId="6A200A71"/>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yZTI4MzM0YTkzY2E0ZjI4ZmNlMGIxODNmMTM1YjEifQ=="/>
  </w:docVars>
  <w:rsids>
    <w:rsidRoot w:val="75CB36A1"/>
    <w:rsid w:val="0754675F"/>
    <w:rsid w:val="0C8B3A4E"/>
    <w:rsid w:val="202D3B9A"/>
    <w:rsid w:val="26811F3C"/>
    <w:rsid w:val="279627D2"/>
    <w:rsid w:val="30BC0D4E"/>
    <w:rsid w:val="35962A56"/>
    <w:rsid w:val="45B25BFB"/>
    <w:rsid w:val="46C10F57"/>
    <w:rsid w:val="5C14771E"/>
    <w:rsid w:val="706261EC"/>
    <w:rsid w:val="75CB3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1113</Words>
  <Characters>1258</Characters>
  <Lines>0</Lines>
  <Paragraphs>0</Paragraphs>
  <TotalTime>23</TotalTime>
  <ScaleCrop>false</ScaleCrop>
  <LinksUpToDate>false</LinksUpToDate>
  <CharactersWithSpaces>1278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2025-10-06T02:55:00Z</dcterms:created>
  <dc:creator>超</dc:creator>
  <cp:lastModifiedBy>sunda</cp:lastModifiedBy>
  <dcterms:modified xsi:type="dcterms:W3CDTF">2026-09-14T09:44:54Z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77AF8FC21E0F4FD6917118BB292163AC_13</vt:lpwstr>
  </property>
  <property fmtid="{D5CDD505-2E9C-101B-9397-08002B2CF9AE}" pid="4" name="KSOTemplateDocerSaveRecord">
    <vt:lpwstr>eyJoZGlkIjoiZTdhMzQwMjhiOWFmNDgwYmJkMjNiY2EwMzI3ZTAwOWYiLCJ1c2VySWQiOiIxMTQyNjAyNTk3In0=</vt:lpwstr>
  </property>
</Properties>
</file>