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center"/>
        <w:textAlignment w:val="auto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徐闻县信访事务中心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081565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8860155" cy="4104640"/>
            <wp:effectExtent l="0" t="0" r="1714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10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283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5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（一）“三公”经费财政拨款支出决算总体情况说明</w:t>
      </w:r>
    </w:p>
    <w:p w14:paraId="5569A5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徐闻县信访事务中心2025年度“三公”经费财政拨款支出决算为0万元，完成全年预算0万元的0%，比上年决算数增加0万元，增长保持不变。其中：因公出国（境）费支出决算为0万元，完成预算0万元的0%，比上年决算数增加0万元，增长保持不变；公务用车购置及运行维护费支出决算为0万元，完成预算0万元的0%，比上年决算数增加0万元，增长保持不变；其中：公务用车购置支出决算为0万元，完成预算0万元的0%（基数为0，不可比），比上年决算数增加0万元，增长保持不变；公务用车运行维护费支出决算为0万元，完成预算0万元的0%，比上年决算数增加0万元，增长保持不变；公务接待费支出决算为0万元，完成预算0万元的0%，比上年决算数增加0万元，增长保持不变。</w:t>
      </w:r>
    </w:p>
    <w:p w14:paraId="5D96C5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严格贯彻落实中央八项规定精神，坚持厉行节约，本年度本单位未安排因公出国（境）、公务用车购置及运行、公务接待相关工作，预算安排为0，全年实际支出为0，决算数与预算数保持一致。</w:t>
      </w:r>
    </w:p>
    <w:p w14:paraId="60F16A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2025年度“三公”经费支出决算等于上年决算数的主要情况：本年度“三公”经费无相关开支，上年亦未发生因公出国（境）、公务用车及公务接待支出，本年决算数与上年决算数持平。</w:t>
      </w:r>
    </w:p>
    <w:p w14:paraId="635842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5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（二）“三公”经费财政拨款支出决算具体情况说明</w:t>
      </w:r>
    </w:p>
    <w:p w14:paraId="3EFC3AC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0A2DDC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1.因公出国（境）费支出0万元。全年使用财政拨款安排出国（境）团组0个、累计0人次。本年度未安排任何因公出国（境）任务，无相关经费开支。</w:t>
      </w:r>
    </w:p>
    <w:p w14:paraId="05C00CC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2.公务用车购置及运行维护费支出0万元，其中：公务用车购置支出为0万元，公务用车购置数0辆。公务用车运行维护费支出0万元，公务用车保有量为1辆，主要用于公务出行。</w:t>
      </w:r>
    </w:p>
    <w:p w14:paraId="4C1AB0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9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3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3.公务接待费支出0万元，主要用于无，共接待国外、境外来访团组0个，来访外宾0人次；发生国内接待0次，接待人数共0人。今年未发生公务接待等工作。</w:t>
      </w:r>
    </w:p>
    <w:p w14:paraId="6A200A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202D3B9A"/>
    <w:rsid w:val="25E02A2D"/>
    <w:rsid w:val="26811F3C"/>
    <w:rsid w:val="30BC0D4E"/>
    <w:rsid w:val="45B25BFB"/>
    <w:rsid w:val="58556DFB"/>
    <w:rsid w:val="65F66F0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723</Words>
  <Characters>786</Characters>
  <Lines>0</Lines>
  <Paragraphs>0</Paragraphs>
  <TotalTime>8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Youin</cp:lastModifiedBy>
  <dcterms:modified xsi:type="dcterms:W3CDTF">2026-09-15T03:40:17Z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0E94C1CB35384DF7AC73406BA427B44F_13</vt:lpwstr>
  </property>
  <property fmtid="{D5CDD505-2E9C-101B-9397-08002B2CF9AE}" pid="4" name="KSOTemplateDocerSaveRecord">
    <vt:lpwstr>eyJoZGlkIjoiZmVkOGZhMzE0NGM3MWI4YzA2ODlkMDBhNThlNTJmMTEiLCJ1c2VySWQiOiIzNjQ1Nzg0MzcifQ==</vt:lpwstr>
  </property>
</Properties>
</file>