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DA541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938767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徐闻县科工贸和信息化局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4F45D090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4F9C9D0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D809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D58ACE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05484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04045B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徐闻县科工贸和信息化局财政拨款“三公”经费支出决算表</w:t>
            </w:r>
          </w:p>
        </w:tc>
      </w:tr>
      <w:tr w14:paraId="6B152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540382C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徐闻县科工贸和信息化局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22F8D6B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7AC62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787C7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4A7C63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0656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3A768E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9FF9F3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63E6B2A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12A129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E291D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89492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BBA7C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6BEABE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34EA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FD44B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72AEEB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6DF68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EF98C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8CD4A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1F7709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0B87A0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FCDA2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64AF5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3773A4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D32EEF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0C4A0F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55B1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2D5A51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207BC8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1E38603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99B279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F2564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2A40E4A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5110643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1D704D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7B0FE72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4B5C5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54F404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1C26E9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DA1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570EF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117.69</w:t>
            </w:r>
          </w:p>
        </w:tc>
        <w:tc>
          <w:tcPr>
            <w:tcW w:w="1182" w:type="dxa"/>
            <w:noWrap w:val="0"/>
            <w:vAlign w:val="center"/>
          </w:tcPr>
          <w:p w14:paraId="62B55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112.79</w:t>
            </w:r>
          </w:p>
        </w:tc>
        <w:tc>
          <w:tcPr>
            <w:tcW w:w="1182" w:type="dxa"/>
            <w:noWrap w:val="0"/>
            <w:vAlign w:val="center"/>
          </w:tcPr>
          <w:p w14:paraId="076F01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4.18</w:t>
            </w:r>
          </w:p>
        </w:tc>
        <w:tc>
          <w:tcPr>
            <w:tcW w:w="1182" w:type="dxa"/>
            <w:noWrap w:val="0"/>
            <w:vAlign w:val="center"/>
          </w:tcPr>
          <w:p w14:paraId="2CE222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2F501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4.18</w:t>
            </w:r>
          </w:p>
        </w:tc>
        <w:tc>
          <w:tcPr>
            <w:tcW w:w="1182" w:type="dxa"/>
            <w:noWrap w:val="0"/>
            <w:vAlign w:val="center"/>
          </w:tcPr>
          <w:p w14:paraId="3F58C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0.72</w:t>
            </w:r>
          </w:p>
        </w:tc>
        <w:tc>
          <w:tcPr>
            <w:tcW w:w="1182" w:type="dxa"/>
            <w:noWrap w:val="0"/>
            <w:vAlign w:val="center"/>
          </w:tcPr>
          <w:p w14:paraId="55BDF0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117.69</w:t>
            </w:r>
          </w:p>
        </w:tc>
        <w:tc>
          <w:tcPr>
            <w:tcW w:w="1182" w:type="dxa"/>
            <w:noWrap w:val="0"/>
            <w:vAlign w:val="center"/>
          </w:tcPr>
          <w:p w14:paraId="7284CD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112.79</w:t>
            </w:r>
          </w:p>
        </w:tc>
        <w:tc>
          <w:tcPr>
            <w:tcW w:w="1182" w:type="dxa"/>
            <w:noWrap w:val="0"/>
            <w:vAlign w:val="center"/>
          </w:tcPr>
          <w:p w14:paraId="635AF2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117.69</w:t>
            </w:r>
          </w:p>
        </w:tc>
        <w:tc>
          <w:tcPr>
            <w:tcW w:w="1182" w:type="dxa"/>
            <w:noWrap w:val="0"/>
            <w:vAlign w:val="center"/>
          </w:tcPr>
          <w:p w14:paraId="602503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E835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4.18</w:t>
            </w:r>
          </w:p>
        </w:tc>
        <w:tc>
          <w:tcPr>
            <w:tcW w:w="1171" w:type="dxa"/>
            <w:noWrap w:val="0"/>
            <w:vAlign w:val="center"/>
          </w:tcPr>
          <w:p w14:paraId="30E8C3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0.72</w:t>
            </w:r>
          </w:p>
        </w:tc>
      </w:tr>
    </w:tbl>
    <w:p w14:paraId="54D92B6F">
      <w:pPr>
        <w:spacing w:line="360" w:lineRule="auto"/>
        <w:ind w:firstLine="420" w:firstLineChars="200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lang w:val="en-US" w:eastAsia="zh-CN"/>
        </w:rPr>
        <w:tab/>
      </w:r>
    </w:p>
    <w:p w14:paraId="2F3DDA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14C9D0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34A7C66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科工贸和信息化局2025年度“三公”经费财政拨款支出决算为117.69万元，完成全年预算117.69万元的100%，比上年决算数增加114.69万元，增长3,822.9%。其中：因公出国（境）费支出决算为112.79万元，完成预算112.79万元的100%，比上年决算数增加112.79万元，增长--（基数为0，不可比）；公务用车购置及运行维护费支出决算为4.18万元，完成预算4.18万元的100%，比上年决算数增加1.18万元，增长39.3%；其中：公务用车购置支出决算为0万元，完成预算0万元的--%（基数为0，不可比），比上年决算数增加0万元，增长--（基数为0，不可比）；公务用车运行维护费支出决算为4.18万元，完成预算4.18万元的100%，比上年决算数增加1.18万元，增长39.3%；公务接待费支出决算为0.72万元，完成预算0.72万元的100%，比上年决算数增加0.72万元，增长--（基数为0，不可比）。</w:t>
      </w:r>
    </w:p>
    <w:p w14:paraId="3CD4B7B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2025年度“三公”经费支出决算等于预算数的主要情况：认真贯彻落实中央八项规定精神和厉行节约的要求，从严控制“三公”经费开支。</w:t>
      </w:r>
    </w:p>
    <w:p w14:paraId="17A580F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大于上年决算数的主要情况：我县县委主要领导带队赴芬兰、荷兰开展经贸文化交流和招商引资活动，我局作为招商引资的主要单位，主要领导也陪同参加此次出访活动，该笔经费于本年度下拨到我局经费中列支。</w:t>
      </w:r>
    </w:p>
    <w:p w14:paraId="1BE7352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F62A3F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2025年度“三公”经费财政拨款支出决算中，因公出国（境）费112.79万元，占95.8%；公务用车购置及运行维护费支出4.18万元，占3.5%；公务接待费支出0.72万元，占0.6%。具体情况如下：</w:t>
      </w:r>
    </w:p>
    <w:p w14:paraId="2DB3FA2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112.79万元。全年使用财政拨款安排出国（境）团组1个、累计6人次。开支内容包括：（1）出国差旅29.79万元，主要用于出境机票、车船及住宿等支出；（2）出国考察及文化交流等支出83万元，主要用于开展经贸文化交流及招商引资等活动支出。</w:t>
      </w:r>
    </w:p>
    <w:p w14:paraId="4C24391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2.公务用车购置及运行维护费支出4.18万元，其中：公务用车购置支出为0万元，公务用车购置数0辆。公务用车运行维护费支出4.18万元，公务用车保有量为2辆，主要用于保障日常公务出行。</w:t>
      </w:r>
    </w:p>
    <w:p w14:paraId="3E70EEE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3.公务接待费支出0.72万元，主要用于招商引资等工作接待，共接待国外、境外来访团组0个，来访外宾0人次；发生国内接待15次，接待人数共120人。主要包括招商引资等工作接待。</w:t>
      </w:r>
    </w:p>
    <w:bookmarkEnd w:id="1"/>
    <w:p w14:paraId="4DF4A06A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2D55022E"/>
    <w:rsid w:val="30BC0D4E"/>
    <w:rsid w:val="3D172F08"/>
    <w:rsid w:val="45B25BFB"/>
    <w:rsid w:val="53AD7BDA"/>
    <w:rsid w:val="5C14771E"/>
    <w:rsid w:val="5E2872DD"/>
    <w:rsid w:val="5FE22D60"/>
    <w:rsid w:val="62DB1207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1313</Words>
  <Characters>1527</Characters>
  <Lines>0</Lines>
  <Paragraphs>0</Paragraphs>
  <TotalTime>2</TotalTime>
  <ScaleCrop>false</ScaleCrop>
  <LinksUpToDate>false</LinksUpToDate>
  <CharactersWithSpaces>1536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虹子</cp:lastModifiedBy>
  <dcterms:modified xsi:type="dcterms:W3CDTF">2026-09-15T01:53:29Z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8D9C65089C1D4F23B753F0B30D30AA95_13</vt:lpwstr>
  </property>
  <property fmtid="{D5CDD505-2E9C-101B-9397-08002B2CF9AE}" pid="4" name="KSOTemplateDocerSaveRecord">
    <vt:lpwstr>eyJoZGlkIjoiM2U3YWNmOGJiN2JhMTY4YTg2YTAzZWM2ODg5NWJlYjkiLCJ1c2VySWQiOiIzMzY0NDM1MzIifQ==</vt:lpwstr>
  </property>
</Properties>
</file>