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徐闻县图书馆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徐闻县图书馆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</w:t>
      </w:r>
      <w:r>
        <w:rPr>
          <w:rFonts w:hint="eastAsia" w:ascii="宋体" w:hAnsi="宋体" w:cs="宋体"/>
          <w:szCs w:val="21"/>
          <w:lang w:val="en-US" w:eastAsia="zh-CN"/>
        </w:rPr>
        <w:t>单位</w:t>
      </w:r>
      <w:r>
        <w:rPr>
          <w:rFonts w:hint="eastAsia" w:ascii="宋体" w:hAnsi="宋体" w:cs="宋体"/>
          <w:szCs w:val="21"/>
        </w:rPr>
        <w:t>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3A242B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徐闻县图书馆2025年度“三公”经费财政拨款支出决算为0万元，完成全年预算0万元的--%（基数为0，不可比），比上年决算数增加0万元，增长--（基数为0，不可比）。其中：因公出国</w:t>
      </w:r>
    </w:p>
    <w:p w14:paraId="7DB8DCC6">
      <w:pPr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3C3218B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2025年度“三公”经费支出决算等于预算数的主要情况：认真贯彻落实中央八项规定精神和厉行节约的要求，从严控制“三公”经费开支，全年实际支出控制与年初预算数持平。</w:t>
      </w:r>
    </w:p>
    <w:p w14:paraId="5CE6ACD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2025年度“三公”经费支出决算等于上年决算数的主要情况：认真贯彻落实中央八项规定精神和厉行节约的要求，从严控制“三公”经费开支，全年实际支出控制与年初预算数持平。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4B7AA0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6548801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C4DF18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2.公务用车购置及运行维护费支出0万元，其中：公务用车购置支出为0万元，公务用车购置数0辆。公务用车运行维护费支出0万元，公务用车保有量为0辆，主要用于：本单位没有公务用车支出。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3.公务接待费支出0万元，主要用于本年度没有公务接待，共接待国外、境外来访团组0个，来访外宾0人次；发生国内接待0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次，接待人数共0人。主要包括本年度没有公务接待。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37A6B24"/>
    <w:rsid w:val="45B25BFB"/>
    <w:rsid w:val="51E323F7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1132</Words>
  <Characters>1214</Characters>
  <Lines>0</Lines>
  <Paragraphs>0</Paragraphs>
  <TotalTime>14</TotalTime>
  <ScaleCrop>false</ScaleCrop>
  <LinksUpToDate>false</LinksUpToDate>
  <CharactersWithSpaces>1225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溪凝</cp:lastModifiedBy>
  <dcterms:modified xsi:type="dcterms:W3CDTF">2026-09-10T02:49:13Z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EDE6B655870148F887C0656BF7C07773_13</vt:lpwstr>
  </property>
  <property fmtid="{D5CDD505-2E9C-101B-9397-08002B2CF9AE}" pid="4" name="KSOTemplateDocerSaveRecord">
    <vt:lpwstr>eyJoZGlkIjoiZjg0M2EzNTYwNTQwYmM0MzhmOTg1YWIwNmYzMzE4MDAiLCJ1c2VySWQiOiI5OTEyMzQ5MzMifQ==</vt:lpwstr>
  </property>
</Properties>
</file>