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2025年徐闻县医疗保障局“三公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徐闻县医疗保障局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577C3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2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2"/>
          <w:kern w:val="0"/>
          <w:sz w:val="19"/>
          <w:szCs w:val="19"/>
          <w:lang w:val="en-US" w:eastAsia="zh-CN" w:bidi="ar"/>
        </w:rPr>
        <w:t>注：本表反映部门本年度财政拨款“三公”经费支出预决算情况。其中，预算数为“三公”经费全年预算数，反映按规定程序调整后的预算数；决算数是包括当年财政拨款和以前年度结转资金安排的实际支出。</w:t>
      </w: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2"/>
          <w:kern w:val="0"/>
          <w:sz w:val="19"/>
          <w:szCs w:val="19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2"/>
          <w:kern w:val="0"/>
          <w:sz w:val="19"/>
          <w:szCs w:val="19"/>
          <w:lang w:val="en-US" w:eastAsia="zh-CN" w:bidi="ar"/>
        </w:rPr>
        <w:t>　　本表本年度无发生额。</w:t>
      </w:r>
    </w:p>
    <w:p w14:paraId="35EAC4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34669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徐闻县医疗保障局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75448F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2D0A23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2025年度“三公”经费支出决算等于上年决算数的主要情况：本单位无三公经费支出。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F8C78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40D715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</w:t>
      </w:r>
    </w:p>
    <w:p w14:paraId="559241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2.公务用车购置及运行维护费支出0万元，其中：公务用车购置支出为0万元，公务用车购置数0辆。公务用车运行维护费支出0万元，公务用车保有量为0辆，主要用于本单位无公务车。</w:t>
      </w:r>
    </w:p>
    <w:p w14:paraId="41FD8D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2"/>
          <w:kern w:val="0"/>
          <w:sz w:val="32"/>
          <w:szCs w:val="32"/>
          <w:lang w:val="en-US" w:eastAsia="zh-CN" w:bidi="ar"/>
        </w:rPr>
        <w:t>3.公务接待费支出0万元，主要用于无，共接待国外、境外来访团组0个，来访外宾0人次；发生国内接待0次，接待人数共0人。主要无公务接待费。</w:t>
      </w:r>
    </w:p>
    <w:p w14:paraId="26BD612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C9131CB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0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 荃欣</cp:lastModifiedBy>
  <dcterms:modified xsi:type="dcterms:W3CDTF">2026-09-14T08:22:45Z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eyJoZGlkIjoiNmI0MjJmN2Y3Njg0MWRiNWVhMjliMDY0YTliYzg4M2YiLCJ1c2VySWQiOiIyNDg0MDgzMzEifQ==</vt:lpwstr>
  </property>
</Properties>
</file>