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91D7AA">
      <w:pPr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 </w:t>
      </w:r>
    </w:p>
    <w:p w14:paraId="34A37F4E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 xml:space="preserve"> 2025年徐闻县鲤鱼潭水库管理所“三公</w:t>
      </w:r>
      <w:r>
        <w:rPr>
          <w:rFonts w:hint="default" w:ascii="仿宋_GB2312" w:hAnsi="宋体" w:eastAsia="仿宋_GB2312" w:cs="宋体"/>
          <w:b/>
          <w:sz w:val="44"/>
          <w:szCs w:val="44"/>
          <w:lang w:val="en-US" w:eastAsia="zh-CN"/>
        </w:rPr>
        <w:t>”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经费决算公开</w:t>
      </w:r>
    </w:p>
    <w:p w14:paraId="05AA9E84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p w14:paraId="35F2358F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 w14:paraId="51C0E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3A2F763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表9</w:t>
            </w:r>
          </w:p>
        </w:tc>
      </w:tr>
      <w:tr w14:paraId="2F6BD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CF647BD">
            <w:pPr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财政拨款“三公”经费支出决算表</w:t>
            </w:r>
          </w:p>
        </w:tc>
      </w:tr>
      <w:tr w14:paraId="57628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54F44F76">
            <w:pPr>
              <w:spacing w:line="288" w:lineRule="auto"/>
              <w:jc w:val="left"/>
              <w:rPr>
                <w:rFonts w:hint="default" w:ascii="宋体" w:hAnsi="宋体" w:cs="宋体" w:eastAsiaTheme="minorEastAsia"/>
                <w:sz w:val="28"/>
                <w:szCs w:val="28"/>
                <w:lang w:val="en-US" w:eastAsia="zh-CN"/>
              </w:rPr>
            </w:pPr>
            <w:bookmarkStart w:id="0" w:name="PO_part2DivName9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单位 </w:t>
            </w:r>
            <w:bookmarkEnd w:id="0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：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徐闻县鲤鱼潭水库管理所</w:t>
            </w:r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6B02612A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单位：万元</w:t>
            </w:r>
          </w:p>
        </w:tc>
      </w:tr>
      <w:tr w14:paraId="1D80F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6B6D10D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3C2BAD0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决算数</w:t>
            </w:r>
          </w:p>
        </w:tc>
      </w:tr>
      <w:tr w14:paraId="7E3E0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noWrap w:val="0"/>
            <w:vAlign w:val="center"/>
          </w:tcPr>
          <w:p w14:paraId="29F0A20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626D84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338A4D4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7ADDF4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BB9B47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84EA39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429628C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noWrap w:val="0"/>
            <w:vAlign w:val="center"/>
          </w:tcPr>
          <w:p w14:paraId="3D21A69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</w:tr>
      <w:tr w14:paraId="6D1E2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  <w:noWrap w:val="0"/>
            <w:vAlign w:val="top"/>
          </w:tcPr>
          <w:p w14:paraId="70039CA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4A38F19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2D49DFA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57EC8C1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736959D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 w:val="continue"/>
            <w:noWrap w:val="0"/>
            <w:vAlign w:val="top"/>
          </w:tcPr>
          <w:p w14:paraId="5083F241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05CDFA52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68EBFA7E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6EFDF3B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6A203E7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46959E6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  <w:noWrap w:val="0"/>
            <w:vAlign w:val="top"/>
          </w:tcPr>
          <w:p w14:paraId="04470849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</w:tr>
      <w:tr w14:paraId="4E423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07C4178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82" w:type="dxa"/>
            <w:noWrap w:val="0"/>
            <w:vAlign w:val="center"/>
          </w:tcPr>
          <w:p w14:paraId="6644346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182" w:type="dxa"/>
            <w:noWrap w:val="0"/>
            <w:vAlign w:val="center"/>
          </w:tcPr>
          <w:p w14:paraId="5D2058B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182" w:type="dxa"/>
            <w:noWrap w:val="0"/>
            <w:vAlign w:val="center"/>
          </w:tcPr>
          <w:p w14:paraId="7ED6ADD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182" w:type="dxa"/>
            <w:noWrap w:val="0"/>
            <w:vAlign w:val="center"/>
          </w:tcPr>
          <w:p w14:paraId="01E7A8F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182" w:type="dxa"/>
            <w:noWrap w:val="0"/>
            <w:vAlign w:val="center"/>
          </w:tcPr>
          <w:p w14:paraId="1E7B541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182" w:type="dxa"/>
            <w:noWrap w:val="0"/>
            <w:vAlign w:val="center"/>
          </w:tcPr>
          <w:p w14:paraId="2821825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182" w:type="dxa"/>
            <w:noWrap w:val="0"/>
            <w:vAlign w:val="center"/>
          </w:tcPr>
          <w:p w14:paraId="5C68C9B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182" w:type="dxa"/>
            <w:noWrap w:val="0"/>
            <w:vAlign w:val="center"/>
          </w:tcPr>
          <w:p w14:paraId="14E4728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182" w:type="dxa"/>
            <w:noWrap w:val="0"/>
            <w:vAlign w:val="center"/>
          </w:tcPr>
          <w:p w14:paraId="5C7C198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1182" w:type="dxa"/>
            <w:noWrap w:val="0"/>
            <w:vAlign w:val="center"/>
          </w:tcPr>
          <w:p w14:paraId="7701D34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1171" w:type="dxa"/>
            <w:noWrap w:val="0"/>
            <w:vAlign w:val="center"/>
          </w:tcPr>
          <w:p w14:paraId="4D45EE8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</w:tr>
      <w:tr w14:paraId="531B1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77D264E3">
            <w:pPr>
              <w:widowControl/>
              <w:jc w:val="righ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4D5EABE3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1BE20D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F02F80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2FC129E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61F6E8B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D00B00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0F93DC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B78195F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59B2436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4F22B8D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71" w:type="dxa"/>
            <w:noWrap w:val="0"/>
            <w:vAlign w:val="center"/>
          </w:tcPr>
          <w:p w14:paraId="6F7ACF0A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</w:tr>
    </w:tbl>
    <w:p w14:paraId="5D62CBEC">
      <w:pPr>
        <w:spacing w:line="360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注：本表反映部门（单位）本年度财政拨款“三公”经费支出预决算情况。其中，预算数为“三公”经费全年预算数，反映按规定程序调整后的预算数；决算数是包括当年财政拨款和以前年度结转资金安排的实际支出。</w:t>
      </w:r>
    </w:p>
    <w:p w14:paraId="081565A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</w:pPr>
    </w:p>
    <w:p w14:paraId="1399B1CD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（一）“三公”经费财政拨款支出决算总体情况说明</w:t>
      </w:r>
    </w:p>
    <w:p w14:paraId="4FAC5473">
      <w:pPr>
        <w:ind w:firstLine="640" w:firstLineChars="200"/>
        <w:rPr>
          <w:rFonts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徐闻县鲤鱼潭水库管理所</w:t>
      </w:r>
      <w:bookmarkStart w:id="34" w:name="_GoBack"/>
      <w:bookmarkEnd w:id="34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2025</w:t>
      </w:r>
      <w:r>
        <w:rPr>
          <w:rFonts w:hint="eastAsia" w:ascii="仿宋_GB2312" w:hAnsi="宋体" w:eastAsia="仿宋_GB2312" w:cs="宋体"/>
          <w:sz w:val="32"/>
          <w:szCs w:val="32"/>
        </w:rPr>
        <w:t>年度“三公”经费财政拨款支出决算为</w:t>
      </w:r>
      <w:bookmarkStart w:id="1" w:name="PO_part3A3B1C1Am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"/>
      <w:r>
        <w:rPr>
          <w:rFonts w:hint="eastAsia" w:ascii="仿宋_GB2312" w:hAnsi="宋体" w:eastAsia="仿宋_GB2312" w:cs="宋体"/>
          <w:sz w:val="32"/>
          <w:szCs w:val="32"/>
        </w:rPr>
        <w:t>万元，完成全年预算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2" w:name="PO_part3A3B1C1Perce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3" w:name="PO_part3A3B1C1IncAmount1"/>
      <w:r>
        <w:rPr>
          <w:rFonts w:hint="eastAsia" w:ascii="仿宋_GB2312" w:hAnsi="宋体" w:eastAsia="仿宋_GB2312" w:cs="宋体"/>
          <w:sz w:val="32"/>
          <w:szCs w:val="32"/>
        </w:rPr>
        <w:t>增加</w:t>
      </w:r>
      <w:bookmarkEnd w:id="3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4" w:name="PO_part3A3B1C1IncPerce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% </w:t>
      </w:r>
      <w:bookmarkEnd w:id="4"/>
      <w:r>
        <w:rPr>
          <w:rFonts w:hint="eastAsia" w:ascii="仿宋_GB2312" w:hAnsi="宋体" w:eastAsia="仿宋_GB2312" w:cs="宋体"/>
          <w:sz w:val="32"/>
          <w:szCs w:val="32"/>
        </w:rPr>
        <w:t>。其中：因公出国（境）费支出决算为</w:t>
      </w:r>
      <w:bookmarkStart w:id="5" w:name="PO_part3A3B1C1qzAmount1"/>
      <w:r>
        <w:rPr>
          <w:rFonts w:hint="eastAsia" w:ascii="仿宋_GB2312" w:hAnsi="宋体" w:eastAsia="仿宋_GB2312" w:cs="宋体"/>
          <w:sz w:val="32"/>
          <w:szCs w:val="32"/>
        </w:rPr>
        <w:t>x</w:t>
      </w:r>
      <w:bookmarkEnd w:id="5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6" w:name="PO_part3A3B1C1qzPerce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6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7" w:name="PO_part3A3B1C1IncAmount2"/>
      <w:r>
        <w:rPr>
          <w:rFonts w:hint="eastAsia" w:ascii="仿宋_GB2312" w:hAnsi="宋体" w:eastAsia="仿宋_GB2312" w:cs="宋体"/>
          <w:sz w:val="32"/>
          <w:szCs w:val="32"/>
        </w:rPr>
        <w:t>增加</w:t>
      </w:r>
      <w:bookmarkEnd w:id="7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8" w:name="PO_part3A3B1C1IncPercent2"/>
      <w:r>
        <w:rPr>
          <w:rFonts w:hint="eastAsia" w:ascii="仿宋_GB2312" w:hAnsi="宋体" w:eastAsia="仿宋_GB2312" w:cs="宋体"/>
          <w:sz w:val="32"/>
          <w:szCs w:val="32"/>
        </w:rPr>
        <w:t>增长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8"/>
      <w:r>
        <w:rPr>
          <w:rFonts w:hint="eastAsia" w:ascii="仿宋_GB2312" w:hAnsi="宋体" w:eastAsia="仿宋_GB2312" w:cs="宋体"/>
          <w:sz w:val="32"/>
          <w:szCs w:val="32"/>
        </w:rPr>
        <w:t>；公务用车购置及运行维护费支出决算为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9" w:name="PO_part3A3B1C1qzPercent2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9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10" w:name="PO_part3A3B1C1IncAmount3"/>
      <w:r>
        <w:rPr>
          <w:rFonts w:hint="eastAsia" w:ascii="仿宋_GB2312" w:hAnsi="宋体" w:eastAsia="仿宋_GB2312" w:cs="宋体"/>
          <w:sz w:val="32"/>
          <w:szCs w:val="32"/>
        </w:rPr>
        <w:t>增加</w:t>
      </w:r>
      <w:bookmarkEnd w:id="10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11" w:name="PO_part3A3B1C1IncPercent3"/>
      <w:r>
        <w:rPr>
          <w:rFonts w:hint="eastAsia" w:ascii="仿宋_GB2312" w:hAnsi="宋体" w:eastAsia="仿宋_GB2312" w:cs="宋体"/>
          <w:sz w:val="32"/>
          <w:szCs w:val="32"/>
        </w:rPr>
        <w:t>增长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1"/>
      <w:r>
        <w:rPr>
          <w:rFonts w:hint="eastAsia" w:ascii="仿宋_GB2312" w:hAnsi="宋体" w:eastAsia="仿宋_GB2312" w:cs="宋体"/>
          <w:sz w:val="32"/>
          <w:szCs w:val="32"/>
        </w:rPr>
        <w:t>；其中：公务用车购置支出决算为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12" w:name="PO_part3A3B1C1qzPercent4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2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13" w:name="PO_part3A3B1C1IncAmount4"/>
      <w:r>
        <w:rPr>
          <w:rFonts w:hint="eastAsia" w:ascii="仿宋_GB2312" w:hAnsi="宋体" w:eastAsia="仿宋_GB2312" w:cs="宋体"/>
          <w:sz w:val="32"/>
          <w:szCs w:val="32"/>
        </w:rPr>
        <w:t>增加</w:t>
      </w:r>
      <w:bookmarkEnd w:id="13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14" w:name="PO_part3A3B1C1IncPercent4"/>
      <w:r>
        <w:rPr>
          <w:rFonts w:hint="eastAsia" w:ascii="仿宋_GB2312" w:hAnsi="宋体" w:eastAsia="仿宋_GB2312" w:cs="宋体"/>
          <w:sz w:val="32"/>
          <w:szCs w:val="32"/>
        </w:rPr>
        <w:t>增长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4"/>
      <w:r>
        <w:rPr>
          <w:rFonts w:hint="eastAsia" w:ascii="仿宋_GB2312" w:hAnsi="宋体" w:eastAsia="仿宋_GB2312" w:cs="宋体"/>
          <w:sz w:val="32"/>
          <w:szCs w:val="32"/>
        </w:rPr>
        <w:t>；公务用车运行维护费支出决算为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15" w:name="PO_part3A3B1C1qzPercent5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5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16" w:name="PO_part3A3B1C1IncAmount5"/>
      <w:r>
        <w:rPr>
          <w:rFonts w:hint="eastAsia" w:ascii="仿宋_GB2312" w:hAnsi="宋体" w:eastAsia="仿宋_GB2312" w:cs="宋体"/>
          <w:sz w:val="32"/>
          <w:szCs w:val="32"/>
        </w:rPr>
        <w:t>增加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6"/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17" w:name="PO_part3A3B1C1IncPercent5"/>
      <w:r>
        <w:rPr>
          <w:rFonts w:hint="eastAsia" w:ascii="仿宋_GB2312" w:hAnsi="宋体" w:eastAsia="仿宋_GB2312" w:cs="宋体"/>
          <w:sz w:val="32"/>
          <w:szCs w:val="32"/>
        </w:rPr>
        <w:t>增长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7"/>
      <w:r>
        <w:rPr>
          <w:rFonts w:hint="eastAsia" w:ascii="仿宋_GB2312" w:hAnsi="宋体" w:eastAsia="仿宋_GB2312" w:cs="宋体"/>
          <w:sz w:val="32"/>
          <w:szCs w:val="32"/>
        </w:rPr>
        <w:t>；公务接待费支出决算为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bookmarkStart w:id="18" w:name="PO_part3A3B1C1qzysAmount3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8"/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19" w:name="PO_part3A3B1C1qzPercent3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9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20" w:name="PO_part3A3B1C1IncAmount6"/>
      <w:r>
        <w:rPr>
          <w:rFonts w:hint="eastAsia" w:ascii="仿宋_GB2312" w:hAnsi="宋体" w:eastAsia="仿宋_GB2312" w:cs="宋体"/>
          <w:sz w:val="32"/>
          <w:szCs w:val="32"/>
        </w:rPr>
        <w:t>增加</w:t>
      </w:r>
      <w:bookmarkEnd w:id="20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21" w:name="PO_part3A3B1C1IncPercent6"/>
      <w:r>
        <w:rPr>
          <w:rFonts w:hint="eastAsia" w:ascii="仿宋_GB2312" w:hAnsi="宋体" w:eastAsia="仿宋_GB2312" w:cs="宋体"/>
          <w:sz w:val="32"/>
          <w:szCs w:val="32"/>
        </w:rPr>
        <w:t>增长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%。 </w:t>
      </w:r>
      <w:bookmarkEnd w:id="21"/>
    </w:p>
    <w:p w14:paraId="2262CA32">
      <w:pPr>
        <w:ind w:firstLine="640" w:firstLineChars="200"/>
        <w:rPr>
          <w:rFonts w:ascii="仿宋_GB2312" w:hAnsi="宋体" w:eastAsia="仿宋_GB2312" w:cs="宋体"/>
          <w:sz w:val="32"/>
          <w:szCs w:val="32"/>
        </w:rPr>
      </w:pPr>
      <w:bookmarkStart w:id="22" w:name="PO_part3A3B1C1Year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2025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2"/>
      <w:r>
        <w:rPr>
          <w:rFonts w:hint="eastAsia" w:ascii="仿宋_GB2312" w:hAnsi="宋体" w:eastAsia="仿宋_GB2312" w:cs="宋体"/>
          <w:sz w:val="32"/>
          <w:szCs w:val="32"/>
        </w:rPr>
        <w:t>年度“三公”经费支出决算</w:t>
      </w:r>
      <w:bookmarkStart w:id="23" w:name="PO_part3A3B1C1Diff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等于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3"/>
      <w:r>
        <w:rPr>
          <w:rFonts w:hint="eastAsia" w:ascii="仿宋_GB2312" w:hAnsi="宋体" w:eastAsia="仿宋_GB2312" w:cs="宋体"/>
          <w:sz w:val="32"/>
          <w:szCs w:val="32"/>
        </w:rPr>
        <w:t>预算数的主要情况：</w:t>
      </w:r>
      <w:bookmarkStart w:id="24" w:name="PO_part3A3B1C1DiffReason1"/>
      <w:r>
        <w:rPr>
          <w:rFonts w:hint="eastAsia" w:ascii="仿宋_GB2312" w:hAnsi="宋体" w:eastAsia="仿宋_GB2312" w:cs="宋体"/>
          <w:sz w:val="32"/>
          <w:szCs w:val="32"/>
        </w:rPr>
        <w:t>认真贯彻落实中央八项规定精神和厉行节约的要求，从严控制“三公”经费开支，全年实际支出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与</w:t>
      </w:r>
      <w:r>
        <w:rPr>
          <w:rFonts w:hint="eastAsia" w:ascii="仿宋_GB2312" w:hAnsi="宋体" w:eastAsia="仿宋_GB2312" w:cs="宋体"/>
          <w:sz w:val="32"/>
          <w:szCs w:val="32"/>
        </w:rPr>
        <w:t>预算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持平</w:t>
      </w:r>
      <w:bookmarkEnd w:id="24"/>
      <w:bookmarkStart w:id="25" w:name="PO_part3A3B1C1DiffReason2"/>
      <w:r>
        <w:rPr>
          <w:rFonts w:hint="eastAsia" w:ascii="仿宋_GB2312" w:hAnsi="宋体" w:eastAsia="仿宋_GB2312" w:cs="宋体"/>
          <w:sz w:val="32"/>
          <w:szCs w:val="32"/>
        </w:rPr>
        <w:t>。</w:t>
      </w:r>
      <w:bookmarkEnd w:id="25"/>
    </w:p>
    <w:p w14:paraId="7CA8C0EF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（二）“三公”经费财政拨款支出决算具体情况说明</w:t>
      </w:r>
    </w:p>
    <w:p w14:paraId="5D5028F3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bookmarkStart w:id="26" w:name="PO_part3A3B2Year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2025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6"/>
      <w:r>
        <w:rPr>
          <w:rFonts w:hint="eastAsia" w:ascii="仿宋_GB2312" w:hAnsi="宋体" w:eastAsia="仿宋_GB2312" w:cs="宋体"/>
          <w:sz w:val="32"/>
          <w:szCs w:val="32"/>
        </w:rPr>
        <w:t>年度“三公”经费财政拨款支出决算中，因公出国（境）费</w:t>
      </w:r>
      <w:bookmarkStart w:id="27" w:name="PO_part3A3B2Am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万元，占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7"/>
      <w:r>
        <w:rPr>
          <w:rFonts w:hint="eastAsia" w:ascii="仿宋_GB2312" w:hAnsi="宋体" w:eastAsia="仿宋_GB2312" w:cs="宋体"/>
          <w:sz w:val="32"/>
          <w:szCs w:val="32"/>
        </w:rPr>
        <w:t>；公务用车购置及运行维护费支出</w:t>
      </w:r>
      <w:bookmarkStart w:id="28" w:name="PO_part3A3B2Amount2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万元，占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8"/>
      <w:r>
        <w:rPr>
          <w:rFonts w:hint="eastAsia" w:ascii="仿宋_GB2312" w:hAnsi="宋体" w:eastAsia="仿宋_GB2312" w:cs="宋体"/>
          <w:sz w:val="32"/>
          <w:szCs w:val="32"/>
        </w:rPr>
        <w:t>；公务接待费支出</w:t>
      </w:r>
      <w:bookmarkStart w:id="29" w:name="PO_part3A3B2Amount3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万元，占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9"/>
      <w:r>
        <w:rPr>
          <w:rFonts w:hint="eastAsia" w:ascii="仿宋_GB2312" w:hAnsi="宋体" w:eastAsia="仿宋_GB2312" w:cs="宋体"/>
          <w:sz w:val="32"/>
          <w:szCs w:val="32"/>
        </w:rPr>
        <w:t>。具体情况如下：</w:t>
      </w:r>
    </w:p>
    <w:p w14:paraId="6E08326F">
      <w:pPr>
        <w:numPr>
          <w:ilvl w:val="0"/>
          <w:numId w:val="1"/>
        </w:num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因公出国（境）费支出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万元。全年使用财政拨款安排出国（境）团组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个、累计</w:t>
      </w:r>
      <w:bookmarkStart w:id="30" w:name="PO_part3A3B2C1JgcgManC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0"/>
      <w:r>
        <w:rPr>
          <w:rFonts w:hint="eastAsia" w:ascii="仿宋_GB2312" w:hAnsi="宋体" w:eastAsia="仿宋_GB2312" w:cs="宋体"/>
          <w:sz w:val="32"/>
          <w:szCs w:val="32"/>
        </w:rPr>
        <w:t>人次</w:t>
      </w:r>
      <w:bookmarkStart w:id="31" w:name="PO_part3A3B2C1D1Meeting1"/>
      <w:r>
        <w:rPr>
          <w:rFonts w:hint="eastAsia" w:ascii="仿宋_GB2312" w:hAnsi="宋体" w:eastAsia="仿宋_GB2312" w:cs="宋体"/>
          <w:sz w:val="32"/>
          <w:szCs w:val="32"/>
        </w:rPr>
        <w:t>。</w:t>
      </w:r>
      <w:bookmarkEnd w:id="31"/>
    </w:p>
    <w:p w14:paraId="3E58C8B2">
      <w:pPr>
        <w:numPr>
          <w:ilvl w:val="0"/>
          <w:numId w:val="1"/>
        </w:numPr>
        <w:ind w:firstLine="640" w:firstLineChars="200"/>
        <w:rPr>
          <w:rFonts w:hint="default" w:ascii="仿宋_GB2312" w:hAnsi="宋体" w:eastAsia="仿宋_GB2312" w:cs="宋体"/>
          <w:sz w:val="32"/>
          <w:szCs w:val="32"/>
          <w:lang w:val="en-US"/>
        </w:rPr>
      </w:pPr>
      <w:r>
        <w:rPr>
          <w:rFonts w:hint="eastAsia" w:ascii="仿宋_GB2312" w:hAnsi="宋体" w:eastAsia="仿宋_GB2312" w:cs="宋体"/>
          <w:sz w:val="32"/>
          <w:szCs w:val="32"/>
        </w:rPr>
        <w:t>公务用车购置及运行维护费支出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万元，其中：公务用车购置支出为</w:t>
      </w:r>
      <w:bookmarkStart w:id="32" w:name="PO_part3A3B2C2D1Am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2"/>
      <w:r>
        <w:rPr>
          <w:rFonts w:hint="eastAsia" w:ascii="仿宋_GB2312" w:hAnsi="宋体" w:eastAsia="仿宋_GB2312" w:cs="宋体"/>
          <w:sz w:val="32"/>
          <w:szCs w:val="32"/>
        </w:rPr>
        <w:t>万元，公务用车购置数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辆。公务用车运行维护费支出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万元，公务用车保有量为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辆</w:t>
      </w:r>
      <w:bookmarkStart w:id="33" w:name="PO_part3A3B2C2D2Use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。</w:t>
      </w:r>
      <w:bookmarkEnd w:id="33"/>
    </w:p>
    <w:p w14:paraId="6E4A452F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sz w:val="32"/>
          <w:szCs w:val="32"/>
        </w:rPr>
        <w:t>3.公务接待费支出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万元。</w:t>
      </w:r>
    </w:p>
    <w:p w14:paraId="571971EF">
      <w:pPr>
        <w:ind w:firstLine="700" w:firstLineChars="200"/>
        <w:jc w:val="left"/>
        <w:rPr>
          <w:rFonts w:hint="eastAsia" w:ascii="仿宋_GB2312" w:hAnsi="仿宋_GB2312" w:eastAsia="仿宋_GB2312" w:cs="仿宋_GB2312"/>
          <w:i w:val="0"/>
          <w:iCs w:val="0"/>
          <w:caps w:val="0"/>
          <w:color w:val="525252"/>
          <w:spacing w:val="15"/>
          <w:sz w:val="32"/>
          <w:szCs w:val="32"/>
          <w:highlight w:val="yellow"/>
          <w:shd w:val="clear" w:fill="FFFFFF"/>
          <w:lang w:val="en-US" w:eastAsia="zh-CN"/>
        </w:rPr>
      </w:pPr>
    </w:p>
    <w:p w14:paraId="6A200A71"/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0F595CF"/>
    <w:multiLevelType w:val="singleLevel"/>
    <w:tmpl w:val="20F595CF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QyZTI4MzM0YTkzY2E0ZjI4ZmNlMGIxODNmMTM1YjEifQ=="/>
  </w:docVars>
  <w:rsids>
    <w:rsidRoot w:val="75CB36A1"/>
    <w:rsid w:val="0754675F"/>
    <w:rsid w:val="202D3B9A"/>
    <w:rsid w:val="21724E3D"/>
    <w:rsid w:val="26811F3C"/>
    <w:rsid w:val="279627D2"/>
    <w:rsid w:val="30BC0D4E"/>
    <w:rsid w:val="34E622D6"/>
    <w:rsid w:val="45B25BFB"/>
    <w:rsid w:val="51546279"/>
    <w:rsid w:val="51F2387E"/>
    <w:rsid w:val="5C14771E"/>
    <w:rsid w:val="67DE0A40"/>
    <w:rsid w:val="6DA03E2A"/>
    <w:rsid w:val="75CB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908</Words>
  <Characters>976</Characters>
  <Lines>0</Lines>
  <Paragraphs>0</Paragraphs>
  <TotalTime>6</TotalTime>
  <ScaleCrop>false</ScaleCrop>
  <LinksUpToDate>false</LinksUpToDate>
  <CharactersWithSpaces>1005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2025-10-06T02:55:00Z</dcterms:created>
  <dc:creator>超</dc:creator>
  <cp:lastModifiedBy>风之女</cp:lastModifiedBy>
  <dcterms:modified xsi:type="dcterms:W3CDTF">2026-09-09T05:48:25Z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6C44B42569274B8D84A4522CC7144526_13</vt:lpwstr>
  </property>
  <property fmtid="{D5CDD505-2E9C-101B-9397-08002B2CF9AE}" pid="4" name="KSOTemplateDocerSaveRecord">
    <vt:lpwstr>eyJoZGlkIjoiMmVkM2E5M2Y1OGRmNDRhM2Q5NmY4OTQ3YzI0ZWE1ZmUiLCJ1c2VySWQiOiIyNzc5MjY2NzcifQ==</vt:lpwstr>
  </property>
</Properties>
</file>