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1D7AA">
      <w:pPr>
        <w:jc w:val="center"/>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 xml:space="preserve">  </w:t>
      </w:r>
    </w:p>
    <w:p w14:paraId="34A37F4E">
      <w:pPr>
        <w:jc w:val="center"/>
        <w:rPr>
          <w:rFonts w:hint="eastAsia" w:ascii="仿宋_GB2312" w:hAnsi="宋体" w:eastAsia="仿宋_GB2312" w:cs="宋体"/>
          <w:b/>
          <w:sz w:val="44"/>
          <w:szCs w:val="44"/>
          <w:lang w:val="en-US" w:eastAsia="zh-CN"/>
        </w:rPr>
      </w:pPr>
      <w:r>
        <w:rPr>
          <w:rFonts w:hint="eastAsia" w:ascii="宋体" w:hAnsi="宋体" w:eastAsia="宋体" w:cs="宋体"/>
          <w:b/>
          <w:bCs/>
          <w:kern w:val="0"/>
          <w:sz w:val="24"/>
          <w:szCs w:val="24"/>
          <w:lang w:val="en-US" w:eastAsia="zh-CN" w:bidi="ar"/>
        </w:rPr>
        <w:t xml:space="preserve"> </w:t>
      </w:r>
      <w:r>
        <w:rPr>
          <w:rFonts w:hint="eastAsia" w:ascii="仿宋_GB2312" w:hAnsi="宋体" w:eastAsia="仿宋_GB2312" w:cs="宋体"/>
          <w:b/>
          <w:sz w:val="44"/>
          <w:szCs w:val="44"/>
          <w:lang w:val="en-US" w:eastAsia="zh-CN"/>
        </w:rPr>
        <w:t xml:space="preserve"> 2025年</w:t>
      </w:r>
      <w:r>
        <w:rPr>
          <w:rFonts w:hint="eastAsia" w:ascii="仿宋_GB2312" w:hAnsi="宋体" w:eastAsia="仿宋_GB2312" w:cs="宋体"/>
          <w:b/>
          <w:color w:val="auto"/>
          <w:sz w:val="44"/>
          <w:szCs w:val="44"/>
          <w:lang w:val="en-US" w:eastAsia="zh-CN"/>
        </w:rPr>
        <w:t>徐闻县曲界镇人民政府</w:t>
      </w:r>
      <w:r>
        <w:rPr>
          <w:rFonts w:hint="eastAsia" w:ascii="仿宋_GB2312" w:hAnsi="宋体" w:eastAsia="仿宋_GB2312" w:cs="宋体"/>
          <w:b/>
          <w:sz w:val="44"/>
          <w:szCs w:val="44"/>
          <w:lang w:val="en-US" w:eastAsia="zh-CN"/>
        </w:rPr>
        <w:t>“三公</w:t>
      </w:r>
      <w:r>
        <w:rPr>
          <w:rFonts w:hint="default" w:ascii="仿宋_GB2312" w:hAnsi="宋体" w:eastAsia="仿宋_GB2312" w:cs="宋体"/>
          <w:b/>
          <w:sz w:val="44"/>
          <w:szCs w:val="44"/>
          <w:lang w:val="en-US" w:eastAsia="zh-CN"/>
        </w:rPr>
        <w:t>”</w:t>
      </w:r>
      <w:r>
        <w:rPr>
          <w:rFonts w:hint="eastAsia" w:ascii="仿宋_GB2312" w:hAnsi="宋体" w:eastAsia="仿宋_GB2312" w:cs="宋体"/>
          <w:b/>
          <w:sz w:val="44"/>
          <w:szCs w:val="44"/>
          <w:lang w:val="en-US" w:eastAsia="zh-CN"/>
        </w:rPr>
        <w:t>经费决算公开</w:t>
      </w:r>
    </w:p>
    <w:p w14:paraId="05AA9E84">
      <w:pPr>
        <w:jc w:val="center"/>
        <w:rPr>
          <w:rFonts w:hint="eastAsia" w:ascii="仿宋_GB2312" w:hAnsi="宋体" w:eastAsia="仿宋_GB2312" w:cs="宋体"/>
          <w:b/>
          <w:sz w:val="44"/>
          <w:szCs w:val="44"/>
          <w:lang w:val="en-US" w:eastAsia="zh-CN"/>
        </w:rPr>
      </w:pPr>
    </w:p>
    <w:p w14:paraId="35F2358F">
      <w:pPr>
        <w:jc w:val="center"/>
        <w:rPr>
          <w:rFonts w:hint="eastAsia" w:ascii="仿宋_GB2312" w:hAnsi="宋体" w:eastAsia="仿宋_GB2312" w:cs="宋体"/>
          <w:b/>
          <w:sz w:val="44"/>
          <w:szCs w:val="44"/>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1182"/>
        <w:gridCol w:w="1182"/>
        <w:gridCol w:w="1182"/>
        <w:gridCol w:w="1182"/>
        <w:gridCol w:w="1182"/>
        <w:gridCol w:w="1182"/>
        <w:gridCol w:w="1182"/>
        <w:gridCol w:w="1182"/>
        <w:gridCol w:w="1182"/>
        <w:gridCol w:w="1182"/>
        <w:gridCol w:w="1171"/>
      </w:tblGrid>
      <w:tr w14:paraId="51C0E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noWrap w:val="0"/>
            <w:vAlign w:val="center"/>
          </w:tcPr>
          <w:p w14:paraId="03A2F763">
            <w:pPr>
              <w:jc w:val="right"/>
              <w:rPr>
                <w:rFonts w:hint="eastAsia" w:ascii="宋体" w:hAnsi="宋体" w:cs="宋体"/>
              </w:rPr>
            </w:pPr>
            <w:r>
              <w:rPr>
                <w:rFonts w:hint="eastAsia" w:ascii="宋体" w:hAnsi="宋体" w:cs="宋体"/>
                <w:kern w:val="0"/>
                <w:sz w:val="20"/>
                <w:szCs w:val="20"/>
              </w:rPr>
              <w:t>表9</w:t>
            </w:r>
          </w:p>
        </w:tc>
      </w:tr>
      <w:tr w14:paraId="2F6B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noWrap w:val="0"/>
            <w:vAlign w:val="top"/>
          </w:tcPr>
          <w:p w14:paraId="7CF647BD">
            <w:pPr>
              <w:jc w:val="center"/>
              <w:rPr>
                <w:rFonts w:hint="eastAsia" w:ascii="宋体" w:hAnsi="宋体" w:cs="宋体"/>
                <w:b/>
              </w:rPr>
            </w:pPr>
            <w:r>
              <w:rPr>
                <w:rFonts w:hint="eastAsia" w:ascii="宋体" w:hAnsi="宋体" w:cs="宋体"/>
                <w:b/>
                <w:kern w:val="0"/>
                <w:sz w:val="32"/>
                <w:szCs w:val="32"/>
              </w:rPr>
              <w:t>财政拨款“三公”经费支出决算表</w:t>
            </w:r>
          </w:p>
        </w:tc>
      </w:tr>
      <w:tr w14:paraId="5762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0639" w:type="dxa"/>
            <w:gridSpan w:val="9"/>
            <w:tcBorders>
              <w:top w:val="nil"/>
              <w:left w:val="nil"/>
              <w:bottom w:val="single" w:color="auto" w:sz="4" w:space="0"/>
              <w:right w:val="nil"/>
            </w:tcBorders>
            <w:noWrap w:val="0"/>
            <w:vAlign w:val="center"/>
          </w:tcPr>
          <w:p w14:paraId="54F44F76">
            <w:pPr>
              <w:spacing w:line="288" w:lineRule="auto"/>
              <w:jc w:val="left"/>
              <w:rPr>
                <w:rFonts w:hint="default" w:ascii="宋体" w:hAnsi="宋体" w:cs="宋体" w:eastAsiaTheme="minorEastAsia"/>
                <w:sz w:val="28"/>
                <w:szCs w:val="28"/>
                <w:lang w:val="en-US" w:eastAsia="zh-CN"/>
              </w:rPr>
            </w:pPr>
            <w:bookmarkStart w:id="0" w:name="PO_part2DivName9"/>
            <w:r>
              <w:rPr>
                <w:rFonts w:hint="eastAsia" w:ascii="宋体" w:hAnsi="宋体" w:cs="宋体"/>
                <w:kern w:val="0"/>
                <w:sz w:val="20"/>
                <w:szCs w:val="20"/>
              </w:rPr>
              <w:t xml:space="preserve"> 单位 </w:t>
            </w:r>
            <w:bookmarkEnd w:id="0"/>
            <w:r>
              <w:rPr>
                <w:rFonts w:hint="eastAsia" w:ascii="宋体" w:hAnsi="宋体" w:cs="宋体"/>
                <w:kern w:val="0"/>
                <w:sz w:val="20"/>
                <w:szCs w:val="20"/>
              </w:rPr>
              <w:t>：</w:t>
            </w:r>
            <w:r>
              <w:rPr>
                <w:rFonts w:hint="eastAsia" w:ascii="宋体" w:hAnsi="宋体" w:cs="宋体"/>
                <w:color w:val="auto"/>
                <w:kern w:val="0"/>
                <w:sz w:val="20"/>
                <w:szCs w:val="20"/>
                <w:lang w:val="en-US" w:eastAsia="zh-CN"/>
              </w:rPr>
              <w:t>徐闻县曲界镇人民政府</w:t>
            </w:r>
          </w:p>
        </w:tc>
        <w:tc>
          <w:tcPr>
            <w:tcW w:w="3535" w:type="dxa"/>
            <w:gridSpan w:val="3"/>
            <w:tcBorders>
              <w:top w:val="nil"/>
              <w:left w:val="nil"/>
              <w:bottom w:val="single" w:color="auto" w:sz="4" w:space="0"/>
              <w:right w:val="nil"/>
            </w:tcBorders>
            <w:noWrap w:val="0"/>
            <w:vAlign w:val="center"/>
          </w:tcPr>
          <w:p w14:paraId="6B02612A">
            <w:pPr>
              <w:jc w:val="right"/>
              <w:rPr>
                <w:rFonts w:hint="eastAsia" w:ascii="宋体" w:hAnsi="宋体" w:cs="宋体"/>
              </w:rPr>
            </w:pPr>
            <w:r>
              <w:rPr>
                <w:rFonts w:hint="eastAsia" w:ascii="宋体" w:hAnsi="宋体" w:cs="宋体"/>
                <w:kern w:val="0"/>
                <w:sz w:val="20"/>
                <w:szCs w:val="20"/>
              </w:rPr>
              <w:t>单位：万元</w:t>
            </w:r>
          </w:p>
        </w:tc>
      </w:tr>
      <w:tr w14:paraId="1D80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93" w:type="dxa"/>
            <w:gridSpan w:val="6"/>
            <w:tcBorders>
              <w:top w:val="single" w:color="auto" w:sz="4" w:space="0"/>
            </w:tcBorders>
            <w:noWrap w:val="0"/>
            <w:vAlign w:val="center"/>
          </w:tcPr>
          <w:p w14:paraId="6B6D10DB">
            <w:pPr>
              <w:jc w:val="center"/>
              <w:rPr>
                <w:rFonts w:hint="eastAsia" w:ascii="宋体" w:hAnsi="宋体" w:cs="宋体"/>
                <w:szCs w:val="21"/>
              </w:rPr>
            </w:pPr>
            <w:r>
              <w:rPr>
                <w:rFonts w:hint="eastAsia" w:ascii="宋体" w:hAnsi="宋体" w:cs="宋体"/>
                <w:kern w:val="0"/>
                <w:szCs w:val="21"/>
              </w:rPr>
              <w:t>预算数</w:t>
            </w:r>
          </w:p>
        </w:tc>
        <w:tc>
          <w:tcPr>
            <w:tcW w:w="7081" w:type="dxa"/>
            <w:gridSpan w:val="6"/>
            <w:tcBorders>
              <w:top w:val="single" w:color="auto" w:sz="4" w:space="0"/>
            </w:tcBorders>
            <w:noWrap w:val="0"/>
            <w:vAlign w:val="center"/>
          </w:tcPr>
          <w:p w14:paraId="3C2BAD0C">
            <w:pPr>
              <w:jc w:val="center"/>
              <w:rPr>
                <w:rFonts w:hint="eastAsia" w:ascii="宋体" w:hAnsi="宋体" w:cs="宋体"/>
                <w:szCs w:val="21"/>
              </w:rPr>
            </w:pPr>
            <w:r>
              <w:rPr>
                <w:rFonts w:hint="eastAsia" w:ascii="宋体" w:hAnsi="宋体" w:cs="宋体"/>
                <w:kern w:val="0"/>
                <w:szCs w:val="21"/>
              </w:rPr>
              <w:t>决算数</w:t>
            </w:r>
          </w:p>
        </w:tc>
      </w:tr>
      <w:tr w14:paraId="7E3E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restart"/>
            <w:noWrap w:val="0"/>
            <w:vAlign w:val="center"/>
          </w:tcPr>
          <w:p w14:paraId="29F0A20A">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14:paraId="0626D841">
            <w:pPr>
              <w:widowControl/>
              <w:jc w:val="center"/>
              <w:rPr>
                <w:rFonts w:hint="eastAsia" w:ascii="宋体" w:hAnsi="宋体" w:cs="宋体"/>
                <w:kern w:val="0"/>
                <w:szCs w:val="21"/>
              </w:rPr>
            </w:pPr>
            <w:r>
              <w:rPr>
                <w:rFonts w:hint="eastAsia" w:ascii="宋体" w:hAnsi="宋体" w:cs="宋体"/>
                <w:kern w:val="0"/>
                <w:szCs w:val="21"/>
              </w:rPr>
              <w:t>因公出国（境）费</w:t>
            </w:r>
          </w:p>
        </w:tc>
        <w:tc>
          <w:tcPr>
            <w:tcW w:w="3546" w:type="dxa"/>
            <w:gridSpan w:val="3"/>
            <w:noWrap w:val="0"/>
            <w:vAlign w:val="center"/>
          </w:tcPr>
          <w:p w14:paraId="338A4D43">
            <w:pPr>
              <w:widowControl/>
              <w:jc w:val="center"/>
              <w:rPr>
                <w:rFonts w:hint="eastAsia" w:ascii="宋体" w:hAnsi="宋体" w:cs="宋体"/>
                <w:kern w:val="0"/>
                <w:szCs w:val="21"/>
              </w:rPr>
            </w:pPr>
            <w:r>
              <w:rPr>
                <w:rFonts w:hint="eastAsia" w:ascii="宋体" w:hAnsi="宋体" w:cs="宋体"/>
                <w:kern w:val="0"/>
                <w:szCs w:val="21"/>
              </w:rPr>
              <w:t>公务用车购置及运行维护费</w:t>
            </w:r>
          </w:p>
        </w:tc>
        <w:tc>
          <w:tcPr>
            <w:tcW w:w="1182" w:type="dxa"/>
            <w:vMerge w:val="restart"/>
            <w:noWrap w:val="0"/>
            <w:vAlign w:val="center"/>
          </w:tcPr>
          <w:p w14:paraId="07ADDF4A">
            <w:pPr>
              <w:widowControl/>
              <w:jc w:val="center"/>
              <w:rPr>
                <w:rFonts w:hint="eastAsia" w:ascii="宋体" w:hAnsi="宋体" w:cs="宋体"/>
                <w:kern w:val="0"/>
                <w:szCs w:val="21"/>
              </w:rPr>
            </w:pPr>
            <w:r>
              <w:rPr>
                <w:rFonts w:hint="eastAsia" w:ascii="宋体" w:hAnsi="宋体" w:cs="宋体"/>
                <w:kern w:val="0"/>
                <w:szCs w:val="21"/>
              </w:rPr>
              <w:t>公务接待费</w:t>
            </w:r>
          </w:p>
        </w:tc>
        <w:tc>
          <w:tcPr>
            <w:tcW w:w="1182" w:type="dxa"/>
            <w:vMerge w:val="restart"/>
            <w:noWrap w:val="0"/>
            <w:vAlign w:val="center"/>
          </w:tcPr>
          <w:p w14:paraId="1BB9B470">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14:paraId="184EA397">
            <w:pPr>
              <w:jc w:val="center"/>
              <w:rPr>
                <w:rFonts w:hint="eastAsia" w:ascii="宋体" w:hAnsi="宋体" w:cs="宋体"/>
                <w:szCs w:val="21"/>
              </w:rPr>
            </w:pPr>
            <w:r>
              <w:rPr>
                <w:rFonts w:hint="eastAsia" w:ascii="宋体" w:hAnsi="宋体" w:cs="宋体"/>
                <w:kern w:val="0"/>
                <w:szCs w:val="21"/>
              </w:rPr>
              <w:t>因公出国（境）费</w:t>
            </w:r>
          </w:p>
        </w:tc>
        <w:tc>
          <w:tcPr>
            <w:tcW w:w="3546" w:type="dxa"/>
            <w:gridSpan w:val="3"/>
            <w:noWrap w:val="0"/>
            <w:vAlign w:val="center"/>
          </w:tcPr>
          <w:p w14:paraId="429628C1">
            <w:pPr>
              <w:widowControl/>
              <w:jc w:val="center"/>
              <w:rPr>
                <w:rFonts w:hint="eastAsia" w:ascii="宋体" w:hAnsi="宋体" w:cs="宋体"/>
                <w:kern w:val="0"/>
                <w:szCs w:val="21"/>
              </w:rPr>
            </w:pPr>
            <w:r>
              <w:rPr>
                <w:rFonts w:hint="eastAsia" w:ascii="宋体" w:hAnsi="宋体" w:cs="宋体"/>
                <w:kern w:val="0"/>
                <w:szCs w:val="21"/>
              </w:rPr>
              <w:t>公务用车购置及运行维护费</w:t>
            </w:r>
          </w:p>
        </w:tc>
        <w:tc>
          <w:tcPr>
            <w:tcW w:w="1171" w:type="dxa"/>
            <w:vMerge w:val="restart"/>
            <w:noWrap w:val="0"/>
            <w:vAlign w:val="center"/>
          </w:tcPr>
          <w:p w14:paraId="3D21A698">
            <w:pPr>
              <w:jc w:val="center"/>
              <w:rPr>
                <w:rFonts w:hint="eastAsia" w:ascii="宋体" w:hAnsi="宋体" w:cs="宋体"/>
                <w:szCs w:val="21"/>
              </w:rPr>
            </w:pPr>
            <w:r>
              <w:rPr>
                <w:rFonts w:hint="eastAsia" w:ascii="宋体" w:hAnsi="宋体" w:cs="宋体"/>
                <w:kern w:val="0"/>
                <w:szCs w:val="21"/>
              </w:rPr>
              <w:t>公务接待费</w:t>
            </w:r>
          </w:p>
        </w:tc>
      </w:tr>
      <w:tr w14:paraId="6D1E2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continue"/>
            <w:noWrap w:val="0"/>
            <w:vAlign w:val="top"/>
          </w:tcPr>
          <w:p w14:paraId="70039CAC">
            <w:pPr>
              <w:spacing w:line="288" w:lineRule="auto"/>
              <w:rPr>
                <w:rFonts w:hint="eastAsia" w:ascii="宋体" w:hAnsi="宋体" w:cs="宋体"/>
                <w:szCs w:val="21"/>
              </w:rPr>
            </w:pPr>
          </w:p>
        </w:tc>
        <w:tc>
          <w:tcPr>
            <w:tcW w:w="1182" w:type="dxa"/>
            <w:vMerge w:val="continue"/>
            <w:noWrap w:val="0"/>
            <w:vAlign w:val="top"/>
          </w:tcPr>
          <w:p w14:paraId="4A38F19C">
            <w:pPr>
              <w:spacing w:line="288" w:lineRule="auto"/>
              <w:rPr>
                <w:rFonts w:hint="eastAsia" w:ascii="宋体" w:hAnsi="宋体" w:cs="宋体"/>
                <w:szCs w:val="21"/>
              </w:rPr>
            </w:pPr>
          </w:p>
        </w:tc>
        <w:tc>
          <w:tcPr>
            <w:tcW w:w="1182" w:type="dxa"/>
            <w:noWrap w:val="0"/>
            <w:vAlign w:val="center"/>
          </w:tcPr>
          <w:p w14:paraId="2D49DFAD">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14:paraId="57EC8C1A">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noWrap w:val="0"/>
            <w:vAlign w:val="center"/>
          </w:tcPr>
          <w:p w14:paraId="736959D8">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运行维护费</w:t>
            </w:r>
          </w:p>
        </w:tc>
        <w:tc>
          <w:tcPr>
            <w:tcW w:w="1182" w:type="dxa"/>
            <w:vMerge w:val="continue"/>
            <w:noWrap w:val="0"/>
            <w:vAlign w:val="top"/>
          </w:tcPr>
          <w:p w14:paraId="5083F241">
            <w:pPr>
              <w:spacing w:line="288" w:lineRule="auto"/>
              <w:rPr>
                <w:rFonts w:hint="eastAsia" w:ascii="宋体" w:hAnsi="宋体" w:cs="宋体"/>
                <w:szCs w:val="21"/>
              </w:rPr>
            </w:pPr>
          </w:p>
        </w:tc>
        <w:tc>
          <w:tcPr>
            <w:tcW w:w="1182" w:type="dxa"/>
            <w:vMerge w:val="continue"/>
            <w:noWrap w:val="0"/>
            <w:vAlign w:val="top"/>
          </w:tcPr>
          <w:p w14:paraId="05CDFA52">
            <w:pPr>
              <w:spacing w:line="288" w:lineRule="auto"/>
              <w:rPr>
                <w:rFonts w:hint="eastAsia" w:ascii="宋体" w:hAnsi="宋体" w:cs="宋体"/>
                <w:szCs w:val="21"/>
              </w:rPr>
            </w:pPr>
          </w:p>
        </w:tc>
        <w:tc>
          <w:tcPr>
            <w:tcW w:w="1182" w:type="dxa"/>
            <w:vMerge w:val="continue"/>
            <w:noWrap w:val="0"/>
            <w:vAlign w:val="top"/>
          </w:tcPr>
          <w:p w14:paraId="68EBFA7E">
            <w:pPr>
              <w:spacing w:line="288" w:lineRule="auto"/>
              <w:rPr>
                <w:rFonts w:hint="eastAsia" w:ascii="宋体" w:hAnsi="宋体" w:cs="宋体"/>
                <w:szCs w:val="21"/>
              </w:rPr>
            </w:pPr>
          </w:p>
        </w:tc>
        <w:tc>
          <w:tcPr>
            <w:tcW w:w="1182" w:type="dxa"/>
            <w:noWrap w:val="0"/>
            <w:vAlign w:val="center"/>
          </w:tcPr>
          <w:p w14:paraId="6EFDF3B7">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14:paraId="6A203E7C">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noWrap w:val="0"/>
            <w:vAlign w:val="center"/>
          </w:tcPr>
          <w:p w14:paraId="46959E65">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运行维护费</w:t>
            </w:r>
          </w:p>
        </w:tc>
        <w:tc>
          <w:tcPr>
            <w:tcW w:w="1171" w:type="dxa"/>
            <w:vMerge w:val="continue"/>
            <w:noWrap w:val="0"/>
            <w:vAlign w:val="top"/>
          </w:tcPr>
          <w:p w14:paraId="04470849">
            <w:pPr>
              <w:spacing w:line="288" w:lineRule="auto"/>
              <w:rPr>
                <w:rFonts w:hint="eastAsia" w:ascii="宋体" w:hAnsi="宋体" w:cs="宋体"/>
                <w:szCs w:val="21"/>
              </w:rPr>
            </w:pPr>
          </w:p>
        </w:tc>
      </w:tr>
      <w:tr w14:paraId="4E42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noWrap w:val="0"/>
            <w:vAlign w:val="center"/>
          </w:tcPr>
          <w:p w14:paraId="07C4178B">
            <w:pPr>
              <w:widowControl/>
              <w:jc w:val="center"/>
              <w:rPr>
                <w:rFonts w:hint="eastAsia" w:ascii="宋体" w:hAnsi="宋体" w:cs="宋体"/>
                <w:kern w:val="0"/>
                <w:szCs w:val="21"/>
              </w:rPr>
            </w:pPr>
            <w:r>
              <w:rPr>
                <w:rFonts w:hint="eastAsia" w:ascii="宋体" w:hAnsi="宋体" w:cs="宋体"/>
                <w:kern w:val="0"/>
                <w:szCs w:val="21"/>
              </w:rPr>
              <w:t>1</w:t>
            </w:r>
          </w:p>
        </w:tc>
        <w:tc>
          <w:tcPr>
            <w:tcW w:w="1182" w:type="dxa"/>
            <w:noWrap w:val="0"/>
            <w:vAlign w:val="center"/>
          </w:tcPr>
          <w:p w14:paraId="66443467">
            <w:pPr>
              <w:widowControl/>
              <w:jc w:val="center"/>
              <w:rPr>
                <w:rFonts w:hint="eastAsia" w:ascii="宋体" w:hAnsi="宋体" w:cs="宋体"/>
                <w:kern w:val="0"/>
                <w:szCs w:val="21"/>
              </w:rPr>
            </w:pPr>
            <w:r>
              <w:rPr>
                <w:rFonts w:hint="eastAsia" w:ascii="宋体" w:hAnsi="宋体" w:cs="宋体"/>
                <w:kern w:val="0"/>
                <w:szCs w:val="21"/>
              </w:rPr>
              <w:t>2</w:t>
            </w:r>
          </w:p>
        </w:tc>
        <w:tc>
          <w:tcPr>
            <w:tcW w:w="1182" w:type="dxa"/>
            <w:noWrap w:val="0"/>
            <w:vAlign w:val="center"/>
          </w:tcPr>
          <w:p w14:paraId="5D2058BD">
            <w:pPr>
              <w:widowControl/>
              <w:jc w:val="center"/>
              <w:rPr>
                <w:rFonts w:hint="eastAsia" w:ascii="宋体" w:hAnsi="宋体" w:cs="宋体"/>
                <w:kern w:val="0"/>
                <w:szCs w:val="21"/>
              </w:rPr>
            </w:pPr>
            <w:r>
              <w:rPr>
                <w:rFonts w:hint="eastAsia" w:ascii="宋体" w:hAnsi="宋体" w:cs="宋体"/>
                <w:kern w:val="0"/>
                <w:szCs w:val="21"/>
              </w:rPr>
              <w:t>3</w:t>
            </w:r>
          </w:p>
        </w:tc>
        <w:tc>
          <w:tcPr>
            <w:tcW w:w="1182" w:type="dxa"/>
            <w:noWrap w:val="0"/>
            <w:vAlign w:val="center"/>
          </w:tcPr>
          <w:p w14:paraId="7ED6ADD6">
            <w:pPr>
              <w:widowControl/>
              <w:jc w:val="center"/>
              <w:rPr>
                <w:rFonts w:hint="eastAsia" w:ascii="宋体" w:hAnsi="宋体" w:cs="宋体"/>
                <w:kern w:val="0"/>
                <w:szCs w:val="21"/>
              </w:rPr>
            </w:pPr>
            <w:r>
              <w:rPr>
                <w:rFonts w:hint="eastAsia" w:ascii="宋体" w:hAnsi="宋体" w:cs="宋体"/>
                <w:kern w:val="0"/>
                <w:szCs w:val="21"/>
              </w:rPr>
              <w:t>4</w:t>
            </w:r>
          </w:p>
        </w:tc>
        <w:tc>
          <w:tcPr>
            <w:tcW w:w="1182" w:type="dxa"/>
            <w:noWrap w:val="0"/>
            <w:vAlign w:val="center"/>
          </w:tcPr>
          <w:p w14:paraId="01E7A8FA">
            <w:pPr>
              <w:widowControl/>
              <w:jc w:val="center"/>
              <w:rPr>
                <w:rFonts w:hint="eastAsia" w:ascii="宋体" w:hAnsi="宋体" w:cs="宋体"/>
                <w:kern w:val="0"/>
                <w:szCs w:val="21"/>
              </w:rPr>
            </w:pPr>
            <w:r>
              <w:rPr>
                <w:rFonts w:hint="eastAsia" w:ascii="宋体" w:hAnsi="宋体" w:cs="宋体"/>
                <w:kern w:val="0"/>
                <w:szCs w:val="21"/>
              </w:rPr>
              <w:t>5</w:t>
            </w:r>
          </w:p>
        </w:tc>
        <w:tc>
          <w:tcPr>
            <w:tcW w:w="1182" w:type="dxa"/>
            <w:noWrap w:val="0"/>
            <w:vAlign w:val="center"/>
          </w:tcPr>
          <w:p w14:paraId="1E7B5419">
            <w:pPr>
              <w:widowControl/>
              <w:jc w:val="center"/>
              <w:rPr>
                <w:rFonts w:hint="eastAsia" w:ascii="宋体" w:hAnsi="宋体" w:cs="宋体"/>
                <w:kern w:val="0"/>
                <w:szCs w:val="21"/>
              </w:rPr>
            </w:pPr>
            <w:r>
              <w:rPr>
                <w:rFonts w:hint="eastAsia" w:ascii="宋体" w:hAnsi="宋体" w:cs="宋体"/>
                <w:kern w:val="0"/>
                <w:szCs w:val="21"/>
              </w:rPr>
              <w:t>6</w:t>
            </w:r>
          </w:p>
        </w:tc>
        <w:tc>
          <w:tcPr>
            <w:tcW w:w="1182" w:type="dxa"/>
            <w:noWrap w:val="0"/>
            <w:vAlign w:val="center"/>
          </w:tcPr>
          <w:p w14:paraId="28218258">
            <w:pPr>
              <w:widowControl/>
              <w:jc w:val="center"/>
              <w:rPr>
                <w:rFonts w:hint="eastAsia" w:ascii="宋体" w:hAnsi="宋体" w:cs="宋体"/>
                <w:kern w:val="0"/>
                <w:szCs w:val="21"/>
              </w:rPr>
            </w:pPr>
            <w:r>
              <w:rPr>
                <w:rFonts w:hint="eastAsia" w:ascii="宋体" w:hAnsi="宋体" w:cs="宋体"/>
                <w:kern w:val="0"/>
                <w:szCs w:val="21"/>
              </w:rPr>
              <w:t>7</w:t>
            </w:r>
          </w:p>
        </w:tc>
        <w:tc>
          <w:tcPr>
            <w:tcW w:w="1182" w:type="dxa"/>
            <w:noWrap w:val="0"/>
            <w:vAlign w:val="center"/>
          </w:tcPr>
          <w:p w14:paraId="5C68C9B6">
            <w:pPr>
              <w:widowControl/>
              <w:jc w:val="center"/>
              <w:rPr>
                <w:rFonts w:hint="eastAsia" w:ascii="宋体" w:hAnsi="宋体" w:cs="宋体"/>
                <w:kern w:val="0"/>
                <w:szCs w:val="21"/>
              </w:rPr>
            </w:pPr>
            <w:r>
              <w:rPr>
                <w:rFonts w:hint="eastAsia" w:ascii="宋体" w:hAnsi="宋体" w:cs="宋体"/>
                <w:kern w:val="0"/>
                <w:szCs w:val="21"/>
              </w:rPr>
              <w:t>8</w:t>
            </w:r>
          </w:p>
        </w:tc>
        <w:tc>
          <w:tcPr>
            <w:tcW w:w="1182" w:type="dxa"/>
            <w:noWrap w:val="0"/>
            <w:vAlign w:val="center"/>
          </w:tcPr>
          <w:p w14:paraId="14E47289">
            <w:pPr>
              <w:widowControl/>
              <w:jc w:val="center"/>
              <w:rPr>
                <w:rFonts w:hint="eastAsia" w:ascii="宋体" w:hAnsi="宋体" w:cs="宋体"/>
                <w:kern w:val="0"/>
                <w:szCs w:val="21"/>
              </w:rPr>
            </w:pPr>
            <w:r>
              <w:rPr>
                <w:rFonts w:hint="eastAsia" w:ascii="宋体" w:hAnsi="宋体" w:cs="宋体"/>
                <w:kern w:val="0"/>
                <w:szCs w:val="21"/>
              </w:rPr>
              <w:t>9</w:t>
            </w:r>
          </w:p>
        </w:tc>
        <w:tc>
          <w:tcPr>
            <w:tcW w:w="1182" w:type="dxa"/>
            <w:noWrap w:val="0"/>
            <w:vAlign w:val="center"/>
          </w:tcPr>
          <w:p w14:paraId="5C7C198D">
            <w:pPr>
              <w:widowControl/>
              <w:jc w:val="center"/>
              <w:rPr>
                <w:rFonts w:hint="eastAsia" w:ascii="宋体" w:hAnsi="宋体" w:cs="宋体"/>
                <w:kern w:val="0"/>
                <w:szCs w:val="21"/>
              </w:rPr>
            </w:pPr>
            <w:r>
              <w:rPr>
                <w:rFonts w:hint="eastAsia" w:ascii="宋体" w:hAnsi="宋体" w:cs="宋体"/>
                <w:kern w:val="0"/>
                <w:szCs w:val="21"/>
              </w:rPr>
              <w:t>10</w:t>
            </w:r>
          </w:p>
        </w:tc>
        <w:tc>
          <w:tcPr>
            <w:tcW w:w="1182" w:type="dxa"/>
            <w:noWrap w:val="0"/>
            <w:vAlign w:val="center"/>
          </w:tcPr>
          <w:p w14:paraId="7701D34D">
            <w:pPr>
              <w:widowControl/>
              <w:jc w:val="center"/>
              <w:rPr>
                <w:rFonts w:hint="eastAsia" w:ascii="宋体" w:hAnsi="宋体" w:cs="宋体"/>
                <w:kern w:val="0"/>
                <w:szCs w:val="21"/>
              </w:rPr>
            </w:pPr>
            <w:r>
              <w:rPr>
                <w:rFonts w:hint="eastAsia" w:ascii="宋体" w:hAnsi="宋体" w:cs="宋体"/>
                <w:kern w:val="0"/>
                <w:szCs w:val="21"/>
              </w:rPr>
              <w:t>11</w:t>
            </w:r>
          </w:p>
        </w:tc>
        <w:tc>
          <w:tcPr>
            <w:tcW w:w="1171" w:type="dxa"/>
            <w:noWrap w:val="0"/>
            <w:vAlign w:val="center"/>
          </w:tcPr>
          <w:p w14:paraId="4D45EE86">
            <w:pPr>
              <w:widowControl/>
              <w:jc w:val="center"/>
              <w:rPr>
                <w:rFonts w:hint="eastAsia" w:ascii="宋体" w:hAnsi="宋体" w:cs="宋体"/>
                <w:kern w:val="0"/>
                <w:szCs w:val="21"/>
              </w:rPr>
            </w:pPr>
            <w:r>
              <w:rPr>
                <w:rFonts w:hint="eastAsia" w:ascii="宋体" w:hAnsi="宋体" w:cs="宋体"/>
                <w:kern w:val="0"/>
                <w:szCs w:val="21"/>
              </w:rPr>
              <w:t>12</w:t>
            </w:r>
          </w:p>
        </w:tc>
      </w:tr>
      <w:tr w14:paraId="531B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noWrap w:val="0"/>
            <w:vAlign w:val="center"/>
          </w:tcPr>
          <w:p w14:paraId="77D264E3">
            <w:pPr>
              <w:widowControl/>
              <w:jc w:val="right"/>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5.42</w:t>
            </w:r>
          </w:p>
        </w:tc>
        <w:tc>
          <w:tcPr>
            <w:tcW w:w="1182" w:type="dxa"/>
            <w:noWrap w:val="0"/>
            <w:vAlign w:val="center"/>
          </w:tcPr>
          <w:p w14:paraId="4D5EABE3">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11BE20D0">
            <w:pPr>
              <w:widowControl/>
              <w:jc w:val="right"/>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1.70</w:t>
            </w:r>
          </w:p>
        </w:tc>
        <w:tc>
          <w:tcPr>
            <w:tcW w:w="1182" w:type="dxa"/>
            <w:noWrap w:val="0"/>
            <w:vAlign w:val="center"/>
          </w:tcPr>
          <w:p w14:paraId="3F02F800">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2FC129E7">
            <w:pPr>
              <w:widowControl/>
              <w:jc w:val="right"/>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1.70</w:t>
            </w:r>
          </w:p>
        </w:tc>
        <w:tc>
          <w:tcPr>
            <w:tcW w:w="1182" w:type="dxa"/>
            <w:noWrap w:val="0"/>
            <w:vAlign w:val="center"/>
          </w:tcPr>
          <w:p w14:paraId="61F6E8B1">
            <w:pPr>
              <w:widowControl/>
              <w:jc w:val="right"/>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3.72</w:t>
            </w:r>
          </w:p>
        </w:tc>
        <w:tc>
          <w:tcPr>
            <w:tcW w:w="1182" w:type="dxa"/>
            <w:noWrap w:val="0"/>
            <w:vAlign w:val="center"/>
          </w:tcPr>
          <w:p w14:paraId="3D00B007">
            <w:pPr>
              <w:widowControl/>
              <w:jc w:val="right"/>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5.42</w:t>
            </w:r>
          </w:p>
        </w:tc>
        <w:tc>
          <w:tcPr>
            <w:tcW w:w="1182" w:type="dxa"/>
            <w:noWrap w:val="0"/>
            <w:vAlign w:val="center"/>
          </w:tcPr>
          <w:p w14:paraId="10F93DC7">
            <w:pPr>
              <w:widowControl/>
              <w:jc w:val="right"/>
              <w:rPr>
                <w:rFonts w:hint="eastAsia" w:ascii="宋体" w:hAnsi="宋体" w:cs="宋体"/>
                <w:kern w:val="0"/>
                <w:szCs w:val="21"/>
              </w:rPr>
            </w:pPr>
            <w:r>
              <w:rPr>
                <w:rFonts w:hint="eastAsia" w:ascii="宋体" w:hAnsi="宋体" w:cs="宋体"/>
                <w:kern w:val="0"/>
                <w:szCs w:val="21"/>
              </w:rPr>
              <w:t>0.00</w:t>
            </w:r>
          </w:p>
        </w:tc>
        <w:tc>
          <w:tcPr>
            <w:tcW w:w="1182" w:type="dxa"/>
            <w:shd w:val="clear"/>
            <w:noWrap w:val="0"/>
            <w:vAlign w:val="center"/>
          </w:tcPr>
          <w:p w14:paraId="7B78195F">
            <w:pPr>
              <w:widowControl/>
              <w:jc w:val="right"/>
              <w:rPr>
                <w:rFonts w:hint="eastAsia" w:ascii="宋体" w:hAnsi="宋体" w:cs="宋体" w:eastAsiaTheme="minorEastAsia"/>
                <w:kern w:val="0"/>
                <w:sz w:val="21"/>
                <w:szCs w:val="21"/>
                <w:lang w:val="en-US" w:eastAsia="zh-CN" w:bidi="ar-SA"/>
              </w:rPr>
            </w:pPr>
            <w:r>
              <w:rPr>
                <w:rFonts w:hint="eastAsia" w:ascii="宋体" w:hAnsi="宋体" w:cs="宋体"/>
                <w:kern w:val="0"/>
                <w:szCs w:val="21"/>
                <w:lang w:val="en-US" w:eastAsia="zh-CN"/>
              </w:rPr>
              <w:t>1.70</w:t>
            </w:r>
          </w:p>
        </w:tc>
        <w:tc>
          <w:tcPr>
            <w:tcW w:w="1182" w:type="dxa"/>
            <w:shd w:val="clear"/>
            <w:noWrap w:val="0"/>
            <w:vAlign w:val="center"/>
          </w:tcPr>
          <w:p w14:paraId="59B24361">
            <w:pPr>
              <w:widowControl/>
              <w:jc w:val="right"/>
              <w:rPr>
                <w:rFonts w:hint="eastAsia" w:ascii="宋体" w:hAnsi="宋体" w:cs="宋体" w:eastAsiaTheme="minorEastAsia"/>
                <w:kern w:val="0"/>
                <w:sz w:val="21"/>
                <w:szCs w:val="21"/>
                <w:lang w:val="en-US" w:eastAsia="zh-CN" w:bidi="ar-SA"/>
              </w:rPr>
            </w:pPr>
            <w:r>
              <w:rPr>
                <w:rFonts w:hint="eastAsia" w:ascii="宋体" w:hAnsi="宋体" w:cs="宋体"/>
                <w:kern w:val="0"/>
                <w:szCs w:val="21"/>
              </w:rPr>
              <w:t>0.00</w:t>
            </w:r>
          </w:p>
        </w:tc>
        <w:tc>
          <w:tcPr>
            <w:tcW w:w="1182" w:type="dxa"/>
            <w:shd w:val="clear"/>
            <w:noWrap w:val="0"/>
            <w:vAlign w:val="center"/>
          </w:tcPr>
          <w:p w14:paraId="74F22B8D">
            <w:pPr>
              <w:widowControl/>
              <w:jc w:val="right"/>
              <w:rPr>
                <w:rFonts w:hint="eastAsia" w:ascii="宋体" w:hAnsi="宋体" w:cs="宋体" w:eastAsiaTheme="minorEastAsia"/>
                <w:kern w:val="0"/>
                <w:sz w:val="21"/>
                <w:szCs w:val="21"/>
                <w:lang w:val="en-US" w:eastAsia="zh-CN" w:bidi="ar-SA"/>
              </w:rPr>
            </w:pPr>
            <w:r>
              <w:rPr>
                <w:rFonts w:hint="eastAsia" w:ascii="宋体" w:hAnsi="宋体" w:cs="宋体"/>
                <w:kern w:val="0"/>
                <w:szCs w:val="21"/>
                <w:lang w:val="en-US" w:eastAsia="zh-CN"/>
              </w:rPr>
              <w:t>1.70</w:t>
            </w:r>
          </w:p>
        </w:tc>
        <w:tc>
          <w:tcPr>
            <w:tcW w:w="1171" w:type="dxa"/>
            <w:shd w:val="clear"/>
            <w:noWrap w:val="0"/>
            <w:vAlign w:val="center"/>
          </w:tcPr>
          <w:p w14:paraId="6F7ACF0A">
            <w:pPr>
              <w:widowControl/>
              <w:jc w:val="right"/>
              <w:rPr>
                <w:rFonts w:hint="eastAsia" w:ascii="宋体" w:hAnsi="宋体" w:cs="宋体" w:eastAsiaTheme="minorEastAsia"/>
                <w:kern w:val="0"/>
                <w:sz w:val="21"/>
                <w:szCs w:val="21"/>
                <w:lang w:val="en-US" w:eastAsia="zh-CN" w:bidi="ar-SA"/>
              </w:rPr>
            </w:pPr>
            <w:r>
              <w:rPr>
                <w:rFonts w:hint="eastAsia" w:ascii="宋体" w:hAnsi="宋体" w:cs="宋体"/>
                <w:kern w:val="0"/>
                <w:szCs w:val="21"/>
                <w:lang w:val="en-US" w:eastAsia="zh-CN"/>
              </w:rPr>
              <w:t>3.72</w:t>
            </w:r>
          </w:p>
        </w:tc>
      </w:tr>
    </w:tbl>
    <w:p w14:paraId="5D62CBEC">
      <w:pPr>
        <w:spacing w:line="360" w:lineRule="auto"/>
        <w:ind w:firstLine="420" w:firstLineChars="200"/>
        <w:rPr>
          <w:rFonts w:hint="eastAsia" w:ascii="宋体" w:hAnsi="宋体" w:cs="宋体"/>
          <w:szCs w:val="21"/>
        </w:rPr>
      </w:pPr>
      <w:r>
        <w:rPr>
          <w:rFonts w:hint="eastAsia" w:ascii="宋体" w:hAnsi="宋体" w:cs="宋体"/>
          <w:szCs w:val="21"/>
        </w:rPr>
        <w:t>注：本表反映部门（单位）本年度财政拨款“三公”经费支出预决算情况。其中，预算数为“三公”经费全年预算数，反映按规定程序调整后的预算数；决算数是包括当年财政拨款和以前年度结转资金安排的实际支出。</w:t>
      </w:r>
    </w:p>
    <w:p w14:paraId="081565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仿宋_GB2312" w:hAnsi="仿宋_GB2312" w:eastAsia="仿宋_GB2312" w:cs="仿宋_GB2312"/>
          <w:b/>
          <w:bCs/>
          <w:i w:val="0"/>
          <w:iCs w:val="0"/>
          <w:caps w:val="0"/>
          <w:color w:val="525252"/>
          <w:spacing w:val="13"/>
          <w:kern w:val="0"/>
          <w:sz w:val="32"/>
          <w:szCs w:val="32"/>
          <w:lang w:val="en-US" w:eastAsia="zh-CN" w:bidi="ar"/>
        </w:rPr>
      </w:pPr>
    </w:p>
    <w:p w14:paraId="3E33A1DC">
      <w:pPr>
        <w:ind w:firstLine="643" w:firstLineChars="200"/>
      </w:pPr>
      <w:r>
        <w:rPr>
          <w:rFonts w:hint="eastAsia" w:ascii="仿宋_GB2312" w:hAnsi="宋体" w:eastAsia="仿宋_GB2312" w:cs="宋体"/>
          <w:b/>
          <w:sz w:val="32"/>
          <w:szCs w:val="32"/>
        </w:rPr>
        <w:t>（一）“三公”经费财政拨款支出决算总体情况说明</w:t>
      </w:r>
      <w:bookmarkStart w:id="1" w:name="PO_part3A3B1C1Year2"/>
      <w:r>
        <w:rPr>
          <w:rFonts w:ascii="仿宋" w:hAnsi="仿宋" w:eastAsia="仿宋" w:cs="仿宋"/>
          <w:b/>
          <w:bCs/>
          <w:color w:val="000000"/>
          <w:kern w:val="0"/>
          <w:sz w:val="30"/>
          <w:szCs w:val="30"/>
          <w:lang w:val="en-US" w:eastAsia="zh-CN" w:bidi="ar"/>
        </w:rPr>
        <w:t xml:space="preserve"> </w:t>
      </w:r>
    </w:p>
    <w:p w14:paraId="302CF29A">
      <w:pPr>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 xml:space="preserve">徐闻县曲界镇人民政府2025年度“三公”经费财政拨款支出 决算为5.42万元，完成全年预算5.42万元的100%，比上年决算数减少0.78万元，下降12.6%。其中：因公出国（境）费支出决算为 0万元，完成预算0万元的--%（基数为0，不可比），比上年决算数增加0万元，增长--（基数为0，不可比）；公务用车购置及运行维护费支出决算为1.7万元，完成预算1.7万元的100%，比上年决算数减少3.4万元，下降66.6%；其中：公务用车购置支出决算为0万元，完成预算0万元的--%（基数为0，不可比），比上年决算数增加0万元，增长--（基数为0，不可比）；公务用车运行维护费支出决算为1.7万元，完成预算1.7万元的100%，比上年决算数减少3.4万元，下降66.6%；公务接待费支出决算为3.72万元，完成预算3.72万元的100%，比上年决算数增加2.61万元，增长 236.4%。 </w:t>
      </w:r>
    </w:p>
    <w:p w14:paraId="02F7DAFD">
      <w:pPr>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 xml:space="preserve">2025年度“三公”经费支出决算等于预算数的主要情况：本单位从严控制“三公”经费开支，使全年实际支出与全年预算数平衡。 </w:t>
      </w:r>
    </w:p>
    <w:p w14:paraId="449B5E2B">
      <w:pPr>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2025年度“三公”经费支出决算小于上年决算数的主要情况：由于财政资金运转困难，三公经费使用限制支付条件导致单位未能及时报销本年度的三公支出费用，因此本年度三公经费支出少于上年决算数。</w:t>
      </w:r>
    </w:p>
    <w:bookmarkEnd w:id="1"/>
    <w:p w14:paraId="7522F24B">
      <w:pPr>
        <w:numPr>
          <w:ilvl w:val="0"/>
          <w:numId w:val="1"/>
        </w:numPr>
        <w:ind w:firstLine="643" w:firstLineChars="200"/>
        <w:rPr>
          <w:rFonts w:hint="eastAsia" w:ascii="仿宋_GB2312" w:hAnsi="宋体" w:eastAsia="仿宋_GB2312" w:cs="宋体"/>
          <w:b/>
          <w:sz w:val="32"/>
          <w:szCs w:val="32"/>
        </w:rPr>
      </w:pPr>
      <w:r>
        <w:rPr>
          <w:rFonts w:hint="eastAsia" w:ascii="仿宋_GB2312" w:hAnsi="宋体" w:eastAsia="仿宋_GB2312" w:cs="宋体"/>
          <w:b/>
          <w:sz w:val="32"/>
          <w:szCs w:val="32"/>
        </w:rPr>
        <w:t>“三公”经费财政拨款支出决算具体情况说明</w:t>
      </w:r>
    </w:p>
    <w:p w14:paraId="13999B4D">
      <w:pPr>
        <w:ind w:firstLine="640" w:firstLineChars="200"/>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 xml:space="preserve">2025年度“三公”经费财政拨款支出决算中，因公出国（境）费0万元，占0%；公务用车购置及运行维护费支出1.7万元，占31.4%；公务接待费支出3.72万元，占68.6%。具体情况如下： </w:t>
      </w:r>
    </w:p>
    <w:p w14:paraId="0B039460">
      <w:pPr>
        <w:ind w:firstLine="640" w:firstLineChars="200"/>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 xml:space="preserve">1.因公出国（境）费支出0万元。全年使用财政拨款安排出国（境）团组0个、累计0人次。 </w:t>
      </w:r>
    </w:p>
    <w:p w14:paraId="07F78BC1">
      <w:pPr>
        <w:ind w:firstLine="640" w:firstLineChars="200"/>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 xml:space="preserve">2.公务用车购置及运行维护费支出1.7万元，其中：公务用车购置支出为0万元，公务用车购置数0辆。公务用车运行维护费支出1.7万元，公务用车保有量为2辆，主要用于领导干部日常下乡调研指导相关工作、检查督导百千万工程相关工作和正常公务出领导干部参加会议或公务活动、公务接待等；公务用车运行及维护支出主要用于公务用车充值油卡费用、维修保养费用以及购买车辆保险费用。 </w:t>
      </w:r>
    </w:p>
    <w:p w14:paraId="6A200A71">
      <w:pPr>
        <w:ind w:firstLine="640" w:firstLineChars="200"/>
      </w:pPr>
      <w:r>
        <w:rPr>
          <w:rFonts w:hint="eastAsia" w:ascii="仿宋_GB2312" w:hAnsi="宋体" w:eastAsia="仿宋_GB2312" w:cs="宋体"/>
          <w:sz w:val="32"/>
          <w:szCs w:val="32"/>
          <w:lang w:val="en-US" w:eastAsia="zh-CN"/>
        </w:rPr>
        <w:t>3.公务接待费支出3.72万元，主要用于单位按照三公经费使用规定开支的各类公务接待费用如接待到本单位考察调研、指导检查工作、学习交流的省、市、县机关部门领导同志和其他乡镇单位领导同志等的餐饮等费用，共接待国外、境外来访团组0个，来访外宾0人次；发生国内接待65次，接待人数共745人。主要包括接待到本单位考察调研、指导检查工作、学习交流的市、县机关部门领导同志和其他乡镇单位领导同志等公务活动人员。</w:t>
      </w:r>
      <w:bookmarkStart w:id="2" w:name="_GoBack"/>
      <w:bookmarkEnd w:id="2"/>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026D87"/>
    <w:multiLevelType w:val="singleLevel"/>
    <w:tmpl w:val="74026D8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yZTI4MzM0YTkzY2E0ZjI4ZmNlMGIxODNmMTM1YjEifQ=="/>
  </w:docVars>
  <w:rsids>
    <w:rsidRoot w:val="75CB36A1"/>
    <w:rsid w:val="0754675F"/>
    <w:rsid w:val="202D3B9A"/>
    <w:rsid w:val="26811F3C"/>
    <w:rsid w:val="279627D2"/>
    <w:rsid w:val="30BC0D4E"/>
    <w:rsid w:val="45B25BFB"/>
    <w:rsid w:val="5C14771E"/>
    <w:rsid w:val="75CB36A1"/>
    <w:rsid w:val="78EA5A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1466</Words>
  <Characters>1601</Characters>
  <Lines>0</Lines>
  <Paragraphs>0</Paragraphs>
  <TotalTime>6</TotalTime>
  <ScaleCrop>false</ScaleCrop>
  <LinksUpToDate>false</LinksUpToDate>
  <CharactersWithSpaces>1665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2025-10-06T02:55:00Z</dcterms:created>
  <dc:creator>超</dc:creator>
  <cp:lastModifiedBy>文</cp:lastModifiedBy>
  <dcterms:modified xsi:type="dcterms:W3CDTF">2026-09-04T07:28:40Z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29C3D338A0F747439D9088CFFA86D4E6_11</vt:lpwstr>
  </property>
  <property fmtid="{D5CDD505-2E9C-101B-9397-08002B2CF9AE}" pid="4" name="KSOTemplateDocerSaveRecord">
    <vt:lpwstr>eyJoZGlkIjoiZWMwZjdlNDBkYTA5MWY2N2M5NDU3NGUyZjNlYWM0YTciLCJ1c2VySWQiOiI4OTUyNDY1MDcifQ==</vt:lpwstr>
  </property>
</Properties>
</file>