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91D7AA">
      <w:pPr>
        <w:jc w:val="center"/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 </w:t>
      </w:r>
    </w:p>
    <w:p w14:paraId="34A37F4E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 xml:space="preserve"> 2025年徐闻县特殊教育学校“三公</w:t>
      </w:r>
      <w:r>
        <w:rPr>
          <w:rFonts w:hint="default" w:ascii="仿宋_GB2312" w:hAnsi="宋体" w:eastAsia="仿宋_GB2312" w:cs="宋体"/>
          <w:b/>
          <w:sz w:val="44"/>
          <w:szCs w:val="44"/>
          <w:lang w:val="en-US" w:eastAsia="zh-CN"/>
        </w:rPr>
        <w:t>”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>经费决算公开</w:t>
      </w:r>
    </w:p>
    <w:p w14:paraId="05AA9E84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p w14:paraId="35F2358F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3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71"/>
      </w:tblGrid>
      <w:tr w14:paraId="51C0E6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3A2F763"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表9</w:t>
            </w:r>
          </w:p>
        </w:tc>
      </w:tr>
      <w:tr w14:paraId="2F6BD1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7CF647BD">
            <w:pPr>
              <w:jc w:val="center"/>
              <w:rPr>
                <w:rFonts w:hint="eastAsia" w:ascii="宋体" w:hAnsi="宋体" w:cs="宋体"/>
                <w:b/>
              </w:rPr>
            </w:pPr>
            <w:r>
              <w:rPr>
                <w:rFonts w:hint="eastAsia" w:ascii="宋体" w:hAnsi="宋体" w:cs="宋体"/>
                <w:b/>
                <w:kern w:val="0"/>
                <w:sz w:val="32"/>
                <w:szCs w:val="32"/>
              </w:rPr>
              <w:t>财政拨款“三公”经费支出决算表</w:t>
            </w:r>
          </w:p>
        </w:tc>
      </w:tr>
      <w:tr w14:paraId="576281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0639" w:type="dxa"/>
            <w:gridSpan w:val="9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54F44F76">
            <w:pPr>
              <w:spacing w:line="288" w:lineRule="auto"/>
              <w:jc w:val="left"/>
              <w:rPr>
                <w:rFonts w:hint="default" w:ascii="宋体" w:hAnsi="宋体" w:cs="宋体" w:eastAsiaTheme="minorEastAsia"/>
                <w:sz w:val="28"/>
                <w:szCs w:val="28"/>
                <w:lang w:val="en-US" w:eastAsia="zh-CN"/>
              </w:rPr>
            </w:pPr>
            <w:bookmarkStart w:id="0" w:name="PO_part2DivName9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 单位 </w:t>
            </w:r>
            <w:bookmarkEnd w:id="0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：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eastAsia="zh-CN"/>
              </w:rPr>
              <w:t>徐闻县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/>
              </w:rPr>
              <w:t>特殊教育学校</w:t>
            </w:r>
          </w:p>
        </w:tc>
        <w:tc>
          <w:tcPr>
            <w:tcW w:w="3535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6B02612A"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单位：万元</w:t>
            </w:r>
          </w:p>
        </w:tc>
      </w:tr>
      <w:tr w14:paraId="1D80FE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7093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6B6D10DB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预算数</w:t>
            </w:r>
          </w:p>
        </w:tc>
        <w:tc>
          <w:tcPr>
            <w:tcW w:w="7081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3C2BAD0C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决算数</w:t>
            </w:r>
          </w:p>
        </w:tc>
      </w:tr>
      <w:tr w14:paraId="7E3E09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restart"/>
            <w:noWrap w:val="0"/>
            <w:vAlign w:val="center"/>
          </w:tcPr>
          <w:p w14:paraId="29F0A20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0626D84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 w14:paraId="338A4D43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07ADDF4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1BB9B470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184EA397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 w14:paraId="429628C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71" w:type="dxa"/>
            <w:vMerge w:val="restart"/>
            <w:noWrap w:val="0"/>
            <w:vAlign w:val="center"/>
          </w:tcPr>
          <w:p w14:paraId="3D21A698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</w:tr>
      <w:tr w14:paraId="6D1E2B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continue"/>
            <w:noWrap w:val="0"/>
            <w:vAlign w:val="top"/>
          </w:tcPr>
          <w:p w14:paraId="70039CAC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4A38F19C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2D49DFA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 w14:paraId="57EC8C1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 w14:paraId="736959D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82" w:type="dxa"/>
            <w:vMerge w:val="continue"/>
            <w:noWrap w:val="0"/>
            <w:vAlign w:val="top"/>
          </w:tcPr>
          <w:p w14:paraId="5083F241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05CDFA52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68EBFA7E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6EFDF3B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 w14:paraId="6A203E7C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 w14:paraId="46959E65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71" w:type="dxa"/>
            <w:vMerge w:val="continue"/>
            <w:noWrap w:val="0"/>
            <w:vAlign w:val="top"/>
          </w:tcPr>
          <w:p w14:paraId="04470849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</w:tr>
      <w:tr w14:paraId="4E4231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 w14:paraId="07C4178B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1182" w:type="dxa"/>
            <w:noWrap w:val="0"/>
            <w:vAlign w:val="center"/>
          </w:tcPr>
          <w:p w14:paraId="6644346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2</w:t>
            </w:r>
          </w:p>
        </w:tc>
        <w:tc>
          <w:tcPr>
            <w:tcW w:w="1182" w:type="dxa"/>
            <w:noWrap w:val="0"/>
            <w:vAlign w:val="center"/>
          </w:tcPr>
          <w:p w14:paraId="5D2058B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3</w:t>
            </w:r>
          </w:p>
        </w:tc>
        <w:tc>
          <w:tcPr>
            <w:tcW w:w="1182" w:type="dxa"/>
            <w:noWrap w:val="0"/>
            <w:vAlign w:val="center"/>
          </w:tcPr>
          <w:p w14:paraId="7ED6ADD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</w:t>
            </w:r>
          </w:p>
        </w:tc>
        <w:tc>
          <w:tcPr>
            <w:tcW w:w="1182" w:type="dxa"/>
            <w:noWrap w:val="0"/>
            <w:vAlign w:val="center"/>
          </w:tcPr>
          <w:p w14:paraId="01E7A8F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5</w:t>
            </w:r>
          </w:p>
        </w:tc>
        <w:tc>
          <w:tcPr>
            <w:tcW w:w="1182" w:type="dxa"/>
            <w:noWrap w:val="0"/>
            <w:vAlign w:val="center"/>
          </w:tcPr>
          <w:p w14:paraId="1E7B541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</w:t>
            </w:r>
          </w:p>
        </w:tc>
        <w:tc>
          <w:tcPr>
            <w:tcW w:w="1182" w:type="dxa"/>
            <w:noWrap w:val="0"/>
            <w:vAlign w:val="center"/>
          </w:tcPr>
          <w:p w14:paraId="2821825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7</w:t>
            </w:r>
          </w:p>
        </w:tc>
        <w:tc>
          <w:tcPr>
            <w:tcW w:w="1182" w:type="dxa"/>
            <w:noWrap w:val="0"/>
            <w:vAlign w:val="center"/>
          </w:tcPr>
          <w:p w14:paraId="5C68C9B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8</w:t>
            </w:r>
          </w:p>
        </w:tc>
        <w:tc>
          <w:tcPr>
            <w:tcW w:w="1182" w:type="dxa"/>
            <w:noWrap w:val="0"/>
            <w:vAlign w:val="center"/>
          </w:tcPr>
          <w:p w14:paraId="14E4728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9</w:t>
            </w:r>
          </w:p>
        </w:tc>
        <w:tc>
          <w:tcPr>
            <w:tcW w:w="1182" w:type="dxa"/>
            <w:noWrap w:val="0"/>
            <w:vAlign w:val="center"/>
          </w:tcPr>
          <w:p w14:paraId="5C7C198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10</w:t>
            </w:r>
          </w:p>
        </w:tc>
        <w:tc>
          <w:tcPr>
            <w:tcW w:w="1182" w:type="dxa"/>
            <w:noWrap w:val="0"/>
            <w:vAlign w:val="center"/>
          </w:tcPr>
          <w:p w14:paraId="7701D34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11</w:t>
            </w:r>
          </w:p>
        </w:tc>
        <w:tc>
          <w:tcPr>
            <w:tcW w:w="1171" w:type="dxa"/>
            <w:noWrap w:val="0"/>
            <w:vAlign w:val="center"/>
          </w:tcPr>
          <w:p w14:paraId="4D45EE8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12</w:t>
            </w:r>
          </w:p>
        </w:tc>
      </w:tr>
      <w:tr w14:paraId="531B11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 w14:paraId="77D264E3">
            <w:pPr>
              <w:widowControl/>
              <w:jc w:val="righ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4D5EABE3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11BE20D0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3F02F800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2FC129E7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61F6E8B1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3D00B007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10F93DC7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7B78195F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59B24361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74F22B8D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71" w:type="dxa"/>
            <w:noWrap w:val="0"/>
            <w:vAlign w:val="center"/>
          </w:tcPr>
          <w:p w14:paraId="6F7ACF0A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</w:tr>
    </w:tbl>
    <w:p w14:paraId="5D62CBEC">
      <w:pPr>
        <w:spacing w:line="360" w:lineRule="auto"/>
        <w:ind w:firstLine="420" w:firstLineChars="200"/>
        <w:rPr>
          <w:rFonts w:hint="eastAsia"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注：本表反映部门（单位）本年度财政拨款“三公”经费支出预决算情况。其中，预算数为“三公”经费全年预算数，反映按规定程序调整后的预算数；决算数是包括当年财政拨款和以前年度结转资金安排的实际支出。</w:t>
      </w:r>
    </w:p>
    <w:p w14:paraId="081565A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default" w:ascii="仿宋_GB2312" w:hAnsi="仿宋_GB2312" w:eastAsia="仿宋_GB2312" w:cs="仿宋_GB2312"/>
          <w:b/>
          <w:bCs/>
          <w:i w:val="0"/>
          <w:iCs w:val="0"/>
          <w:caps w:val="0"/>
          <w:color w:val="525252"/>
          <w:spacing w:val="13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525252"/>
          <w:spacing w:val="13"/>
          <w:kern w:val="0"/>
          <w:sz w:val="32"/>
          <w:szCs w:val="32"/>
          <w:lang w:val="en-US" w:eastAsia="zh-CN" w:bidi="ar"/>
        </w:rPr>
        <w:t xml:space="preserve">  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525252"/>
          <w:spacing w:val="13"/>
          <w:kern w:val="0"/>
          <w:sz w:val="21"/>
          <w:szCs w:val="21"/>
          <w:lang w:val="en-US" w:eastAsia="zh-CN" w:bidi="ar"/>
        </w:rPr>
        <w:t>本表本年度没有发生额。</w:t>
      </w:r>
    </w:p>
    <w:p w14:paraId="5EB9CE50"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</w:p>
    <w:p w14:paraId="1399B1CD"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</w:rPr>
        <w:t>（一）“三公”经费财政拨款支出决算总体情况说明</w:t>
      </w:r>
    </w:p>
    <w:p w14:paraId="4FAC5473">
      <w:pPr>
        <w:keepNext w:val="0"/>
        <w:keepLines w:val="0"/>
        <w:widowControl/>
        <w:suppressLineNumbers w:val="0"/>
        <w:ind w:firstLine="640" w:firstLineChars="200"/>
        <w:jc w:val="left"/>
        <w:rPr>
          <w:rFonts w:ascii="仿宋_GB2312" w:hAnsi="宋体" w:eastAsia="仿宋_GB2312" w:cs="宋体"/>
          <w:sz w:val="32"/>
          <w:szCs w:val="32"/>
        </w:rPr>
      </w:pPr>
      <w:bookmarkStart w:id="1" w:name="PO_part3A3B1C1DivNameYear1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徐闻县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特殊教育学校</w:t>
      </w:r>
      <w:bookmarkStart w:id="4" w:name="_GoBack"/>
      <w:bookmarkEnd w:id="4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2025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"/>
      <w:r>
        <w:rPr>
          <w:rFonts w:hint="eastAsia" w:ascii="仿宋_GB2312" w:hAnsi="宋体" w:eastAsia="仿宋_GB2312" w:cs="宋体"/>
          <w:sz w:val="32"/>
          <w:szCs w:val="32"/>
        </w:rPr>
        <w:t>年度“三公”经费财政拨款支出决算为</w:t>
      </w:r>
      <w:bookmarkStart w:id="2" w:name="PO_part3A3B1C1IncPercent6"/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 xml:space="preserve">0万元，完成全年预算0万元的0%（基数为0，不可比），比上年决算数增加0万元，增长0%（基数为0，不可比）。其中：因公出国（境）费支出决算为0万元，完成预算0万元的0%（基数为0， 不可比），比上年决算数增加0万元，增长0%（基数为0，不可 比）；公务用车购置及运行维护费支出决算为0万元，完成预算0万元的0%（基数为0，不可比），比上年决算数增加0万元，增长0%（基数为0，不可比）；其中：公务用车购置支出决算为0万元，完成预算0万元的0%（基数为0，不可比），比上年决算数增加0万元，增长0%（基数为0，不可比）；公务用车运行维护费支出决算为0万元，完成预算0万元的0%（基数为0，不可比），比上年决算数增加0万元，增长0%（基数为0，不可比）；公务接待费支出决算为0万元，完成预算0万元的0%（基数为0，不可比），比上年决算数增加0万元，增长0%（基数为0，不可比）。 </w:t>
      </w:r>
      <w:r>
        <w:rPr>
          <w:rFonts w:hint="eastAsia" w:ascii="仿宋_GB2312" w:hAnsi="宋体" w:eastAsia="仿宋_GB2312" w:cs="宋体"/>
          <w:sz w:val="32"/>
          <w:szCs w:val="32"/>
        </w:rPr>
        <w:t xml:space="preserve"> </w:t>
      </w:r>
      <w:bookmarkEnd w:id="2"/>
    </w:p>
    <w:p w14:paraId="1B0CC956">
      <w:pPr>
        <w:keepNext w:val="0"/>
        <w:keepLines w:val="0"/>
        <w:widowControl/>
        <w:suppressLineNumbers w:val="0"/>
        <w:ind w:firstLine="600" w:firstLineChars="200"/>
        <w:jc w:val="left"/>
      </w:pP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 xml:space="preserve">2025年度“三公”经费支出决算等于预算数的主要情况：本单位为事业单位，没有“三公”经费安排。 </w:t>
      </w:r>
    </w:p>
    <w:p w14:paraId="51FACE10">
      <w:pPr>
        <w:keepNext w:val="0"/>
        <w:keepLines w:val="0"/>
        <w:widowControl/>
        <w:suppressLineNumbers w:val="0"/>
        <w:ind w:firstLine="600" w:firstLineChars="200"/>
        <w:jc w:val="left"/>
      </w:pP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 xml:space="preserve">2025年度“三公”经费支出决算等于上年决算数的主要情况：本单位为事业单位，没有“三公”经费安排。 </w:t>
      </w:r>
    </w:p>
    <w:p w14:paraId="7CA8C0EF"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</w:rPr>
        <w:t>（二）“三公”经费财政拨款支出决算具体情况说明</w:t>
      </w:r>
    </w:p>
    <w:p w14:paraId="124127F1">
      <w:pPr>
        <w:keepNext w:val="0"/>
        <w:keepLines w:val="0"/>
        <w:widowControl/>
        <w:suppressLineNumbers w:val="0"/>
        <w:ind w:firstLine="640" w:firstLineChars="200"/>
        <w:jc w:val="left"/>
      </w:pPr>
      <w:bookmarkStart w:id="3" w:name="PO_part3A3B2Year1"/>
      <w:r>
        <w:rPr>
          <w:rFonts w:hint="eastAsia" w:ascii="仿宋_GB2312" w:hAnsi="宋体" w:eastAsia="仿宋_GB2312" w:cs="宋体"/>
          <w:sz w:val="32"/>
          <w:szCs w:val="32"/>
        </w:rPr>
        <w:t>202</w:t>
      </w:r>
      <w:bookmarkEnd w:id="3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5</w:t>
      </w:r>
      <w:r>
        <w:rPr>
          <w:rFonts w:hint="eastAsia" w:ascii="仿宋_GB2312" w:hAnsi="宋体" w:eastAsia="仿宋_GB2312" w:cs="宋体"/>
          <w:sz w:val="32"/>
          <w:szCs w:val="32"/>
        </w:rPr>
        <w:t>年度“三公”经费财政拨款支出决算中，</w:t>
      </w: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 xml:space="preserve">因公出国（境）费0万元，占0%；公务用车购置及运行维护费支出0万元，占0%；公务接待费支出0万元，占0%。具体情况如下： </w:t>
      </w:r>
    </w:p>
    <w:p w14:paraId="0DC046A1">
      <w:pPr>
        <w:keepNext w:val="0"/>
        <w:keepLines w:val="0"/>
        <w:widowControl/>
        <w:suppressLineNumbers w:val="0"/>
        <w:ind w:firstLine="600" w:firstLineChars="200"/>
        <w:jc w:val="left"/>
      </w:pP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 xml:space="preserve">1.因公出国（境）费支出0万元。全年使用财政拨款安排出国（境）团组0个、累计0人次。 </w:t>
      </w:r>
    </w:p>
    <w:p w14:paraId="0E051749">
      <w:pPr>
        <w:keepNext w:val="0"/>
        <w:keepLines w:val="0"/>
        <w:widowControl/>
        <w:suppressLineNumbers w:val="0"/>
        <w:ind w:firstLine="600" w:firstLineChars="200"/>
        <w:jc w:val="left"/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>2.公务用车购置及运行维护费支出0万元，其中：公务用车购置支出为0万元，公务用车购置数0辆。公务用车运行维护费支出0万元，公务用车保有量为0辆，主要用于本单位为事业单位，没有公务车的使用及维护情况。</w:t>
      </w:r>
    </w:p>
    <w:p w14:paraId="6A200A71">
      <w:pPr>
        <w:keepNext w:val="0"/>
        <w:keepLines w:val="0"/>
        <w:widowControl/>
        <w:suppressLineNumbers w:val="0"/>
        <w:ind w:firstLine="600" w:firstLineChars="200"/>
        <w:jc w:val="left"/>
      </w:pP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 xml:space="preserve">3.公务接待费支出0万元，主要用于本单位为事业单位，没有公务接待，共接待国外、境外来访团组0个，来访外宾0人次；发生国内接待0次，接待人数共0人。本单位为事业单位，没有公务接待，更没有接待国外境外来访外宾。 </w:t>
      </w:r>
    </w:p>
    <w:sectPr>
      <w:pgSz w:w="16838" w:h="11906" w:orient="landscape"/>
      <w:pgMar w:top="1800" w:right="1440" w:bottom="1800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5CB36A1"/>
    <w:rsid w:val="15475B55"/>
    <w:rsid w:val="20104E18"/>
    <w:rsid w:val="202D3B9A"/>
    <w:rsid w:val="26215400"/>
    <w:rsid w:val="26811F3C"/>
    <w:rsid w:val="30BC0D4E"/>
    <w:rsid w:val="31EC1E63"/>
    <w:rsid w:val="32DE300F"/>
    <w:rsid w:val="3CDE49A1"/>
    <w:rsid w:val="45B25BFB"/>
    <w:rsid w:val="56255F2D"/>
    <w:rsid w:val="566413BC"/>
    <w:rsid w:val="5A2976F9"/>
    <w:rsid w:val="5DCD7847"/>
    <w:rsid w:val="61900595"/>
    <w:rsid w:val="71DF523D"/>
    <w:rsid w:val="75C20944"/>
    <w:rsid w:val="75CB3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1133</Words>
  <Characters>1205</Characters>
  <Lines>0</Lines>
  <Paragraphs>0</Paragraphs>
  <TotalTime>4</TotalTime>
  <ScaleCrop>false</ScaleCrop>
  <LinksUpToDate>false</LinksUpToDate>
  <CharactersWithSpaces>1223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2025-10-06T02:55:00Z</dcterms:created>
  <dc:creator>超</dc:creator>
  <cp:lastModifiedBy>迷之周广民</cp:lastModifiedBy>
  <dcterms:modified xsi:type="dcterms:W3CDTF">2026-09-09T07:02:55Z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29C3D338A0F747439D9088CFFA86D4E6_11</vt:lpwstr>
  </property>
  <property fmtid="{D5CDD505-2E9C-101B-9397-08002B2CF9AE}" pid="4" name="KSOTemplateDocerSaveRecord">
    <vt:lpwstr>eyJoZGlkIjoiNjc3Y2U4N2U3MDRmZDBkOTcwYzY5ZWY5MjAxNTQxY2MiLCJ1c2VySWQiOiI0MTA5NDUzNTgifQ==</vt:lpwstr>
  </property>
</Properties>
</file>