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91D7AA">
      <w:pPr>
        <w:jc w:val="center"/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 </w:t>
      </w:r>
    </w:p>
    <w:p w14:paraId="34A37F4E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 xml:space="preserve"> 2025年</w:t>
      </w:r>
      <w:r>
        <w:rPr>
          <w:rFonts w:hint="eastAsia" w:ascii="仿宋_GB2312" w:hAnsi="宋体" w:eastAsia="仿宋_GB2312" w:cs="宋体"/>
          <w:b/>
          <w:color w:val="auto"/>
          <w:sz w:val="44"/>
          <w:szCs w:val="44"/>
          <w:lang w:val="en-US" w:eastAsia="zh-CN"/>
        </w:rPr>
        <w:t>徐闻县西连镇人民政府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“三公</w:t>
      </w:r>
      <w:r>
        <w:rPr>
          <w:rFonts w:hint="default" w:ascii="仿宋_GB2312" w:hAnsi="宋体" w:eastAsia="仿宋_GB2312" w:cs="宋体"/>
          <w:b/>
          <w:sz w:val="44"/>
          <w:szCs w:val="44"/>
          <w:lang w:val="en-US" w:eastAsia="zh-CN"/>
        </w:rPr>
        <w:t>”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经费决算公开</w:t>
      </w:r>
    </w:p>
    <w:p w14:paraId="05AA9E84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p w14:paraId="35F2358F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3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71"/>
      </w:tblGrid>
      <w:tr w14:paraId="51C0E6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3A2F763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表9</w:t>
            </w:r>
          </w:p>
        </w:tc>
      </w:tr>
      <w:tr w14:paraId="2F6BD1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7CF647BD">
            <w:pPr>
              <w:jc w:val="center"/>
              <w:rPr>
                <w:rFonts w:hint="eastAsia" w:ascii="宋体" w:hAnsi="宋体" w:cs="宋体"/>
                <w:b/>
              </w:rPr>
            </w:pPr>
            <w:r>
              <w:rPr>
                <w:rFonts w:hint="eastAsia" w:ascii="宋体" w:hAnsi="宋体" w:cs="宋体"/>
                <w:b/>
                <w:kern w:val="0"/>
                <w:sz w:val="32"/>
                <w:szCs w:val="32"/>
              </w:rPr>
              <w:t>财政拨款“三公”经费支出决算表</w:t>
            </w:r>
          </w:p>
        </w:tc>
      </w:tr>
      <w:tr w14:paraId="576281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0639" w:type="dxa"/>
            <w:gridSpan w:val="9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54F44F76">
            <w:pPr>
              <w:spacing w:line="288" w:lineRule="auto"/>
              <w:jc w:val="left"/>
              <w:rPr>
                <w:rFonts w:hint="default" w:ascii="宋体" w:hAnsi="宋体" w:cs="宋体" w:eastAsiaTheme="minorEastAsia"/>
                <w:sz w:val="28"/>
                <w:szCs w:val="28"/>
                <w:lang w:val="en-US" w:eastAsia="zh-CN"/>
              </w:rPr>
            </w:pPr>
            <w:bookmarkStart w:id="0" w:name="PO_part2DivName9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 单位 </w:t>
            </w:r>
            <w:bookmarkEnd w:id="0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：</w:t>
            </w: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  <w:t>徐闻县西连镇人民政府</w:t>
            </w:r>
          </w:p>
        </w:tc>
        <w:tc>
          <w:tcPr>
            <w:tcW w:w="3535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6B02612A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单位：万元</w:t>
            </w:r>
          </w:p>
        </w:tc>
      </w:tr>
      <w:tr w14:paraId="1D80FE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7093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6B6D10DB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预算数</w:t>
            </w:r>
          </w:p>
        </w:tc>
        <w:tc>
          <w:tcPr>
            <w:tcW w:w="7081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3C2BAD0C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决算数</w:t>
            </w:r>
          </w:p>
        </w:tc>
      </w:tr>
      <w:tr w14:paraId="7E3E09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restart"/>
            <w:noWrap w:val="0"/>
            <w:vAlign w:val="center"/>
          </w:tcPr>
          <w:p w14:paraId="29F0A20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626D84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338A4D43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7ADDF4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BB9B470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84EA397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429628C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71" w:type="dxa"/>
            <w:vMerge w:val="restart"/>
            <w:noWrap w:val="0"/>
            <w:vAlign w:val="center"/>
          </w:tcPr>
          <w:p w14:paraId="3D21A698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</w:tr>
      <w:tr w14:paraId="6D1E2B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continue"/>
            <w:noWrap w:val="0"/>
            <w:vAlign w:val="top"/>
          </w:tcPr>
          <w:p w14:paraId="70039CAC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4A38F19C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2D49DFA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57EC8C1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736959D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82" w:type="dxa"/>
            <w:vMerge w:val="continue"/>
            <w:noWrap w:val="0"/>
            <w:vAlign w:val="top"/>
          </w:tcPr>
          <w:p w14:paraId="5083F241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05CDFA52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68EBFA7E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6EFDF3B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6A203E7C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46959E65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71" w:type="dxa"/>
            <w:vMerge w:val="continue"/>
            <w:noWrap w:val="0"/>
            <w:vAlign w:val="top"/>
          </w:tcPr>
          <w:p w14:paraId="04470849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</w:tr>
      <w:tr w14:paraId="4E4231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07C4178B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182" w:type="dxa"/>
            <w:noWrap w:val="0"/>
            <w:vAlign w:val="center"/>
          </w:tcPr>
          <w:p w14:paraId="6644346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</w:t>
            </w:r>
          </w:p>
        </w:tc>
        <w:tc>
          <w:tcPr>
            <w:tcW w:w="1182" w:type="dxa"/>
            <w:noWrap w:val="0"/>
            <w:vAlign w:val="center"/>
          </w:tcPr>
          <w:p w14:paraId="5D2058B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</w:t>
            </w:r>
          </w:p>
        </w:tc>
        <w:tc>
          <w:tcPr>
            <w:tcW w:w="1182" w:type="dxa"/>
            <w:noWrap w:val="0"/>
            <w:vAlign w:val="center"/>
          </w:tcPr>
          <w:p w14:paraId="7ED6ADD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</w:t>
            </w:r>
          </w:p>
        </w:tc>
        <w:tc>
          <w:tcPr>
            <w:tcW w:w="1182" w:type="dxa"/>
            <w:noWrap w:val="0"/>
            <w:vAlign w:val="center"/>
          </w:tcPr>
          <w:p w14:paraId="01E7A8F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5</w:t>
            </w:r>
          </w:p>
        </w:tc>
        <w:tc>
          <w:tcPr>
            <w:tcW w:w="1182" w:type="dxa"/>
            <w:noWrap w:val="0"/>
            <w:vAlign w:val="center"/>
          </w:tcPr>
          <w:p w14:paraId="1E7B541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</w:t>
            </w:r>
          </w:p>
        </w:tc>
        <w:tc>
          <w:tcPr>
            <w:tcW w:w="1182" w:type="dxa"/>
            <w:noWrap w:val="0"/>
            <w:vAlign w:val="center"/>
          </w:tcPr>
          <w:p w14:paraId="2821825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7</w:t>
            </w:r>
          </w:p>
        </w:tc>
        <w:tc>
          <w:tcPr>
            <w:tcW w:w="1182" w:type="dxa"/>
            <w:noWrap w:val="0"/>
            <w:vAlign w:val="center"/>
          </w:tcPr>
          <w:p w14:paraId="5C68C9B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8</w:t>
            </w:r>
          </w:p>
        </w:tc>
        <w:tc>
          <w:tcPr>
            <w:tcW w:w="1182" w:type="dxa"/>
            <w:noWrap w:val="0"/>
            <w:vAlign w:val="center"/>
          </w:tcPr>
          <w:p w14:paraId="14E4728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9</w:t>
            </w:r>
          </w:p>
        </w:tc>
        <w:tc>
          <w:tcPr>
            <w:tcW w:w="1182" w:type="dxa"/>
            <w:noWrap w:val="0"/>
            <w:vAlign w:val="center"/>
          </w:tcPr>
          <w:p w14:paraId="5C7C198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10</w:t>
            </w:r>
          </w:p>
        </w:tc>
        <w:tc>
          <w:tcPr>
            <w:tcW w:w="1182" w:type="dxa"/>
            <w:noWrap w:val="0"/>
            <w:vAlign w:val="center"/>
          </w:tcPr>
          <w:p w14:paraId="7701D34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11</w:t>
            </w:r>
          </w:p>
        </w:tc>
        <w:tc>
          <w:tcPr>
            <w:tcW w:w="1171" w:type="dxa"/>
            <w:noWrap w:val="0"/>
            <w:vAlign w:val="center"/>
          </w:tcPr>
          <w:p w14:paraId="4D45EE8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12</w:t>
            </w:r>
          </w:p>
        </w:tc>
      </w:tr>
      <w:tr w14:paraId="531B11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77D264E3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14.11</w:t>
            </w:r>
          </w:p>
        </w:tc>
        <w:tc>
          <w:tcPr>
            <w:tcW w:w="1182" w:type="dxa"/>
            <w:noWrap w:val="0"/>
            <w:vAlign w:val="center"/>
          </w:tcPr>
          <w:p w14:paraId="4D5EABE3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11BE20D0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4.39</w:t>
            </w:r>
          </w:p>
        </w:tc>
        <w:tc>
          <w:tcPr>
            <w:tcW w:w="1182" w:type="dxa"/>
            <w:noWrap w:val="0"/>
            <w:vAlign w:val="center"/>
          </w:tcPr>
          <w:p w14:paraId="3F02F800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2FC129E7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4.39</w:t>
            </w:r>
          </w:p>
        </w:tc>
        <w:tc>
          <w:tcPr>
            <w:tcW w:w="1182" w:type="dxa"/>
            <w:noWrap w:val="0"/>
            <w:vAlign w:val="center"/>
          </w:tcPr>
          <w:p w14:paraId="61F6E8B1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9.72</w:t>
            </w:r>
          </w:p>
        </w:tc>
        <w:tc>
          <w:tcPr>
            <w:tcW w:w="1182" w:type="dxa"/>
            <w:noWrap w:val="0"/>
            <w:vAlign w:val="center"/>
          </w:tcPr>
          <w:p w14:paraId="3D00B007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14.11</w:t>
            </w:r>
          </w:p>
        </w:tc>
        <w:tc>
          <w:tcPr>
            <w:tcW w:w="1182" w:type="dxa"/>
            <w:noWrap w:val="0"/>
            <w:vAlign w:val="center"/>
          </w:tcPr>
          <w:p w14:paraId="10F93DC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B78195F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4.39</w:t>
            </w:r>
          </w:p>
        </w:tc>
        <w:tc>
          <w:tcPr>
            <w:tcW w:w="1182" w:type="dxa"/>
            <w:noWrap w:val="0"/>
            <w:vAlign w:val="center"/>
          </w:tcPr>
          <w:p w14:paraId="59B24361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4F22B8D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4.39</w:t>
            </w:r>
          </w:p>
        </w:tc>
        <w:tc>
          <w:tcPr>
            <w:tcW w:w="1171" w:type="dxa"/>
            <w:noWrap w:val="0"/>
            <w:vAlign w:val="center"/>
          </w:tcPr>
          <w:p w14:paraId="6F7ACF0A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9.72</w:t>
            </w:r>
          </w:p>
        </w:tc>
      </w:tr>
    </w:tbl>
    <w:p w14:paraId="5D62CBEC">
      <w:pPr>
        <w:spacing w:line="360" w:lineRule="auto"/>
        <w:ind w:firstLine="420" w:firstLineChars="200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注：本表反映部门（单位）本年度财政拨款“三公”经费支出预决算情况。其中，预算数为“三公”经费全年预算数，反映按规定程序调整后的预算数；决算数是包括当年财政拨款和以前年度结转资金安排的实际支出。</w:t>
      </w:r>
    </w:p>
    <w:p w14:paraId="081565A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default" w:ascii="仿宋_GB2312" w:hAnsi="仿宋_GB2312" w:eastAsia="仿宋_GB2312" w:cs="仿宋_GB2312"/>
          <w:b/>
          <w:bCs/>
          <w:i w:val="0"/>
          <w:iCs w:val="0"/>
          <w:caps w:val="0"/>
          <w:color w:val="525252"/>
          <w:spacing w:val="13"/>
          <w:kern w:val="0"/>
          <w:sz w:val="32"/>
          <w:szCs w:val="32"/>
          <w:lang w:val="en-US" w:eastAsia="zh-CN" w:bidi="ar"/>
        </w:rPr>
      </w:pPr>
    </w:p>
    <w:p w14:paraId="1399B1CD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（一）“三公”经费财政拨款支出决算总体情况说明</w:t>
      </w:r>
    </w:p>
    <w:p w14:paraId="448BE358">
      <w:pPr>
        <w:ind w:firstLine="640" w:firstLineChars="200"/>
        <w:rPr>
          <w:rFonts w:hint="eastAsia" w:ascii="方正仿宋_GB2312" w:hAnsi="方正仿宋_GB2312" w:eastAsia="方正仿宋_GB2312" w:cs="方正仿宋_GB2312"/>
          <w:b w:val="0"/>
          <w:bCs w:val="0"/>
          <w:color w:val="000000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000000"/>
          <w:sz w:val="32"/>
          <w:szCs w:val="32"/>
        </w:rPr>
        <w:t>徐闻县西连镇人民政府2025年度“三公”经费财政拨款支出决算为14.11万元，完成全年预算14.11万元的100%，比上年决算数减少2.57万元，下降15.4%。其中：因公出国（境）费支出决算为0万元，完成预算0万元的0%，比上年决算数增加0万元，增长0%；公务用车购置及运行维护费支出决算为4.39万元，完成预算4.39万元的100%，比上年决算数减少4.99万元，下降53.2%；其中：公务用车购置支出决算为0万元，完成预算0万元的0%，比上 年决算数减少5.6万元，下降100%；公务用车运行维护费支出决算为4.39万元，完成预算4.39万元的100%，比上年决算数增加0.6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000000"/>
          <w:sz w:val="32"/>
          <w:szCs w:val="32"/>
          <w:lang w:val="en-US" w:eastAsia="zh-CN"/>
        </w:rPr>
        <w:t>1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000000"/>
          <w:sz w:val="32"/>
          <w:szCs w:val="32"/>
        </w:rPr>
        <w:t>万元，增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000000"/>
          <w:sz w:val="32"/>
          <w:szCs w:val="32"/>
          <w:lang w:val="en-US" w:eastAsia="zh-CN"/>
        </w:rPr>
        <w:t>长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000000"/>
          <w:sz w:val="32"/>
          <w:szCs w:val="32"/>
        </w:rPr>
        <w:t xml:space="preserve">16.3%；公务接待费支出决算为9.72万元，完成预算 9.72万元的100%，比上年决算数增加2.42万元，增长33.1%。 </w:t>
      </w:r>
    </w:p>
    <w:p w14:paraId="7996F835">
      <w:pPr>
        <w:ind w:firstLine="640" w:firstLineChars="200"/>
        <w:rPr>
          <w:rFonts w:hint="eastAsia" w:ascii="方正仿宋_GB2312" w:hAnsi="方正仿宋_GB2312" w:eastAsia="方正仿宋_GB2312" w:cs="方正仿宋_GB2312"/>
          <w:b w:val="0"/>
          <w:bCs w:val="0"/>
          <w:color w:val="000000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000000"/>
          <w:sz w:val="32"/>
          <w:szCs w:val="32"/>
        </w:rPr>
        <w:t xml:space="preserve">2025年度“三公”经费支出决算等于预算数的主要情况：认真贯彻落实中央八项规定精神和厉行节约的要求，从严控制“三公”经费开支。 </w:t>
      </w:r>
    </w:p>
    <w:p w14:paraId="5B080F2F">
      <w:pPr>
        <w:ind w:firstLine="640" w:firstLineChars="200"/>
        <w:rPr>
          <w:rFonts w:hint="eastAsia" w:ascii="方正仿宋_GB2312" w:hAnsi="方正仿宋_GB2312" w:eastAsia="方正仿宋_GB2312" w:cs="方正仿宋_GB2312"/>
          <w:b w:val="0"/>
          <w:bCs w:val="0"/>
          <w:color w:val="000000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000000"/>
          <w:sz w:val="32"/>
          <w:szCs w:val="32"/>
        </w:rPr>
        <w:t>2025年度“三公”经费支出决算小于上年决算数的主要情况：本年度无新购入公务用车。</w:t>
      </w:r>
    </w:p>
    <w:p w14:paraId="7CA8C0EF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（二）“三公”经费财政拨款支出决算具体情况说明</w:t>
      </w:r>
    </w:p>
    <w:p w14:paraId="1A4A9651">
      <w:pPr>
        <w:ind w:firstLine="640" w:firstLineChars="200"/>
        <w:rPr>
          <w:rFonts w:hint="eastAsia" w:ascii="方正仿宋_GB2312" w:hAnsi="方正仿宋_GB2312" w:eastAsia="方正仿宋_GB2312" w:cs="方正仿宋_GB2312"/>
          <w:b w:val="0"/>
          <w:bCs w:val="0"/>
          <w:color w:val="000000"/>
          <w:sz w:val="32"/>
          <w:szCs w:val="32"/>
        </w:rPr>
      </w:pPr>
      <w:bookmarkStart w:id="1" w:name="PO_part3A3B2C3GnjdInclude1"/>
      <w:r>
        <w:rPr>
          <w:rFonts w:hint="eastAsia" w:ascii="方正仿宋_GB2312" w:hAnsi="方正仿宋_GB2312" w:eastAsia="方正仿宋_GB2312" w:cs="方正仿宋_GB2312"/>
          <w:b w:val="0"/>
          <w:bCs w:val="0"/>
          <w:color w:val="000000"/>
          <w:sz w:val="32"/>
          <w:szCs w:val="32"/>
        </w:rPr>
        <w:t>2025年度“三公”经费财政拨款支出决算中，因公出国（境）费0万元，占0%；公务用车购置及运行维护费支出4.39万 元，占31.1%；公务接待费支出9.72万元，占68.9%。具体情况如下：</w:t>
      </w:r>
    </w:p>
    <w:p w14:paraId="40D7EA55">
      <w:pPr>
        <w:numPr>
          <w:ilvl w:val="0"/>
          <w:numId w:val="1"/>
        </w:numPr>
        <w:ind w:left="800" w:leftChars="0" w:firstLine="0" w:firstLineChars="0"/>
        <w:rPr>
          <w:rFonts w:hint="eastAsia" w:ascii="方正仿宋_GB2312" w:hAnsi="方正仿宋_GB2312" w:eastAsia="方正仿宋_GB2312" w:cs="方正仿宋_GB2312"/>
          <w:b w:val="0"/>
          <w:bCs w:val="0"/>
          <w:color w:val="000000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000000"/>
          <w:sz w:val="32"/>
          <w:szCs w:val="32"/>
        </w:rPr>
        <w:t xml:space="preserve">因公出国（境）费支出0万元。全年使用财政拨款安排出国 （境）团组0个、累计0人次。 </w:t>
      </w:r>
    </w:p>
    <w:p w14:paraId="7CA01654">
      <w:pPr>
        <w:numPr>
          <w:ilvl w:val="0"/>
          <w:numId w:val="1"/>
        </w:numPr>
        <w:ind w:left="800" w:leftChars="0" w:firstLine="0" w:firstLineChars="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000000"/>
          <w:sz w:val="32"/>
          <w:szCs w:val="32"/>
        </w:rPr>
        <w:t>公务用车购置及运行维护费支出4.39万元，其中：公务用 车购置支出为0万元，公务用车购置数0辆。公务</w:t>
      </w:r>
      <w:bookmarkStart w:id="2" w:name="_GoBack"/>
      <w:bookmarkEnd w:id="2"/>
      <w:r>
        <w:rPr>
          <w:rFonts w:hint="eastAsia" w:ascii="方正仿宋_GB2312" w:hAnsi="方正仿宋_GB2312" w:eastAsia="方正仿宋_GB2312" w:cs="方正仿宋_GB2312"/>
          <w:b w:val="0"/>
          <w:bCs w:val="0"/>
          <w:color w:val="000000"/>
          <w:sz w:val="32"/>
          <w:szCs w:val="32"/>
        </w:rPr>
        <w:t xml:space="preserve">用车运行维护费 支出4.39万元，公务用车保有量为2辆，主要用于公务出行。 </w:t>
      </w:r>
    </w:p>
    <w:p w14:paraId="75672C84">
      <w:pPr>
        <w:numPr>
          <w:ilvl w:val="0"/>
          <w:numId w:val="1"/>
        </w:numPr>
        <w:ind w:left="800" w:leftChars="0" w:firstLine="0" w:firstLineChars="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000000"/>
          <w:sz w:val="32"/>
          <w:szCs w:val="32"/>
        </w:rPr>
        <w:t>公务接待费支出9.72万元，主要用于上级或其他部门对本 单位的工作检查或项目调研，共接待国外、境外来访团组0个，来 访外宾0人次；发生国内接待350次，接待人数共1,620人。主要包 括对上级部门以及其他单位部门的公务接待。</w:t>
      </w:r>
      <w:r>
        <w:rPr>
          <w:rFonts w:hint="eastAsia" w:ascii="仿宋_GB2312" w:hAnsi="宋体" w:eastAsia="仿宋_GB2312" w:cs="宋体"/>
          <w:sz w:val="32"/>
          <w:szCs w:val="32"/>
        </w:rPr>
        <w:t xml:space="preserve"> </w:t>
      </w:r>
      <w:bookmarkEnd w:id="1"/>
    </w:p>
    <w:p w14:paraId="6E4A452F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</w:p>
    <w:p w14:paraId="6A200A71"/>
    <w:sectPr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1" w:fontKey="{BAB1426A-54A3-4117-A927-A4F20F4F5831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KSOF7FC4CF2A">
    <w:panose1 w:val="020B0604020202020204"/>
    <w:charset w:val="00"/>
    <w:family w:val="auto"/>
    <w:pitch w:val="default"/>
    <w:sig w:usb0="00000001" w:usb1="00000000" w:usb2="00000000" w:usb3="00000000" w:csb0="00000001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D5D506A0-461F-40DC-BB2B-CF71BA92FD51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9693268"/>
    <w:multiLevelType w:val="singleLevel"/>
    <w:tmpl w:val="49693268"/>
    <w:lvl w:ilvl="0" w:tentative="0">
      <w:start w:val="1"/>
      <w:numFmt w:val="decimal"/>
      <w:lvlText w:val="%1."/>
      <w:lvlJc w:val="left"/>
      <w:pPr>
        <w:tabs>
          <w:tab w:val="left" w:pos="312"/>
        </w:tabs>
        <w:ind w:left="800" w:leftChars="0" w:firstLine="0" w:firstLineChars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QyZTI4MzM0YTkzY2E0ZjI4ZmNlMGIxODNmMTM1YjEifQ=="/>
  </w:docVars>
  <w:rsids>
    <w:rsidRoot w:val="75CB36A1"/>
    <w:rsid w:val="0754675F"/>
    <w:rsid w:val="202D3B9A"/>
    <w:rsid w:val="26811F3C"/>
    <w:rsid w:val="279627D2"/>
    <w:rsid w:val="30BC0D4E"/>
    <w:rsid w:val="45B25BFB"/>
    <w:rsid w:val="5C14771E"/>
    <w:rsid w:val="662F713B"/>
    <w:rsid w:val="75CB3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1466</Words>
  <Characters>1601</Characters>
  <Lines>0</Lines>
  <Paragraphs>0</Paragraphs>
  <TotalTime>21</TotalTime>
  <ScaleCrop>false</ScaleCrop>
  <LinksUpToDate>false</LinksUpToDate>
  <CharactersWithSpaces>1665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2025-10-06T02:55:00Z</dcterms:created>
  <dc:creator>超</dc:creator>
  <cp:lastModifiedBy>番薯土豆马铃薯私聊良心价</cp:lastModifiedBy>
  <dcterms:modified xsi:type="dcterms:W3CDTF">2026-09-09T03:04:29Z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3D1175FA882F4CD4BF3691E338D7D641_13</vt:lpwstr>
  </property>
  <property fmtid="{D5CDD505-2E9C-101B-9397-08002B2CF9AE}" pid="4" name="KSOTemplateDocerSaveRecord">
    <vt:lpwstr>eyJoZGlkIjoiYjlkYWZiZGE0OGVhOGU4MTZhMzUwOWZhODk1YmI1NDgiLCJ1c2VySWQiOiI1NzU3ODAyMTIifQ==</vt:lpwstr>
  </property>
</Properties>
</file>