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E5A36B">
      <w:pPr>
        <w:ind w:firstLine="1325" w:firstLineChars="300"/>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
          <w:sz w:val="44"/>
          <w:szCs w:val="44"/>
          <w:lang w:val="en-US" w:eastAsia="zh-CN"/>
        </w:rPr>
        <w:t>2025年徐闻县投资促进服务中心“三公”经费决算公开情况说明及表格</w:t>
      </w:r>
    </w:p>
    <w:p w14:paraId="7C613A7B">
      <w:pPr>
        <w:ind w:firstLine="643" w:firstLineChars="200"/>
        <w:jc w:val="left"/>
        <w:rPr>
          <w:rFonts w:hint="eastAsia" w:asciiTheme="majorEastAsia" w:hAnsiTheme="majorEastAsia" w:eastAsiaTheme="majorEastAsia" w:cstheme="majorEastAsia"/>
          <w:b/>
          <w:sz w:val="32"/>
          <w:szCs w:val="32"/>
        </w:rPr>
      </w:pPr>
    </w:p>
    <w:p w14:paraId="6FC2266C">
      <w:pPr>
        <w:spacing w:line="480" w:lineRule="auto"/>
        <w:ind w:firstLine="643" w:firstLineChars="200"/>
        <w:jc w:val="left"/>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（一）“三公”经费财政拨款支出决算总体情况说明</w:t>
      </w:r>
    </w:p>
    <w:p w14:paraId="6DD3689A">
      <w:pPr>
        <w:spacing w:line="48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bookmarkStart w:id="0" w:name="PO_part3A3B1C1DivNameYear1"/>
      <w:r>
        <w:rPr>
          <w:rFonts w:hint="eastAsia" w:ascii="仿宋_GB2312" w:hAnsi="仿宋_GB2312" w:eastAsia="仿宋_GB2312" w:cs="仿宋_GB2312"/>
          <w:sz w:val="32"/>
          <w:szCs w:val="32"/>
        </w:rPr>
        <w:t>徐闻县投资促进服务中心202</w:t>
      </w:r>
      <w:bookmarkEnd w:id="0"/>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年度“三公”经费财政拨款支出决算为</w:t>
      </w:r>
      <w:bookmarkStart w:id="1" w:name="PO_part3A3B1C1Amount1"/>
      <w:r>
        <w:rPr>
          <w:rFonts w:hint="eastAsia" w:ascii="仿宋_GB2312" w:hAnsi="仿宋_GB2312" w:eastAsia="仿宋_GB2312" w:cs="仿宋_GB2312"/>
          <w:sz w:val="32"/>
          <w:szCs w:val="32"/>
        </w:rPr>
        <w:t>0</w:t>
      </w:r>
      <w:bookmarkEnd w:id="1"/>
      <w:r>
        <w:rPr>
          <w:rFonts w:hint="eastAsia" w:ascii="仿宋_GB2312" w:hAnsi="仿宋_GB2312" w:eastAsia="仿宋_GB2312" w:cs="仿宋_GB2312"/>
          <w:sz w:val="32"/>
          <w:szCs w:val="32"/>
        </w:rPr>
        <w:t>万元，完成全年预算</w:t>
      </w:r>
      <w:bookmarkStart w:id="2" w:name="PO_part3A3B1C1Amount2"/>
      <w:r>
        <w:rPr>
          <w:rFonts w:hint="eastAsia" w:ascii="仿宋_GB2312" w:hAnsi="仿宋_GB2312" w:eastAsia="仿宋_GB2312" w:cs="仿宋_GB2312"/>
          <w:sz w:val="32"/>
          <w:szCs w:val="32"/>
        </w:rPr>
        <w:t>0</w:t>
      </w:r>
      <w:bookmarkEnd w:id="2"/>
      <w:r>
        <w:rPr>
          <w:rFonts w:hint="eastAsia" w:ascii="仿宋_GB2312" w:hAnsi="仿宋_GB2312" w:eastAsia="仿宋_GB2312" w:cs="仿宋_GB2312"/>
          <w:sz w:val="32"/>
          <w:szCs w:val="32"/>
        </w:rPr>
        <w:t>万元的</w:t>
      </w:r>
      <w:bookmarkStart w:id="3" w:name="PO_part3A3B1C1Percent1"/>
      <w:r>
        <w:rPr>
          <w:rFonts w:hint="eastAsia" w:ascii="仿宋_GB2312" w:hAnsi="仿宋_GB2312" w:eastAsia="仿宋_GB2312" w:cs="仿宋_GB2312"/>
          <w:sz w:val="32"/>
          <w:szCs w:val="32"/>
        </w:rPr>
        <w:t xml:space="preserve">0% </w:t>
      </w:r>
      <w:bookmarkEnd w:id="3"/>
      <w:r>
        <w:rPr>
          <w:rFonts w:hint="eastAsia" w:ascii="仿宋_GB2312" w:hAnsi="仿宋_GB2312" w:eastAsia="仿宋_GB2312" w:cs="仿宋_GB2312"/>
          <w:sz w:val="32"/>
          <w:szCs w:val="32"/>
        </w:rPr>
        <w:t>，比上年决算数</w:t>
      </w:r>
      <w:bookmarkStart w:id="4" w:name="PO_part3A3B1C1IncAmount1"/>
      <w:r>
        <w:rPr>
          <w:rFonts w:hint="eastAsia" w:ascii="仿宋_GB2312" w:hAnsi="仿宋_GB2312" w:eastAsia="仿宋_GB2312" w:cs="仿宋_GB2312"/>
          <w:sz w:val="32"/>
          <w:szCs w:val="32"/>
        </w:rPr>
        <w:t>增加</w:t>
      </w:r>
      <w:r>
        <w:rPr>
          <w:rFonts w:hint="eastAsia" w:ascii="仿宋_GB2312" w:hAnsi="仿宋_GB2312" w:eastAsia="仿宋_GB2312" w:cs="仿宋_GB2312"/>
          <w:sz w:val="32"/>
          <w:szCs w:val="32"/>
          <w:lang w:val="en-US" w:eastAsia="zh-CN"/>
        </w:rPr>
        <w:t>0</w:t>
      </w:r>
      <w:bookmarkEnd w:id="4"/>
      <w:r>
        <w:rPr>
          <w:rFonts w:hint="eastAsia" w:ascii="仿宋_GB2312" w:hAnsi="仿宋_GB2312" w:eastAsia="仿宋_GB2312" w:cs="仿宋_GB2312"/>
          <w:sz w:val="32"/>
          <w:szCs w:val="32"/>
        </w:rPr>
        <w:t>万元</w:t>
      </w:r>
      <w:bookmarkStart w:id="5" w:name="PO_part3A3B1C1IncPercent1"/>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增长</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bookmarkEnd w:id="5"/>
      <w:r>
        <w:rPr>
          <w:rFonts w:hint="eastAsia" w:ascii="仿宋_GB2312" w:hAnsi="仿宋_GB2312" w:eastAsia="仿宋_GB2312" w:cs="仿宋_GB2312"/>
          <w:sz w:val="32"/>
          <w:szCs w:val="32"/>
        </w:rPr>
        <w:t>。其中：因公出国（境）费支出决算为</w:t>
      </w:r>
      <w:bookmarkStart w:id="6" w:name="PO_part3A3B1C1qzAmount1"/>
      <w:r>
        <w:rPr>
          <w:rFonts w:hint="eastAsia" w:ascii="仿宋_GB2312" w:hAnsi="仿宋_GB2312" w:eastAsia="仿宋_GB2312" w:cs="仿宋_GB2312"/>
          <w:sz w:val="32"/>
          <w:szCs w:val="32"/>
        </w:rPr>
        <w:t>0</w:t>
      </w:r>
      <w:bookmarkEnd w:id="6"/>
      <w:r>
        <w:rPr>
          <w:rFonts w:hint="eastAsia" w:ascii="仿宋_GB2312" w:hAnsi="仿宋_GB2312" w:eastAsia="仿宋_GB2312" w:cs="仿宋_GB2312"/>
          <w:sz w:val="32"/>
          <w:szCs w:val="32"/>
        </w:rPr>
        <w:t>万元，完成预算</w:t>
      </w:r>
      <w:bookmarkStart w:id="7" w:name="PO_part3A3B1C1qzysAmount1"/>
      <w:r>
        <w:rPr>
          <w:rFonts w:hint="eastAsia" w:ascii="仿宋_GB2312" w:hAnsi="仿宋_GB2312" w:eastAsia="仿宋_GB2312" w:cs="仿宋_GB2312"/>
          <w:sz w:val="32"/>
          <w:szCs w:val="32"/>
        </w:rPr>
        <w:t>0</w:t>
      </w:r>
      <w:bookmarkEnd w:id="7"/>
      <w:r>
        <w:rPr>
          <w:rFonts w:hint="eastAsia" w:ascii="仿宋_GB2312" w:hAnsi="仿宋_GB2312" w:eastAsia="仿宋_GB2312" w:cs="仿宋_GB2312"/>
          <w:sz w:val="32"/>
          <w:szCs w:val="32"/>
        </w:rPr>
        <w:t>万元的</w:t>
      </w:r>
      <w:bookmarkStart w:id="8" w:name="PO_part3A3B1C1qzPercent1"/>
      <w:r>
        <w:rPr>
          <w:rFonts w:hint="eastAsia" w:ascii="仿宋_GB2312" w:hAnsi="仿宋_GB2312" w:eastAsia="仿宋_GB2312" w:cs="仿宋_GB2312"/>
          <w:sz w:val="32"/>
          <w:szCs w:val="32"/>
        </w:rPr>
        <w:t>0%</w:t>
      </w:r>
      <w:bookmarkEnd w:id="8"/>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比上年决算数</w:t>
      </w:r>
      <w:bookmarkStart w:id="9" w:name="PO_part3A3B1C1IncAmount2"/>
      <w:r>
        <w:rPr>
          <w:rFonts w:hint="eastAsia" w:ascii="仿宋_GB2312" w:hAnsi="仿宋_GB2312" w:eastAsia="仿宋_GB2312" w:cs="仿宋_GB2312"/>
          <w:sz w:val="32"/>
          <w:szCs w:val="32"/>
        </w:rPr>
        <w:t>增加</w:t>
      </w:r>
      <w:r>
        <w:rPr>
          <w:rFonts w:hint="eastAsia" w:ascii="仿宋_GB2312" w:hAnsi="仿宋_GB2312" w:eastAsia="仿宋_GB2312" w:cs="仿宋_GB2312"/>
          <w:sz w:val="32"/>
          <w:szCs w:val="32"/>
          <w:lang w:val="en-US" w:eastAsia="zh-CN"/>
        </w:rPr>
        <w:t>0</w:t>
      </w:r>
      <w:bookmarkEnd w:id="9"/>
      <w:r>
        <w:rPr>
          <w:rFonts w:hint="eastAsia" w:ascii="仿宋_GB2312" w:hAnsi="仿宋_GB2312" w:eastAsia="仿宋_GB2312" w:cs="仿宋_GB2312"/>
          <w:sz w:val="32"/>
          <w:szCs w:val="32"/>
        </w:rPr>
        <w:t>万元，</w:t>
      </w:r>
      <w:bookmarkStart w:id="10" w:name="PO_part3A3B1C1IncPercent2"/>
      <w:r>
        <w:rPr>
          <w:rFonts w:hint="eastAsia" w:ascii="仿宋_GB2312" w:hAnsi="仿宋_GB2312" w:eastAsia="仿宋_GB2312" w:cs="仿宋_GB2312"/>
          <w:sz w:val="32"/>
          <w:szCs w:val="32"/>
        </w:rPr>
        <w:t>增</w:t>
      </w:r>
      <w:r>
        <w:rPr>
          <w:rFonts w:hint="eastAsia" w:ascii="仿宋_GB2312" w:hAnsi="仿宋_GB2312" w:eastAsia="仿宋_GB2312" w:cs="仿宋_GB2312"/>
          <w:sz w:val="32"/>
          <w:szCs w:val="32"/>
          <w:lang w:eastAsia="zh-CN"/>
        </w:rPr>
        <w:t>长</w:t>
      </w:r>
      <w:r>
        <w:rPr>
          <w:rFonts w:hint="eastAsia" w:ascii="仿宋_GB2312" w:hAnsi="仿宋_GB2312" w:eastAsia="仿宋_GB2312" w:cs="仿宋_GB2312"/>
          <w:sz w:val="32"/>
          <w:szCs w:val="32"/>
          <w:lang w:val="en-US" w:eastAsia="zh-CN"/>
        </w:rPr>
        <w:t>0</w:t>
      </w:r>
      <w:bookmarkEnd w:id="10"/>
      <w:r>
        <w:rPr>
          <w:rFonts w:hint="eastAsia" w:ascii="仿宋_GB2312" w:hAnsi="仿宋_GB2312" w:eastAsia="仿宋_GB2312" w:cs="仿宋_GB2312"/>
          <w:sz w:val="32"/>
          <w:szCs w:val="32"/>
        </w:rPr>
        <w:t>；公务用车购置及运行维护费支出决算为</w:t>
      </w:r>
      <w:bookmarkStart w:id="11" w:name="PO_part3A3B1C1qzAmount2"/>
      <w:r>
        <w:rPr>
          <w:rFonts w:hint="eastAsia" w:ascii="仿宋_GB2312" w:hAnsi="仿宋_GB2312" w:eastAsia="仿宋_GB2312" w:cs="仿宋_GB2312"/>
          <w:sz w:val="32"/>
          <w:szCs w:val="32"/>
        </w:rPr>
        <w:t>0</w:t>
      </w:r>
      <w:bookmarkEnd w:id="11"/>
      <w:r>
        <w:rPr>
          <w:rFonts w:hint="eastAsia" w:ascii="仿宋_GB2312" w:hAnsi="仿宋_GB2312" w:eastAsia="仿宋_GB2312" w:cs="仿宋_GB2312"/>
          <w:sz w:val="32"/>
          <w:szCs w:val="32"/>
        </w:rPr>
        <w:t>万元，完成预算</w:t>
      </w:r>
      <w:bookmarkStart w:id="12" w:name="PO_part3A3B1C1qzysAmount2"/>
      <w:r>
        <w:rPr>
          <w:rFonts w:hint="eastAsia" w:ascii="仿宋_GB2312" w:hAnsi="仿宋_GB2312" w:eastAsia="仿宋_GB2312" w:cs="仿宋_GB2312"/>
          <w:sz w:val="32"/>
          <w:szCs w:val="32"/>
        </w:rPr>
        <w:t>0</w:t>
      </w:r>
      <w:bookmarkEnd w:id="12"/>
      <w:r>
        <w:rPr>
          <w:rFonts w:hint="eastAsia" w:ascii="仿宋_GB2312" w:hAnsi="仿宋_GB2312" w:eastAsia="仿宋_GB2312" w:cs="仿宋_GB2312"/>
          <w:sz w:val="32"/>
          <w:szCs w:val="32"/>
        </w:rPr>
        <w:t>万元的</w:t>
      </w:r>
      <w:bookmarkStart w:id="13" w:name="PO_part3A3B1C1qzPercent2"/>
      <w:r>
        <w:rPr>
          <w:rFonts w:hint="eastAsia" w:ascii="仿宋_GB2312" w:hAnsi="仿宋_GB2312" w:eastAsia="仿宋_GB2312" w:cs="仿宋_GB2312"/>
          <w:sz w:val="32"/>
          <w:szCs w:val="32"/>
        </w:rPr>
        <w:t>0%</w:t>
      </w:r>
      <w:bookmarkEnd w:id="13"/>
      <w:r>
        <w:rPr>
          <w:rFonts w:hint="eastAsia" w:ascii="仿宋_GB2312" w:hAnsi="仿宋_GB2312" w:eastAsia="仿宋_GB2312" w:cs="仿宋_GB2312"/>
          <w:sz w:val="32"/>
          <w:szCs w:val="32"/>
        </w:rPr>
        <w:t>，比上年决算数</w:t>
      </w:r>
      <w:bookmarkStart w:id="14" w:name="PO_part3A3B1C1IncAmount3"/>
      <w:r>
        <w:rPr>
          <w:rFonts w:hint="eastAsia" w:ascii="仿宋_GB2312" w:hAnsi="仿宋_GB2312" w:eastAsia="仿宋_GB2312" w:cs="仿宋_GB2312"/>
          <w:sz w:val="32"/>
          <w:szCs w:val="32"/>
        </w:rPr>
        <w:t>增加</w:t>
      </w:r>
      <w:r>
        <w:rPr>
          <w:rFonts w:hint="eastAsia" w:ascii="仿宋_GB2312" w:hAnsi="仿宋_GB2312" w:eastAsia="仿宋_GB2312" w:cs="仿宋_GB2312"/>
          <w:sz w:val="32"/>
          <w:szCs w:val="32"/>
          <w:lang w:val="en-US" w:eastAsia="zh-CN"/>
        </w:rPr>
        <w:t>0</w:t>
      </w:r>
      <w:bookmarkEnd w:id="14"/>
      <w:r>
        <w:rPr>
          <w:rFonts w:hint="eastAsia" w:ascii="仿宋_GB2312" w:hAnsi="仿宋_GB2312" w:eastAsia="仿宋_GB2312" w:cs="仿宋_GB2312"/>
          <w:sz w:val="32"/>
          <w:szCs w:val="32"/>
        </w:rPr>
        <w:t>万元，</w:t>
      </w:r>
      <w:bookmarkStart w:id="15" w:name="PO_part3A3B1C1IncPercent3"/>
      <w:r>
        <w:rPr>
          <w:rFonts w:hint="eastAsia" w:ascii="仿宋_GB2312" w:hAnsi="仿宋_GB2312" w:eastAsia="仿宋_GB2312" w:cs="仿宋_GB2312"/>
          <w:sz w:val="32"/>
          <w:szCs w:val="32"/>
        </w:rPr>
        <w:t>增</w:t>
      </w:r>
      <w:r>
        <w:rPr>
          <w:rFonts w:hint="eastAsia" w:ascii="仿宋_GB2312" w:hAnsi="仿宋_GB2312" w:eastAsia="仿宋_GB2312" w:cs="仿宋_GB2312"/>
          <w:sz w:val="32"/>
          <w:szCs w:val="32"/>
          <w:lang w:eastAsia="zh-CN"/>
        </w:rPr>
        <w:t>长</w:t>
      </w:r>
      <w:r>
        <w:rPr>
          <w:rFonts w:hint="eastAsia" w:ascii="仿宋_GB2312" w:hAnsi="仿宋_GB2312" w:eastAsia="仿宋_GB2312" w:cs="仿宋_GB2312"/>
          <w:sz w:val="32"/>
          <w:szCs w:val="32"/>
          <w:lang w:val="en-US" w:eastAsia="zh-CN"/>
        </w:rPr>
        <w:t>0</w:t>
      </w:r>
      <w:bookmarkEnd w:id="15"/>
      <w:r>
        <w:rPr>
          <w:rFonts w:hint="eastAsia" w:ascii="仿宋_GB2312" w:hAnsi="仿宋_GB2312" w:eastAsia="仿宋_GB2312" w:cs="仿宋_GB2312"/>
          <w:sz w:val="32"/>
          <w:szCs w:val="32"/>
        </w:rPr>
        <w:t>；其中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公务用车购置支出决算为</w:t>
      </w:r>
      <w:bookmarkStart w:id="16" w:name="PO_part3A3B1C1qzAmount4"/>
      <w:r>
        <w:rPr>
          <w:rFonts w:hint="eastAsia" w:ascii="仿宋_GB2312" w:hAnsi="仿宋_GB2312" w:eastAsia="仿宋_GB2312" w:cs="仿宋_GB2312"/>
          <w:sz w:val="32"/>
          <w:szCs w:val="32"/>
        </w:rPr>
        <w:t>0</w:t>
      </w:r>
      <w:bookmarkEnd w:id="16"/>
      <w:r>
        <w:rPr>
          <w:rFonts w:hint="eastAsia" w:ascii="仿宋_GB2312" w:hAnsi="仿宋_GB2312" w:eastAsia="仿宋_GB2312" w:cs="仿宋_GB2312"/>
          <w:sz w:val="32"/>
          <w:szCs w:val="32"/>
        </w:rPr>
        <w:t>万元，完成预算</w:t>
      </w:r>
      <w:bookmarkStart w:id="17" w:name="PO_part3A3B1C1qzysAmount4"/>
      <w:r>
        <w:rPr>
          <w:rFonts w:hint="eastAsia" w:ascii="仿宋_GB2312" w:hAnsi="仿宋_GB2312" w:eastAsia="仿宋_GB2312" w:cs="仿宋_GB2312"/>
          <w:sz w:val="32"/>
          <w:szCs w:val="32"/>
        </w:rPr>
        <w:t>0</w:t>
      </w:r>
      <w:bookmarkEnd w:id="17"/>
      <w:r>
        <w:rPr>
          <w:rFonts w:hint="eastAsia" w:ascii="仿宋_GB2312" w:hAnsi="仿宋_GB2312" w:eastAsia="仿宋_GB2312" w:cs="仿宋_GB2312"/>
          <w:sz w:val="32"/>
          <w:szCs w:val="32"/>
        </w:rPr>
        <w:t>万元的</w:t>
      </w:r>
      <w:bookmarkStart w:id="18" w:name="PO_part3A3B1C1qzPercent4"/>
      <w:r>
        <w:rPr>
          <w:rFonts w:hint="eastAsia" w:ascii="仿宋_GB2312" w:hAnsi="仿宋_GB2312" w:eastAsia="仿宋_GB2312" w:cs="仿宋_GB2312"/>
          <w:sz w:val="32"/>
          <w:szCs w:val="32"/>
        </w:rPr>
        <w:t>0%</w:t>
      </w:r>
      <w:bookmarkEnd w:id="18"/>
      <w:r>
        <w:rPr>
          <w:rFonts w:hint="eastAsia" w:ascii="仿宋_GB2312" w:hAnsi="仿宋_GB2312" w:eastAsia="仿宋_GB2312" w:cs="仿宋_GB2312"/>
          <w:sz w:val="32"/>
          <w:szCs w:val="32"/>
        </w:rPr>
        <w:t>，比上年决算数</w:t>
      </w:r>
      <w:bookmarkStart w:id="19" w:name="PO_part3A3B1C1IncAmount4"/>
      <w:r>
        <w:rPr>
          <w:rFonts w:hint="eastAsia" w:ascii="仿宋_GB2312" w:hAnsi="仿宋_GB2312" w:eastAsia="仿宋_GB2312" w:cs="仿宋_GB2312"/>
          <w:sz w:val="32"/>
          <w:szCs w:val="32"/>
        </w:rPr>
        <w:t>增加</w:t>
      </w:r>
      <w:r>
        <w:rPr>
          <w:rFonts w:hint="eastAsia" w:ascii="仿宋_GB2312" w:hAnsi="仿宋_GB2312" w:eastAsia="仿宋_GB2312" w:cs="仿宋_GB2312"/>
          <w:sz w:val="32"/>
          <w:szCs w:val="32"/>
          <w:lang w:val="en-US" w:eastAsia="zh-CN"/>
        </w:rPr>
        <w:t>0</w:t>
      </w:r>
      <w:bookmarkEnd w:id="19"/>
      <w:r>
        <w:rPr>
          <w:rFonts w:hint="eastAsia" w:ascii="仿宋_GB2312" w:hAnsi="仿宋_GB2312" w:eastAsia="仿宋_GB2312" w:cs="仿宋_GB2312"/>
          <w:sz w:val="32"/>
          <w:szCs w:val="32"/>
        </w:rPr>
        <w:t>万元，</w:t>
      </w:r>
      <w:bookmarkStart w:id="20" w:name="PO_part3A3B1C1IncPercent4"/>
      <w:r>
        <w:rPr>
          <w:rFonts w:hint="eastAsia" w:ascii="仿宋_GB2312" w:hAnsi="仿宋_GB2312" w:eastAsia="仿宋_GB2312" w:cs="仿宋_GB2312"/>
          <w:sz w:val="32"/>
          <w:szCs w:val="32"/>
        </w:rPr>
        <w:t>增</w:t>
      </w:r>
      <w:r>
        <w:rPr>
          <w:rFonts w:hint="eastAsia" w:ascii="仿宋_GB2312" w:hAnsi="仿宋_GB2312" w:eastAsia="仿宋_GB2312" w:cs="仿宋_GB2312"/>
          <w:sz w:val="32"/>
          <w:szCs w:val="32"/>
          <w:lang w:eastAsia="zh-CN"/>
        </w:rPr>
        <w:t>长</w:t>
      </w:r>
      <w:r>
        <w:rPr>
          <w:rFonts w:hint="eastAsia" w:ascii="仿宋_GB2312" w:hAnsi="仿宋_GB2312" w:eastAsia="仿宋_GB2312" w:cs="仿宋_GB2312"/>
          <w:sz w:val="32"/>
          <w:szCs w:val="32"/>
          <w:lang w:val="en-US" w:eastAsia="zh-CN"/>
        </w:rPr>
        <w:t>0</w:t>
      </w:r>
      <w:bookmarkEnd w:id="20"/>
      <w:r>
        <w:rPr>
          <w:rFonts w:hint="eastAsia" w:ascii="仿宋_GB2312" w:hAnsi="仿宋_GB2312" w:eastAsia="仿宋_GB2312" w:cs="仿宋_GB2312"/>
          <w:sz w:val="32"/>
          <w:szCs w:val="32"/>
        </w:rPr>
        <w:t>；公务用车运行维护费支出决算为</w:t>
      </w:r>
      <w:bookmarkStart w:id="21" w:name="PO_part3A3B1C1qzAmount5"/>
      <w:r>
        <w:rPr>
          <w:rFonts w:hint="eastAsia" w:ascii="仿宋_GB2312" w:hAnsi="仿宋_GB2312" w:eastAsia="仿宋_GB2312" w:cs="仿宋_GB2312"/>
          <w:sz w:val="32"/>
          <w:szCs w:val="32"/>
        </w:rPr>
        <w:t>0</w:t>
      </w:r>
      <w:bookmarkEnd w:id="21"/>
      <w:r>
        <w:rPr>
          <w:rFonts w:hint="eastAsia" w:ascii="仿宋_GB2312" w:hAnsi="仿宋_GB2312" w:eastAsia="仿宋_GB2312" w:cs="仿宋_GB2312"/>
          <w:sz w:val="32"/>
          <w:szCs w:val="32"/>
        </w:rPr>
        <w:t>万元，完成预算</w:t>
      </w:r>
      <w:bookmarkStart w:id="22" w:name="PO_part3A3B1C1qzysAmount5"/>
      <w:r>
        <w:rPr>
          <w:rFonts w:hint="eastAsia" w:ascii="仿宋_GB2312" w:hAnsi="仿宋_GB2312" w:eastAsia="仿宋_GB2312" w:cs="仿宋_GB2312"/>
          <w:sz w:val="32"/>
          <w:szCs w:val="32"/>
        </w:rPr>
        <w:t>0</w:t>
      </w:r>
      <w:bookmarkEnd w:id="22"/>
      <w:r>
        <w:rPr>
          <w:rFonts w:hint="eastAsia" w:ascii="仿宋_GB2312" w:hAnsi="仿宋_GB2312" w:eastAsia="仿宋_GB2312" w:cs="仿宋_GB2312"/>
          <w:sz w:val="32"/>
          <w:szCs w:val="32"/>
        </w:rPr>
        <w:t>万元的</w:t>
      </w:r>
      <w:bookmarkStart w:id="23" w:name="PO_part3A3B1C1qzPercent5"/>
      <w:r>
        <w:rPr>
          <w:rFonts w:hint="eastAsia" w:ascii="仿宋_GB2312" w:hAnsi="仿宋_GB2312" w:eastAsia="仿宋_GB2312" w:cs="仿宋_GB2312"/>
          <w:sz w:val="32"/>
          <w:szCs w:val="32"/>
        </w:rPr>
        <w:t>0%</w:t>
      </w:r>
      <w:bookmarkEnd w:id="23"/>
      <w:r>
        <w:rPr>
          <w:rFonts w:hint="eastAsia" w:ascii="仿宋_GB2312" w:hAnsi="仿宋_GB2312" w:eastAsia="仿宋_GB2312" w:cs="仿宋_GB2312"/>
          <w:sz w:val="32"/>
          <w:szCs w:val="32"/>
        </w:rPr>
        <w:t>，比上年决算数</w:t>
      </w:r>
      <w:bookmarkStart w:id="24" w:name="PO_part3A3B1C1IncAmount5"/>
      <w:r>
        <w:rPr>
          <w:rFonts w:hint="eastAsia" w:ascii="仿宋_GB2312" w:hAnsi="仿宋_GB2312" w:eastAsia="仿宋_GB2312" w:cs="仿宋_GB2312"/>
          <w:sz w:val="32"/>
          <w:szCs w:val="32"/>
        </w:rPr>
        <w:t>增加</w:t>
      </w:r>
      <w:r>
        <w:rPr>
          <w:rFonts w:hint="eastAsia" w:ascii="仿宋_GB2312" w:hAnsi="仿宋_GB2312" w:eastAsia="仿宋_GB2312" w:cs="仿宋_GB2312"/>
          <w:sz w:val="32"/>
          <w:szCs w:val="32"/>
          <w:lang w:val="en-US" w:eastAsia="zh-CN"/>
        </w:rPr>
        <w:t>0</w:t>
      </w:r>
      <w:bookmarkEnd w:id="24"/>
      <w:r>
        <w:rPr>
          <w:rFonts w:hint="eastAsia" w:ascii="仿宋_GB2312" w:hAnsi="仿宋_GB2312" w:eastAsia="仿宋_GB2312" w:cs="仿宋_GB2312"/>
          <w:sz w:val="32"/>
          <w:szCs w:val="32"/>
        </w:rPr>
        <w:t>万元，</w:t>
      </w:r>
      <w:bookmarkStart w:id="25" w:name="PO_part3A3B1C1IncPercent5"/>
      <w:r>
        <w:rPr>
          <w:rFonts w:hint="eastAsia" w:ascii="仿宋_GB2312" w:hAnsi="仿宋_GB2312" w:eastAsia="仿宋_GB2312" w:cs="仿宋_GB2312"/>
          <w:sz w:val="32"/>
          <w:szCs w:val="32"/>
        </w:rPr>
        <w:t>增</w:t>
      </w:r>
      <w:r>
        <w:rPr>
          <w:rFonts w:hint="eastAsia" w:ascii="仿宋_GB2312" w:hAnsi="仿宋_GB2312" w:eastAsia="仿宋_GB2312" w:cs="仿宋_GB2312"/>
          <w:sz w:val="32"/>
          <w:szCs w:val="32"/>
          <w:lang w:eastAsia="zh-CN"/>
        </w:rPr>
        <w:t>长</w:t>
      </w:r>
      <w:r>
        <w:rPr>
          <w:rFonts w:hint="eastAsia" w:ascii="仿宋_GB2312" w:hAnsi="仿宋_GB2312" w:eastAsia="仿宋_GB2312" w:cs="仿宋_GB2312"/>
          <w:sz w:val="32"/>
          <w:szCs w:val="32"/>
          <w:lang w:val="en-US" w:eastAsia="zh-CN"/>
        </w:rPr>
        <w:t>0</w:t>
      </w:r>
      <w:bookmarkEnd w:id="25"/>
      <w:r>
        <w:rPr>
          <w:rFonts w:hint="eastAsia" w:ascii="仿宋_GB2312" w:hAnsi="仿宋_GB2312" w:eastAsia="仿宋_GB2312" w:cs="仿宋_GB2312"/>
          <w:sz w:val="32"/>
          <w:szCs w:val="32"/>
        </w:rPr>
        <w:t>；公务接待费支出决算为</w:t>
      </w:r>
      <w:bookmarkStart w:id="26" w:name="PO_part3A3B1C1qzAmount3"/>
      <w:r>
        <w:rPr>
          <w:rFonts w:hint="eastAsia" w:ascii="仿宋_GB2312" w:hAnsi="仿宋_GB2312" w:eastAsia="仿宋_GB2312" w:cs="仿宋_GB2312"/>
          <w:sz w:val="32"/>
          <w:szCs w:val="32"/>
        </w:rPr>
        <w:t>0</w:t>
      </w:r>
      <w:bookmarkEnd w:id="26"/>
      <w:r>
        <w:rPr>
          <w:rFonts w:hint="eastAsia" w:ascii="仿宋_GB2312" w:hAnsi="仿宋_GB2312" w:eastAsia="仿宋_GB2312" w:cs="仿宋_GB2312"/>
          <w:sz w:val="32"/>
          <w:szCs w:val="32"/>
        </w:rPr>
        <w:t>万元，完成预算</w:t>
      </w:r>
      <w:bookmarkStart w:id="27" w:name="PO_part3A3B1C1qzysAmount3"/>
      <w:r>
        <w:rPr>
          <w:rFonts w:hint="eastAsia" w:ascii="仿宋_GB2312" w:hAnsi="仿宋_GB2312" w:eastAsia="仿宋_GB2312" w:cs="仿宋_GB2312"/>
          <w:sz w:val="32"/>
          <w:szCs w:val="32"/>
        </w:rPr>
        <w:t>0</w:t>
      </w:r>
      <w:bookmarkEnd w:id="27"/>
      <w:r>
        <w:rPr>
          <w:rFonts w:hint="eastAsia" w:ascii="仿宋_GB2312" w:hAnsi="仿宋_GB2312" w:eastAsia="仿宋_GB2312" w:cs="仿宋_GB2312"/>
          <w:sz w:val="32"/>
          <w:szCs w:val="32"/>
        </w:rPr>
        <w:t>万元的</w:t>
      </w:r>
      <w:bookmarkStart w:id="28" w:name="PO_part3A3B1C1qzPercent3"/>
      <w:r>
        <w:rPr>
          <w:rFonts w:hint="eastAsia" w:ascii="仿宋_GB2312" w:hAnsi="仿宋_GB2312" w:eastAsia="仿宋_GB2312" w:cs="仿宋_GB2312"/>
          <w:sz w:val="32"/>
          <w:szCs w:val="32"/>
        </w:rPr>
        <w:t>0%</w:t>
      </w:r>
      <w:bookmarkEnd w:id="28"/>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比上年决算数</w:t>
      </w:r>
      <w:bookmarkStart w:id="29" w:name="PO_part3A3B1C1IncAmount6"/>
      <w:r>
        <w:rPr>
          <w:rFonts w:hint="eastAsia" w:ascii="仿宋_GB2312" w:hAnsi="仿宋_GB2312" w:eastAsia="仿宋_GB2312" w:cs="仿宋_GB2312"/>
          <w:sz w:val="32"/>
          <w:szCs w:val="32"/>
        </w:rPr>
        <w:t>增加</w:t>
      </w:r>
      <w:r>
        <w:rPr>
          <w:rFonts w:hint="eastAsia" w:ascii="仿宋_GB2312" w:hAnsi="仿宋_GB2312" w:eastAsia="仿宋_GB2312" w:cs="仿宋_GB2312"/>
          <w:sz w:val="32"/>
          <w:szCs w:val="32"/>
          <w:lang w:val="en-US" w:eastAsia="zh-CN"/>
        </w:rPr>
        <w:t>0</w:t>
      </w:r>
      <w:bookmarkEnd w:id="29"/>
      <w:r>
        <w:rPr>
          <w:rFonts w:hint="eastAsia" w:ascii="仿宋_GB2312" w:hAnsi="仿宋_GB2312" w:eastAsia="仿宋_GB2312" w:cs="仿宋_GB2312"/>
          <w:sz w:val="32"/>
          <w:szCs w:val="32"/>
        </w:rPr>
        <w:t>万元，</w:t>
      </w:r>
      <w:bookmarkStart w:id="30" w:name="PO_part3A3B1C1IncPercent6"/>
      <w:r>
        <w:rPr>
          <w:rFonts w:hint="eastAsia" w:ascii="仿宋_GB2312" w:hAnsi="仿宋_GB2312" w:eastAsia="仿宋_GB2312" w:cs="仿宋_GB2312"/>
          <w:sz w:val="32"/>
          <w:szCs w:val="32"/>
        </w:rPr>
        <w:t>增</w:t>
      </w:r>
      <w:r>
        <w:rPr>
          <w:rFonts w:hint="eastAsia" w:ascii="仿宋_GB2312" w:hAnsi="仿宋_GB2312" w:eastAsia="仿宋_GB2312" w:cs="仿宋_GB2312"/>
          <w:sz w:val="32"/>
          <w:szCs w:val="32"/>
          <w:lang w:eastAsia="zh-CN"/>
        </w:rPr>
        <w:t>长</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 xml:space="preserve">。 </w:t>
      </w:r>
      <w:bookmarkEnd w:id="30"/>
    </w:p>
    <w:p w14:paraId="6D7824D7">
      <w:pPr>
        <w:spacing w:line="480" w:lineRule="auto"/>
        <w:ind w:firstLine="640" w:firstLineChars="200"/>
        <w:jc w:val="left"/>
        <w:rPr>
          <w:rFonts w:hint="eastAsia" w:ascii="仿宋_GB2312" w:hAnsi="仿宋_GB2312" w:eastAsia="仿宋_GB2312" w:cs="仿宋_GB2312"/>
          <w:sz w:val="32"/>
          <w:szCs w:val="32"/>
        </w:rPr>
      </w:pPr>
      <w:bookmarkStart w:id="31" w:name="PO_part3A3B1C1Year1"/>
      <w:r>
        <w:rPr>
          <w:rFonts w:hint="eastAsia" w:ascii="仿宋_GB2312" w:hAnsi="仿宋_GB2312" w:eastAsia="仿宋_GB2312" w:cs="仿宋_GB2312"/>
          <w:sz w:val="32"/>
          <w:szCs w:val="32"/>
        </w:rPr>
        <w:t>202</w:t>
      </w:r>
      <w:bookmarkEnd w:id="31"/>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年度“三公”经费支出决算</w:t>
      </w:r>
      <w:bookmarkStart w:id="32" w:name="PO_part3A3B1C1Diff1"/>
      <w:r>
        <w:rPr>
          <w:rFonts w:hint="eastAsia" w:ascii="仿宋_GB2312" w:hAnsi="仿宋_GB2312" w:eastAsia="仿宋_GB2312" w:cs="仿宋_GB2312"/>
          <w:sz w:val="32"/>
          <w:szCs w:val="32"/>
          <w:lang w:eastAsia="zh-CN"/>
        </w:rPr>
        <w:t>等于</w:t>
      </w:r>
      <w:bookmarkEnd w:id="32"/>
      <w:r>
        <w:rPr>
          <w:rFonts w:hint="eastAsia" w:ascii="仿宋_GB2312" w:hAnsi="仿宋_GB2312" w:eastAsia="仿宋_GB2312" w:cs="仿宋_GB2312"/>
          <w:sz w:val="32"/>
          <w:szCs w:val="32"/>
        </w:rPr>
        <w:t>预算数的主要情况：</w:t>
      </w:r>
      <w:bookmarkStart w:id="33" w:name="PO_part3A3B1C1DiffReason1"/>
      <w:r>
        <w:rPr>
          <w:rFonts w:hint="eastAsia" w:ascii="仿宋_GB2312" w:hAnsi="仿宋_GB2312" w:eastAsia="仿宋_GB2312" w:cs="仿宋_GB2312"/>
          <w:sz w:val="32"/>
          <w:szCs w:val="32"/>
          <w:lang w:eastAsia="zh-CN"/>
        </w:rPr>
        <w:t>我单位无三公经费。</w:t>
      </w:r>
      <w:r>
        <w:rPr>
          <w:rFonts w:hint="eastAsia" w:ascii="仿宋_GB2312" w:hAnsi="仿宋_GB2312" w:eastAsia="仿宋_GB2312" w:cs="仿宋_GB2312"/>
          <w:sz w:val="32"/>
          <w:szCs w:val="32"/>
        </w:rPr>
        <w:t xml:space="preserve"> </w:t>
      </w:r>
      <w:bookmarkEnd w:id="33"/>
    </w:p>
    <w:p w14:paraId="5F211B2E">
      <w:pPr>
        <w:spacing w:line="480" w:lineRule="auto"/>
        <w:ind w:firstLine="640" w:firstLineChars="200"/>
        <w:jc w:val="left"/>
        <w:rPr>
          <w:rFonts w:hint="eastAsia" w:ascii="仿宋_GB2312" w:hAnsi="仿宋_GB2312" w:eastAsia="仿宋_GB2312" w:cs="仿宋_GB2312"/>
          <w:sz w:val="32"/>
          <w:szCs w:val="32"/>
        </w:rPr>
      </w:pPr>
      <w:bookmarkStart w:id="34" w:name="PO_part3A3B1C1Year2"/>
      <w:r>
        <w:rPr>
          <w:rFonts w:hint="eastAsia" w:ascii="仿宋_GB2312" w:hAnsi="仿宋_GB2312" w:eastAsia="仿宋_GB2312" w:cs="仿宋_GB2312"/>
          <w:sz w:val="32"/>
          <w:szCs w:val="32"/>
        </w:rPr>
        <w:t>202</w:t>
      </w:r>
      <w:bookmarkEnd w:id="34"/>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年度“三公”经费支出决算</w:t>
      </w:r>
      <w:bookmarkStart w:id="35" w:name="PO_part3A3B1C1Diff2"/>
      <w:r>
        <w:rPr>
          <w:rFonts w:hint="eastAsia" w:ascii="仿宋_GB2312" w:hAnsi="仿宋_GB2312" w:eastAsia="仿宋_GB2312" w:cs="仿宋_GB2312"/>
          <w:sz w:val="32"/>
          <w:szCs w:val="32"/>
          <w:lang w:eastAsia="zh-CN"/>
        </w:rPr>
        <w:t>等于</w:t>
      </w:r>
      <w:bookmarkEnd w:id="35"/>
      <w:r>
        <w:rPr>
          <w:rFonts w:hint="eastAsia" w:ascii="仿宋_GB2312" w:hAnsi="仿宋_GB2312" w:eastAsia="仿宋_GB2312" w:cs="仿宋_GB2312"/>
          <w:sz w:val="32"/>
          <w:szCs w:val="32"/>
        </w:rPr>
        <w:t>上年决算数的主要情况：</w:t>
      </w:r>
      <w:bookmarkStart w:id="36" w:name="PO_part3A3B1C1DiffReason2"/>
      <w:r>
        <w:rPr>
          <w:rFonts w:hint="eastAsia" w:ascii="仿宋_GB2312" w:hAnsi="仿宋_GB2312" w:eastAsia="仿宋_GB2312" w:cs="仿宋_GB2312"/>
          <w:sz w:val="32"/>
          <w:szCs w:val="32"/>
          <w:lang w:eastAsia="zh-CN"/>
        </w:rPr>
        <w:t>我单位无三公经费。</w:t>
      </w:r>
      <w:r>
        <w:rPr>
          <w:rFonts w:hint="eastAsia" w:ascii="仿宋_GB2312" w:hAnsi="仿宋_GB2312" w:eastAsia="仿宋_GB2312" w:cs="仿宋_GB2312"/>
          <w:sz w:val="32"/>
          <w:szCs w:val="32"/>
        </w:rPr>
        <w:t xml:space="preserve"> </w:t>
      </w:r>
      <w:bookmarkEnd w:id="36"/>
      <w:r>
        <w:rPr>
          <w:rFonts w:hint="eastAsia" w:ascii="仿宋_GB2312" w:hAnsi="仿宋_GB2312" w:eastAsia="仿宋_GB2312" w:cs="仿宋_GB2312"/>
          <w:sz w:val="32"/>
          <w:szCs w:val="32"/>
        </w:rPr>
        <w:t xml:space="preserve"> </w:t>
      </w:r>
    </w:p>
    <w:p w14:paraId="2A452BC3">
      <w:pPr>
        <w:spacing w:line="480" w:lineRule="auto"/>
        <w:ind w:firstLine="643" w:firstLineChars="200"/>
        <w:jc w:val="left"/>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（二）“三公”经费财政拨款支出决算具体情况说明</w:t>
      </w:r>
    </w:p>
    <w:p w14:paraId="30C42375">
      <w:pPr>
        <w:spacing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bookmarkStart w:id="37" w:name="PO_part3A3B2Year1"/>
      <w:r>
        <w:rPr>
          <w:rFonts w:hint="eastAsia" w:ascii="仿宋_GB2312" w:hAnsi="仿宋_GB2312" w:eastAsia="仿宋_GB2312" w:cs="仿宋_GB2312"/>
          <w:sz w:val="32"/>
          <w:szCs w:val="32"/>
        </w:rPr>
        <w:t>202</w:t>
      </w:r>
      <w:bookmarkEnd w:id="37"/>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年度“三公”经费财政拨款支出决算中，因公出国（境）费</w:t>
      </w:r>
      <w:bookmarkStart w:id="38" w:name="PO_part3A3B2Amount1"/>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万元，占0%</w:t>
      </w:r>
      <w:bookmarkEnd w:id="38"/>
      <w:r>
        <w:rPr>
          <w:rFonts w:hint="eastAsia" w:ascii="仿宋_GB2312" w:hAnsi="仿宋_GB2312" w:eastAsia="仿宋_GB2312" w:cs="仿宋_GB2312"/>
          <w:sz w:val="32"/>
          <w:szCs w:val="32"/>
        </w:rPr>
        <w:t>；公务用车购置及运行维护费支出</w:t>
      </w:r>
      <w:bookmarkStart w:id="39" w:name="PO_part3A3B2Amount2"/>
      <w:r>
        <w:rPr>
          <w:rFonts w:hint="eastAsia" w:ascii="仿宋_GB2312" w:hAnsi="仿宋_GB2312" w:eastAsia="仿宋_GB2312" w:cs="仿宋_GB2312"/>
          <w:sz w:val="32"/>
          <w:szCs w:val="32"/>
        </w:rPr>
        <w:t>0万元，占0%</w:t>
      </w:r>
      <w:bookmarkEnd w:id="39"/>
      <w:r>
        <w:rPr>
          <w:rFonts w:hint="eastAsia" w:ascii="仿宋_GB2312" w:hAnsi="仿宋_GB2312" w:eastAsia="仿宋_GB2312" w:cs="仿宋_GB2312"/>
          <w:sz w:val="32"/>
          <w:szCs w:val="32"/>
        </w:rPr>
        <w:t>；公务接待费支出</w:t>
      </w:r>
      <w:bookmarkStart w:id="40" w:name="PO_part3A3B2Amount3"/>
      <w:r>
        <w:rPr>
          <w:rFonts w:hint="eastAsia" w:ascii="仿宋_GB2312" w:hAnsi="仿宋_GB2312" w:eastAsia="仿宋_GB2312" w:cs="仿宋_GB2312"/>
          <w:sz w:val="32"/>
          <w:szCs w:val="32"/>
        </w:rPr>
        <w:t>0万元，占0%</w:t>
      </w:r>
      <w:bookmarkEnd w:id="40"/>
      <w:r>
        <w:rPr>
          <w:rFonts w:hint="eastAsia" w:ascii="仿宋_GB2312" w:hAnsi="仿宋_GB2312" w:eastAsia="仿宋_GB2312" w:cs="仿宋_GB2312"/>
          <w:sz w:val="32"/>
          <w:szCs w:val="32"/>
        </w:rPr>
        <w:t>。具体情况如下：</w:t>
      </w:r>
    </w:p>
    <w:p w14:paraId="26E14194">
      <w:pPr>
        <w:spacing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1.因公出国（境）费支出</w:t>
      </w:r>
      <w:bookmarkStart w:id="41" w:name="PO_part3A3B2C1Amount1"/>
      <w:r>
        <w:rPr>
          <w:rFonts w:hint="eastAsia" w:ascii="仿宋_GB2312" w:hAnsi="仿宋_GB2312" w:eastAsia="仿宋_GB2312" w:cs="仿宋_GB2312"/>
          <w:sz w:val="32"/>
          <w:szCs w:val="32"/>
        </w:rPr>
        <w:t>0</w:t>
      </w:r>
      <w:bookmarkEnd w:id="41"/>
      <w:r>
        <w:rPr>
          <w:rFonts w:hint="eastAsia" w:ascii="仿宋_GB2312" w:hAnsi="仿宋_GB2312" w:eastAsia="仿宋_GB2312" w:cs="仿宋_GB2312"/>
          <w:sz w:val="32"/>
          <w:szCs w:val="32"/>
        </w:rPr>
        <w:t>万元。全年使用财政拨款安排出国（境）团组</w:t>
      </w:r>
      <w:bookmarkStart w:id="42" w:name="PO_part3A3B2C1JgcgCount1"/>
      <w:r>
        <w:rPr>
          <w:rFonts w:hint="eastAsia" w:ascii="仿宋_GB2312" w:hAnsi="仿宋_GB2312" w:eastAsia="仿宋_GB2312" w:cs="仿宋_GB2312"/>
          <w:sz w:val="32"/>
          <w:szCs w:val="32"/>
        </w:rPr>
        <w:t>0</w:t>
      </w:r>
      <w:bookmarkEnd w:id="42"/>
      <w:r>
        <w:rPr>
          <w:rFonts w:hint="eastAsia" w:ascii="仿宋_GB2312" w:hAnsi="仿宋_GB2312" w:eastAsia="仿宋_GB2312" w:cs="仿宋_GB2312"/>
          <w:sz w:val="32"/>
          <w:szCs w:val="32"/>
        </w:rPr>
        <w:t>个、累计</w:t>
      </w:r>
      <w:bookmarkStart w:id="43" w:name="PO_part3A3B2C1JgcgManCount1"/>
      <w:r>
        <w:rPr>
          <w:rFonts w:hint="eastAsia" w:ascii="仿宋_GB2312" w:hAnsi="仿宋_GB2312" w:eastAsia="仿宋_GB2312" w:cs="仿宋_GB2312"/>
          <w:sz w:val="32"/>
          <w:szCs w:val="32"/>
        </w:rPr>
        <w:t>0</w:t>
      </w:r>
      <w:bookmarkEnd w:id="43"/>
      <w:r>
        <w:rPr>
          <w:rFonts w:hint="eastAsia" w:ascii="仿宋_GB2312" w:hAnsi="仿宋_GB2312" w:eastAsia="仿宋_GB2312" w:cs="仿宋_GB2312"/>
          <w:sz w:val="32"/>
          <w:szCs w:val="32"/>
        </w:rPr>
        <w:t>人次</w:t>
      </w:r>
      <w:bookmarkStart w:id="44" w:name="PO_part3A3B2C1D1Meeting1"/>
      <w:r>
        <w:rPr>
          <w:rFonts w:hint="eastAsia" w:ascii="仿宋_GB2312" w:hAnsi="仿宋_GB2312" w:eastAsia="仿宋_GB2312" w:cs="仿宋_GB2312"/>
          <w:sz w:val="32"/>
          <w:szCs w:val="32"/>
        </w:rPr>
        <w:t xml:space="preserve">。 </w:t>
      </w:r>
      <w:bookmarkEnd w:id="44"/>
    </w:p>
    <w:p w14:paraId="2260D202">
      <w:pPr>
        <w:spacing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2.公务用车购置及运行维护费支出</w:t>
      </w:r>
      <w:bookmarkStart w:id="45" w:name="PO_part3A3B2C2Amount1"/>
      <w:r>
        <w:rPr>
          <w:rFonts w:hint="eastAsia" w:ascii="仿宋_GB2312" w:hAnsi="仿宋_GB2312" w:eastAsia="仿宋_GB2312" w:cs="仿宋_GB2312"/>
          <w:sz w:val="32"/>
          <w:szCs w:val="32"/>
        </w:rPr>
        <w:t>0</w:t>
      </w:r>
      <w:bookmarkEnd w:id="45"/>
      <w:r>
        <w:rPr>
          <w:rFonts w:hint="eastAsia" w:ascii="仿宋_GB2312" w:hAnsi="仿宋_GB2312" w:eastAsia="仿宋_GB2312" w:cs="仿宋_GB2312"/>
          <w:sz w:val="32"/>
          <w:szCs w:val="32"/>
        </w:rPr>
        <w:t>万元，其中：公务用车购置支出为</w:t>
      </w:r>
      <w:bookmarkStart w:id="46" w:name="PO_part3A3B2C2D1Amount1"/>
      <w:r>
        <w:rPr>
          <w:rFonts w:hint="eastAsia" w:ascii="仿宋_GB2312" w:hAnsi="仿宋_GB2312" w:eastAsia="仿宋_GB2312" w:cs="仿宋_GB2312"/>
          <w:sz w:val="32"/>
          <w:szCs w:val="32"/>
        </w:rPr>
        <w:t>0</w:t>
      </w:r>
      <w:bookmarkEnd w:id="46"/>
      <w:r>
        <w:rPr>
          <w:rFonts w:hint="eastAsia" w:ascii="仿宋_GB2312" w:hAnsi="仿宋_GB2312" w:eastAsia="仿宋_GB2312" w:cs="仿宋_GB2312"/>
          <w:sz w:val="32"/>
          <w:szCs w:val="32"/>
        </w:rPr>
        <w:t>万元，公务用车购置数</w:t>
      </w:r>
      <w:bookmarkStart w:id="47" w:name="PO_part3A3B2C2D1CarCount1"/>
      <w:r>
        <w:rPr>
          <w:rFonts w:hint="eastAsia" w:ascii="仿宋_GB2312" w:hAnsi="仿宋_GB2312" w:eastAsia="仿宋_GB2312" w:cs="仿宋_GB2312"/>
          <w:sz w:val="32"/>
          <w:szCs w:val="32"/>
          <w:lang w:val="en-US" w:eastAsia="zh-CN"/>
        </w:rPr>
        <w:t>0</w:t>
      </w:r>
      <w:bookmarkEnd w:id="47"/>
      <w:r>
        <w:rPr>
          <w:rFonts w:hint="eastAsia" w:ascii="仿宋_GB2312" w:hAnsi="仿宋_GB2312" w:eastAsia="仿宋_GB2312" w:cs="仿宋_GB2312"/>
          <w:sz w:val="32"/>
          <w:szCs w:val="32"/>
        </w:rPr>
        <w:t>辆。公务用车运行维护费支出</w:t>
      </w:r>
      <w:bookmarkStart w:id="48" w:name="PO_part3A3B2C2D2Amount1"/>
      <w:r>
        <w:rPr>
          <w:rFonts w:hint="eastAsia" w:ascii="仿宋_GB2312" w:hAnsi="仿宋_GB2312" w:eastAsia="仿宋_GB2312" w:cs="仿宋_GB2312"/>
          <w:sz w:val="32"/>
          <w:szCs w:val="32"/>
        </w:rPr>
        <w:t>0</w:t>
      </w:r>
      <w:bookmarkEnd w:id="48"/>
      <w:r>
        <w:rPr>
          <w:rFonts w:hint="eastAsia" w:ascii="仿宋_GB2312" w:hAnsi="仿宋_GB2312" w:eastAsia="仿宋_GB2312" w:cs="仿宋_GB2312"/>
          <w:sz w:val="32"/>
          <w:szCs w:val="32"/>
        </w:rPr>
        <w:t>万元，公务用车保有量为</w:t>
      </w:r>
      <w:bookmarkStart w:id="49" w:name="PO_part3A3B2C2D2CarCount1"/>
      <w:r>
        <w:rPr>
          <w:rFonts w:hint="eastAsia" w:ascii="仿宋_GB2312" w:hAnsi="仿宋_GB2312" w:eastAsia="仿宋_GB2312" w:cs="仿宋_GB2312"/>
          <w:sz w:val="32"/>
          <w:szCs w:val="32"/>
        </w:rPr>
        <w:t>0</w:t>
      </w:r>
      <w:bookmarkEnd w:id="49"/>
      <w:r>
        <w:rPr>
          <w:rFonts w:hint="eastAsia" w:ascii="仿宋_GB2312" w:hAnsi="仿宋_GB2312" w:eastAsia="仿宋_GB2312" w:cs="仿宋_GB2312"/>
          <w:sz w:val="32"/>
          <w:szCs w:val="32"/>
        </w:rPr>
        <w:t>辆，主要用于</w:t>
      </w:r>
      <w:bookmarkStart w:id="50" w:name="PO_part3A3B2C2D2Use1"/>
      <w:r>
        <w:rPr>
          <w:rFonts w:hint="eastAsia" w:ascii="仿宋_GB2312" w:hAnsi="仿宋_GB2312" w:eastAsia="仿宋_GB2312" w:cs="仿宋_GB2312"/>
          <w:sz w:val="32"/>
          <w:szCs w:val="32"/>
          <w:lang w:eastAsia="zh-CN"/>
        </w:rPr>
        <w:t>我单位无公务用车购置及运行维护费支出。</w:t>
      </w:r>
      <w:r>
        <w:rPr>
          <w:rFonts w:hint="eastAsia" w:ascii="仿宋_GB2312" w:hAnsi="仿宋_GB2312" w:eastAsia="仿宋_GB2312" w:cs="仿宋_GB2312"/>
          <w:sz w:val="32"/>
          <w:szCs w:val="32"/>
        </w:rPr>
        <w:t xml:space="preserve"> </w:t>
      </w:r>
      <w:bookmarkEnd w:id="50"/>
    </w:p>
    <w:p w14:paraId="4E5BE417">
      <w:pPr>
        <w:spacing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3.公务接待费支出</w:t>
      </w:r>
      <w:bookmarkStart w:id="51" w:name="PO_part3A3B2C3Amount1"/>
      <w:r>
        <w:rPr>
          <w:rFonts w:hint="eastAsia" w:ascii="仿宋_GB2312" w:hAnsi="仿宋_GB2312" w:eastAsia="仿宋_GB2312" w:cs="仿宋_GB2312"/>
          <w:sz w:val="32"/>
          <w:szCs w:val="32"/>
        </w:rPr>
        <w:t>0</w:t>
      </w:r>
      <w:bookmarkEnd w:id="51"/>
      <w:r>
        <w:rPr>
          <w:rFonts w:hint="eastAsia" w:ascii="仿宋_GB2312" w:hAnsi="仿宋_GB2312" w:eastAsia="仿宋_GB2312" w:cs="仿宋_GB2312"/>
          <w:sz w:val="32"/>
          <w:szCs w:val="32"/>
        </w:rPr>
        <w:t>万元，主要用于</w:t>
      </w:r>
      <w:bookmarkStart w:id="52" w:name="PO_part3A3B2C3Detail1"/>
      <w:r>
        <w:rPr>
          <w:rFonts w:hint="eastAsia" w:ascii="仿宋_GB2312" w:hAnsi="仿宋_GB2312" w:eastAsia="仿宋_GB2312" w:cs="仿宋_GB2312"/>
          <w:sz w:val="32"/>
          <w:szCs w:val="32"/>
          <w:lang w:eastAsia="zh-CN"/>
        </w:rPr>
        <w:t>我单位无公务接待费支出</w:t>
      </w:r>
      <w:r>
        <w:rPr>
          <w:rFonts w:hint="eastAsia" w:ascii="仿宋_GB2312" w:hAnsi="仿宋_GB2312" w:eastAsia="仿宋_GB2312" w:cs="仿宋_GB2312"/>
          <w:sz w:val="32"/>
          <w:szCs w:val="32"/>
        </w:rPr>
        <w:t xml:space="preserve"> </w:t>
      </w:r>
      <w:bookmarkEnd w:id="52"/>
      <w:r>
        <w:rPr>
          <w:rFonts w:hint="eastAsia" w:ascii="仿宋_GB2312" w:hAnsi="仿宋_GB2312" w:eastAsia="仿宋_GB2312" w:cs="仿宋_GB2312"/>
          <w:sz w:val="32"/>
          <w:szCs w:val="32"/>
        </w:rPr>
        <w:t>，共接待国外、境外来访团组</w:t>
      </w:r>
      <w:bookmarkStart w:id="53" w:name="PO_part3A3B2C3LfztCount1"/>
      <w:r>
        <w:rPr>
          <w:rFonts w:hint="eastAsia" w:ascii="仿宋_GB2312" w:hAnsi="仿宋_GB2312" w:eastAsia="仿宋_GB2312" w:cs="仿宋_GB2312"/>
          <w:sz w:val="32"/>
          <w:szCs w:val="32"/>
        </w:rPr>
        <w:t>0</w:t>
      </w:r>
      <w:bookmarkEnd w:id="53"/>
      <w:r>
        <w:rPr>
          <w:rFonts w:hint="eastAsia" w:ascii="仿宋_GB2312" w:hAnsi="仿宋_GB2312" w:eastAsia="仿宋_GB2312" w:cs="仿宋_GB2312"/>
          <w:sz w:val="32"/>
          <w:szCs w:val="32"/>
        </w:rPr>
        <w:t>个，来访外宾</w:t>
      </w:r>
      <w:bookmarkStart w:id="54" w:name="PO_part3A3B2C3LfwbCount1"/>
      <w:r>
        <w:rPr>
          <w:rFonts w:hint="eastAsia" w:ascii="仿宋_GB2312" w:hAnsi="仿宋_GB2312" w:eastAsia="仿宋_GB2312" w:cs="仿宋_GB2312"/>
          <w:sz w:val="32"/>
          <w:szCs w:val="32"/>
        </w:rPr>
        <w:t xml:space="preserve">0 </w:t>
      </w:r>
      <w:bookmarkEnd w:id="54"/>
      <w:r>
        <w:rPr>
          <w:rFonts w:hint="eastAsia" w:ascii="仿宋_GB2312" w:hAnsi="仿宋_GB2312" w:eastAsia="仿宋_GB2312" w:cs="仿宋_GB2312"/>
          <w:sz w:val="32"/>
          <w:szCs w:val="32"/>
        </w:rPr>
        <w:t>人次；发生国内接待</w:t>
      </w:r>
      <w:bookmarkStart w:id="55" w:name="PO_part3A3B2C3GnjdCount1"/>
      <w:r>
        <w:rPr>
          <w:rFonts w:hint="eastAsia" w:ascii="仿宋_GB2312" w:hAnsi="仿宋_GB2312" w:eastAsia="仿宋_GB2312" w:cs="仿宋_GB2312"/>
          <w:sz w:val="32"/>
          <w:szCs w:val="32"/>
        </w:rPr>
        <w:t>0</w:t>
      </w:r>
      <w:bookmarkEnd w:id="55"/>
      <w:r>
        <w:rPr>
          <w:rFonts w:hint="eastAsia" w:ascii="仿宋_GB2312" w:hAnsi="仿宋_GB2312" w:eastAsia="仿宋_GB2312" w:cs="仿宋_GB2312"/>
          <w:sz w:val="32"/>
          <w:szCs w:val="32"/>
        </w:rPr>
        <w:t>次，接待人数共</w:t>
      </w:r>
      <w:bookmarkStart w:id="56" w:name="PO_part3A3B2C3GnjdManCount1"/>
      <w:r>
        <w:rPr>
          <w:rFonts w:hint="eastAsia" w:ascii="仿宋_GB2312" w:hAnsi="仿宋_GB2312" w:eastAsia="仿宋_GB2312" w:cs="仿宋_GB2312"/>
          <w:sz w:val="32"/>
          <w:szCs w:val="32"/>
        </w:rPr>
        <w:t>0</w:t>
      </w:r>
      <w:bookmarkEnd w:id="56"/>
      <w:r>
        <w:rPr>
          <w:rFonts w:hint="eastAsia" w:ascii="仿宋_GB2312" w:hAnsi="仿宋_GB2312" w:eastAsia="仿宋_GB2312" w:cs="仿宋_GB2312"/>
          <w:sz w:val="32"/>
          <w:szCs w:val="32"/>
        </w:rPr>
        <w:t>人。</w:t>
      </w:r>
      <w:bookmarkStart w:id="57" w:name="PO_part3A3B2C3GnjdInclude1"/>
      <w:r>
        <w:rPr>
          <w:rFonts w:hint="eastAsia" w:ascii="仿宋_GB2312" w:hAnsi="仿宋_GB2312" w:eastAsia="仿宋_GB2312" w:cs="仿宋_GB2312"/>
          <w:sz w:val="32"/>
          <w:szCs w:val="32"/>
          <w:lang w:eastAsia="zh-CN"/>
        </w:rPr>
        <w:t>我单位无公务接待费支出</w:t>
      </w:r>
      <w:r>
        <w:rPr>
          <w:rFonts w:hint="eastAsia" w:ascii="仿宋_GB2312" w:hAnsi="仿宋_GB2312" w:eastAsia="仿宋_GB2312" w:cs="仿宋_GB2312"/>
          <w:sz w:val="32"/>
          <w:szCs w:val="32"/>
        </w:rPr>
        <w:t xml:space="preserve">。 </w:t>
      </w:r>
      <w:bookmarkEnd w:id="57"/>
    </w:p>
    <w:p w14:paraId="7A9211CF">
      <w:pPr>
        <w:spacing w:line="240" w:lineRule="auto"/>
        <w:ind w:firstLine="640" w:firstLineChars="200"/>
        <w:rPr>
          <w:rFonts w:hint="eastAsia" w:ascii="仿宋_GB2312" w:hAnsi="仿宋_GB2312" w:eastAsia="仿宋_GB2312" w:cs="仿宋_GB2312"/>
          <w:sz w:val="32"/>
          <w:szCs w:val="32"/>
        </w:rPr>
      </w:pPr>
    </w:p>
    <w:p w14:paraId="5DA8A8A4">
      <w:pPr>
        <w:spacing w:line="240" w:lineRule="auto"/>
        <w:ind w:firstLine="640" w:firstLineChars="200"/>
        <w:rPr>
          <w:rFonts w:hint="eastAsia" w:ascii="仿宋_GB2312" w:hAnsi="仿宋_GB2312" w:eastAsia="仿宋_GB2312" w:cs="仿宋_GB2312"/>
          <w:sz w:val="32"/>
          <w:szCs w:val="32"/>
        </w:rPr>
      </w:pPr>
    </w:p>
    <w:p w14:paraId="5D879DD4">
      <w:pPr>
        <w:spacing w:line="240" w:lineRule="auto"/>
        <w:ind w:firstLine="640" w:firstLineChars="200"/>
        <w:rPr>
          <w:rFonts w:hint="eastAsia" w:ascii="仿宋_GB2312" w:hAnsi="仿宋_GB2312" w:eastAsia="仿宋_GB2312" w:cs="仿宋_GB2312"/>
          <w:sz w:val="32"/>
          <w:szCs w:val="32"/>
        </w:rPr>
      </w:pPr>
      <w:bookmarkStart w:id="59" w:name="_GoBack"/>
      <w:bookmarkEnd w:id="59"/>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3"/>
        <w:gridCol w:w="1182"/>
        <w:gridCol w:w="1182"/>
        <w:gridCol w:w="1182"/>
        <w:gridCol w:w="1182"/>
        <w:gridCol w:w="1182"/>
        <w:gridCol w:w="1182"/>
        <w:gridCol w:w="1182"/>
        <w:gridCol w:w="1182"/>
        <w:gridCol w:w="1182"/>
        <w:gridCol w:w="1182"/>
        <w:gridCol w:w="1171"/>
      </w:tblGrid>
      <w:tr w14:paraId="3B0E4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174" w:type="dxa"/>
            <w:gridSpan w:val="12"/>
            <w:tcBorders>
              <w:top w:val="nil"/>
              <w:left w:val="nil"/>
              <w:bottom w:val="nil"/>
              <w:right w:val="nil"/>
            </w:tcBorders>
          </w:tcPr>
          <w:p w14:paraId="6A9FCD8D">
            <w:pPr>
              <w:jc w:val="right"/>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表7</w:t>
            </w:r>
          </w:p>
        </w:tc>
      </w:tr>
      <w:tr w14:paraId="53595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4174" w:type="dxa"/>
            <w:gridSpan w:val="12"/>
            <w:tcBorders>
              <w:top w:val="nil"/>
              <w:left w:val="nil"/>
              <w:bottom w:val="nil"/>
              <w:right w:val="nil"/>
            </w:tcBorders>
          </w:tcPr>
          <w:p w14:paraId="2B0556D0">
            <w:pPr>
              <w:jc w:val="center"/>
              <w:rPr>
                <w:rFonts w:hint="eastAsia" w:ascii="仿宋_GB2312" w:hAnsi="仿宋_GB2312" w:eastAsia="仿宋_GB2312" w:cs="仿宋_GB2312"/>
                <w:b/>
                <w:sz w:val="32"/>
                <w:szCs w:val="32"/>
              </w:rPr>
            </w:pPr>
            <w:r>
              <w:rPr>
                <w:rFonts w:hint="eastAsia" w:ascii="仿宋_GB2312" w:hAnsi="仿宋_GB2312" w:eastAsia="仿宋_GB2312" w:cs="仿宋_GB2312"/>
                <w:b/>
                <w:kern w:val="0"/>
                <w:sz w:val="32"/>
                <w:szCs w:val="32"/>
              </w:rPr>
              <w:t>一般公共预算财政拨款“三公”经费支出决算表</w:t>
            </w:r>
          </w:p>
        </w:tc>
      </w:tr>
      <w:tr w14:paraId="1BBEA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0639" w:type="dxa"/>
            <w:gridSpan w:val="9"/>
            <w:tcBorders>
              <w:top w:val="nil"/>
              <w:left w:val="nil"/>
              <w:bottom w:val="single" w:color="auto" w:sz="4" w:space="0"/>
              <w:right w:val="nil"/>
            </w:tcBorders>
          </w:tcPr>
          <w:p w14:paraId="188C5D72">
            <w:pPr>
              <w:spacing w:line="288" w:lineRule="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部门：</w:t>
            </w:r>
            <w:bookmarkStart w:id="58" w:name="PO_part2Table7DivName1"/>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kern w:val="0"/>
                <w:sz w:val="32"/>
                <w:szCs w:val="32"/>
                <w:lang w:eastAsia="zh-CN"/>
              </w:rPr>
              <w:t>徐闻县投资促进服务中心</w:t>
            </w:r>
            <w:r>
              <w:rPr>
                <w:rFonts w:hint="eastAsia" w:ascii="仿宋_GB2312" w:hAnsi="仿宋_GB2312" w:eastAsia="仿宋_GB2312" w:cs="仿宋_GB2312"/>
                <w:kern w:val="0"/>
                <w:sz w:val="32"/>
                <w:szCs w:val="32"/>
              </w:rPr>
              <w:t xml:space="preserve"> </w:t>
            </w:r>
            <w:bookmarkEnd w:id="58"/>
          </w:p>
        </w:tc>
        <w:tc>
          <w:tcPr>
            <w:tcW w:w="3535" w:type="dxa"/>
            <w:gridSpan w:val="3"/>
            <w:tcBorders>
              <w:top w:val="nil"/>
              <w:left w:val="nil"/>
              <w:bottom w:val="single" w:color="auto" w:sz="4" w:space="0"/>
              <w:right w:val="nil"/>
            </w:tcBorders>
          </w:tcPr>
          <w:p w14:paraId="77FAB09B">
            <w:pPr>
              <w:jc w:val="right"/>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单位：万元</w:t>
            </w:r>
          </w:p>
        </w:tc>
      </w:tr>
      <w:tr w14:paraId="1AA24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7093" w:type="dxa"/>
            <w:gridSpan w:val="6"/>
            <w:tcBorders>
              <w:top w:val="single" w:color="auto" w:sz="4" w:space="0"/>
            </w:tcBorders>
            <w:vAlign w:val="center"/>
          </w:tcPr>
          <w:p w14:paraId="7B4E116B">
            <w:pPr>
              <w:jc w:val="center"/>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预算数</w:t>
            </w:r>
          </w:p>
        </w:tc>
        <w:tc>
          <w:tcPr>
            <w:tcW w:w="7081" w:type="dxa"/>
            <w:gridSpan w:val="6"/>
            <w:tcBorders>
              <w:top w:val="single" w:color="auto" w:sz="4" w:space="0"/>
            </w:tcBorders>
            <w:vAlign w:val="center"/>
          </w:tcPr>
          <w:p w14:paraId="6DD69615">
            <w:pPr>
              <w:jc w:val="center"/>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决算数</w:t>
            </w:r>
          </w:p>
        </w:tc>
      </w:tr>
      <w:tr w14:paraId="7CA16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183" w:type="dxa"/>
            <w:vMerge w:val="restart"/>
            <w:vAlign w:val="center"/>
          </w:tcPr>
          <w:p w14:paraId="687C6E6A">
            <w:pPr>
              <w:widowControl/>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合计</w:t>
            </w:r>
          </w:p>
        </w:tc>
        <w:tc>
          <w:tcPr>
            <w:tcW w:w="1182" w:type="dxa"/>
            <w:vMerge w:val="restart"/>
            <w:vAlign w:val="center"/>
          </w:tcPr>
          <w:p w14:paraId="23556205">
            <w:pPr>
              <w:widowControl/>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因公出国（境）费</w:t>
            </w:r>
          </w:p>
        </w:tc>
        <w:tc>
          <w:tcPr>
            <w:tcW w:w="3546" w:type="dxa"/>
            <w:gridSpan w:val="3"/>
            <w:vAlign w:val="center"/>
          </w:tcPr>
          <w:p w14:paraId="788EA135">
            <w:pPr>
              <w:jc w:val="center"/>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公务用车购置及运行费</w:t>
            </w:r>
          </w:p>
        </w:tc>
        <w:tc>
          <w:tcPr>
            <w:tcW w:w="1182" w:type="dxa"/>
            <w:vMerge w:val="restart"/>
            <w:vAlign w:val="center"/>
          </w:tcPr>
          <w:p w14:paraId="3C7B82AB">
            <w:pPr>
              <w:widowControl/>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公务接待费</w:t>
            </w:r>
          </w:p>
        </w:tc>
        <w:tc>
          <w:tcPr>
            <w:tcW w:w="1182" w:type="dxa"/>
            <w:vMerge w:val="restart"/>
            <w:vAlign w:val="center"/>
          </w:tcPr>
          <w:p w14:paraId="1E8EBDDE">
            <w:pPr>
              <w:widowControl/>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合计</w:t>
            </w:r>
          </w:p>
        </w:tc>
        <w:tc>
          <w:tcPr>
            <w:tcW w:w="1182" w:type="dxa"/>
            <w:vMerge w:val="restart"/>
            <w:vAlign w:val="center"/>
          </w:tcPr>
          <w:p w14:paraId="19DB2AC5">
            <w:pPr>
              <w:jc w:val="center"/>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因公出国（境）费</w:t>
            </w:r>
          </w:p>
        </w:tc>
        <w:tc>
          <w:tcPr>
            <w:tcW w:w="3546" w:type="dxa"/>
            <w:gridSpan w:val="3"/>
            <w:vAlign w:val="center"/>
          </w:tcPr>
          <w:p w14:paraId="15CE605A">
            <w:pPr>
              <w:jc w:val="center"/>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公务用车购置及运行费</w:t>
            </w:r>
          </w:p>
        </w:tc>
        <w:tc>
          <w:tcPr>
            <w:tcW w:w="1171" w:type="dxa"/>
            <w:vMerge w:val="restart"/>
            <w:vAlign w:val="center"/>
          </w:tcPr>
          <w:p w14:paraId="3D9C98B2">
            <w:pPr>
              <w:jc w:val="center"/>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公务接待费</w:t>
            </w:r>
          </w:p>
        </w:tc>
      </w:tr>
      <w:tr w14:paraId="6A8B8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183" w:type="dxa"/>
            <w:vMerge w:val="continue"/>
            <w:vAlign w:val="center"/>
          </w:tcPr>
          <w:p w14:paraId="7BD771BA">
            <w:pPr>
              <w:spacing w:line="288" w:lineRule="auto"/>
              <w:jc w:val="center"/>
              <w:rPr>
                <w:rFonts w:hint="eastAsia" w:ascii="仿宋_GB2312" w:hAnsi="仿宋_GB2312" w:eastAsia="仿宋_GB2312" w:cs="仿宋_GB2312"/>
                <w:sz w:val="32"/>
                <w:szCs w:val="32"/>
              </w:rPr>
            </w:pPr>
          </w:p>
        </w:tc>
        <w:tc>
          <w:tcPr>
            <w:tcW w:w="1182" w:type="dxa"/>
            <w:vMerge w:val="continue"/>
            <w:vAlign w:val="center"/>
          </w:tcPr>
          <w:p w14:paraId="71A90D93">
            <w:pPr>
              <w:spacing w:line="288" w:lineRule="auto"/>
              <w:jc w:val="center"/>
              <w:rPr>
                <w:rFonts w:hint="eastAsia" w:ascii="仿宋_GB2312" w:hAnsi="仿宋_GB2312" w:eastAsia="仿宋_GB2312" w:cs="仿宋_GB2312"/>
                <w:sz w:val="32"/>
                <w:szCs w:val="32"/>
              </w:rPr>
            </w:pPr>
          </w:p>
        </w:tc>
        <w:tc>
          <w:tcPr>
            <w:tcW w:w="1182" w:type="dxa"/>
            <w:vAlign w:val="center"/>
          </w:tcPr>
          <w:p w14:paraId="1C19EA1D">
            <w:pPr>
              <w:widowControl/>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小计</w:t>
            </w:r>
          </w:p>
        </w:tc>
        <w:tc>
          <w:tcPr>
            <w:tcW w:w="1182" w:type="dxa"/>
            <w:vAlign w:val="center"/>
          </w:tcPr>
          <w:p w14:paraId="088A2FC1">
            <w:pPr>
              <w:widowControl/>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公务用车</w:t>
            </w:r>
            <w:r>
              <w:rPr>
                <w:rFonts w:hint="eastAsia" w:ascii="仿宋_GB2312" w:hAnsi="仿宋_GB2312" w:eastAsia="仿宋_GB2312" w:cs="仿宋_GB2312"/>
                <w:kern w:val="0"/>
                <w:sz w:val="32"/>
                <w:szCs w:val="32"/>
              </w:rPr>
              <w:br w:type="textWrapping"/>
            </w:r>
            <w:r>
              <w:rPr>
                <w:rFonts w:hint="eastAsia" w:ascii="仿宋_GB2312" w:hAnsi="仿宋_GB2312" w:eastAsia="仿宋_GB2312" w:cs="仿宋_GB2312"/>
                <w:kern w:val="0"/>
                <w:sz w:val="32"/>
                <w:szCs w:val="32"/>
              </w:rPr>
              <w:t>购置费</w:t>
            </w:r>
          </w:p>
        </w:tc>
        <w:tc>
          <w:tcPr>
            <w:tcW w:w="1182" w:type="dxa"/>
            <w:vAlign w:val="center"/>
          </w:tcPr>
          <w:p w14:paraId="0450710D">
            <w:pPr>
              <w:widowControl/>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公务用车</w:t>
            </w:r>
            <w:r>
              <w:rPr>
                <w:rFonts w:hint="eastAsia" w:ascii="仿宋_GB2312" w:hAnsi="仿宋_GB2312" w:eastAsia="仿宋_GB2312" w:cs="仿宋_GB2312"/>
                <w:kern w:val="0"/>
                <w:sz w:val="32"/>
                <w:szCs w:val="32"/>
              </w:rPr>
              <w:br w:type="textWrapping"/>
            </w:r>
            <w:r>
              <w:rPr>
                <w:rFonts w:hint="eastAsia" w:ascii="仿宋_GB2312" w:hAnsi="仿宋_GB2312" w:eastAsia="仿宋_GB2312" w:cs="仿宋_GB2312"/>
                <w:kern w:val="0"/>
                <w:sz w:val="32"/>
                <w:szCs w:val="32"/>
              </w:rPr>
              <w:t>运行费</w:t>
            </w:r>
          </w:p>
        </w:tc>
        <w:tc>
          <w:tcPr>
            <w:tcW w:w="1182" w:type="dxa"/>
            <w:vMerge w:val="continue"/>
            <w:vAlign w:val="center"/>
          </w:tcPr>
          <w:p w14:paraId="17BA44F5">
            <w:pPr>
              <w:spacing w:line="288" w:lineRule="auto"/>
              <w:jc w:val="center"/>
              <w:rPr>
                <w:rFonts w:hint="eastAsia" w:ascii="仿宋_GB2312" w:hAnsi="仿宋_GB2312" w:eastAsia="仿宋_GB2312" w:cs="仿宋_GB2312"/>
                <w:sz w:val="32"/>
                <w:szCs w:val="32"/>
              </w:rPr>
            </w:pPr>
          </w:p>
        </w:tc>
        <w:tc>
          <w:tcPr>
            <w:tcW w:w="1182" w:type="dxa"/>
            <w:vMerge w:val="continue"/>
            <w:vAlign w:val="center"/>
          </w:tcPr>
          <w:p w14:paraId="309F9B6A">
            <w:pPr>
              <w:spacing w:line="288" w:lineRule="auto"/>
              <w:jc w:val="center"/>
              <w:rPr>
                <w:rFonts w:hint="eastAsia" w:ascii="仿宋_GB2312" w:hAnsi="仿宋_GB2312" w:eastAsia="仿宋_GB2312" w:cs="仿宋_GB2312"/>
                <w:sz w:val="32"/>
                <w:szCs w:val="32"/>
              </w:rPr>
            </w:pPr>
          </w:p>
        </w:tc>
        <w:tc>
          <w:tcPr>
            <w:tcW w:w="1182" w:type="dxa"/>
            <w:vMerge w:val="continue"/>
            <w:vAlign w:val="center"/>
          </w:tcPr>
          <w:p w14:paraId="296EADB3">
            <w:pPr>
              <w:spacing w:line="288" w:lineRule="auto"/>
              <w:jc w:val="center"/>
              <w:rPr>
                <w:rFonts w:hint="eastAsia" w:ascii="仿宋_GB2312" w:hAnsi="仿宋_GB2312" w:eastAsia="仿宋_GB2312" w:cs="仿宋_GB2312"/>
                <w:sz w:val="32"/>
                <w:szCs w:val="32"/>
              </w:rPr>
            </w:pPr>
          </w:p>
        </w:tc>
        <w:tc>
          <w:tcPr>
            <w:tcW w:w="1182" w:type="dxa"/>
            <w:vAlign w:val="center"/>
          </w:tcPr>
          <w:p w14:paraId="5CAF1703">
            <w:pPr>
              <w:widowControl/>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小计</w:t>
            </w:r>
          </w:p>
        </w:tc>
        <w:tc>
          <w:tcPr>
            <w:tcW w:w="1182" w:type="dxa"/>
            <w:vAlign w:val="center"/>
          </w:tcPr>
          <w:p w14:paraId="43478FFD">
            <w:pPr>
              <w:widowControl/>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公务用车</w:t>
            </w:r>
            <w:r>
              <w:rPr>
                <w:rFonts w:hint="eastAsia" w:ascii="仿宋_GB2312" w:hAnsi="仿宋_GB2312" w:eastAsia="仿宋_GB2312" w:cs="仿宋_GB2312"/>
                <w:kern w:val="0"/>
                <w:sz w:val="32"/>
                <w:szCs w:val="32"/>
              </w:rPr>
              <w:br w:type="textWrapping"/>
            </w:r>
            <w:r>
              <w:rPr>
                <w:rFonts w:hint="eastAsia" w:ascii="仿宋_GB2312" w:hAnsi="仿宋_GB2312" w:eastAsia="仿宋_GB2312" w:cs="仿宋_GB2312"/>
                <w:kern w:val="0"/>
                <w:sz w:val="32"/>
                <w:szCs w:val="32"/>
              </w:rPr>
              <w:t>购置费</w:t>
            </w:r>
          </w:p>
        </w:tc>
        <w:tc>
          <w:tcPr>
            <w:tcW w:w="1182" w:type="dxa"/>
            <w:vAlign w:val="center"/>
          </w:tcPr>
          <w:p w14:paraId="3359661A">
            <w:pPr>
              <w:widowControl/>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公务用车</w:t>
            </w:r>
            <w:r>
              <w:rPr>
                <w:rFonts w:hint="eastAsia" w:ascii="仿宋_GB2312" w:hAnsi="仿宋_GB2312" w:eastAsia="仿宋_GB2312" w:cs="仿宋_GB2312"/>
                <w:kern w:val="0"/>
                <w:sz w:val="32"/>
                <w:szCs w:val="32"/>
              </w:rPr>
              <w:br w:type="textWrapping"/>
            </w:r>
            <w:r>
              <w:rPr>
                <w:rFonts w:hint="eastAsia" w:ascii="仿宋_GB2312" w:hAnsi="仿宋_GB2312" w:eastAsia="仿宋_GB2312" w:cs="仿宋_GB2312"/>
                <w:kern w:val="0"/>
                <w:sz w:val="32"/>
                <w:szCs w:val="32"/>
              </w:rPr>
              <w:t>运行费</w:t>
            </w:r>
          </w:p>
        </w:tc>
        <w:tc>
          <w:tcPr>
            <w:tcW w:w="1171" w:type="dxa"/>
            <w:vMerge w:val="continue"/>
            <w:vAlign w:val="center"/>
          </w:tcPr>
          <w:p w14:paraId="5C556EAF">
            <w:pPr>
              <w:spacing w:line="288" w:lineRule="auto"/>
              <w:jc w:val="center"/>
              <w:rPr>
                <w:rFonts w:hint="eastAsia" w:ascii="仿宋_GB2312" w:hAnsi="仿宋_GB2312" w:eastAsia="仿宋_GB2312" w:cs="仿宋_GB2312"/>
                <w:sz w:val="32"/>
                <w:szCs w:val="32"/>
              </w:rPr>
            </w:pPr>
          </w:p>
        </w:tc>
      </w:tr>
      <w:tr w14:paraId="4B09F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183" w:type="dxa"/>
            <w:vAlign w:val="center"/>
          </w:tcPr>
          <w:p w14:paraId="5B06978E">
            <w:pPr>
              <w:widowControl/>
              <w:jc w:val="center"/>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0</w:t>
            </w:r>
          </w:p>
        </w:tc>
        <w:tc>
          <w:tcPr>
            <w:tcW w:w="1182" w:type="dxa"/>
            <w:vAlign w:val="center"/>
          </w:tcPr>
          <w:p w14:paraId="46CF78BB">
            <w:pPr>
              <w:widowControl/>
              <w:jc w:val="center"/>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0</w:t>
            </w:r>
          </w:p>
        </w:tc>
        <w:tc>
          <w:tcPr>
            <w:tcW w:w="1182" w:type="dxa"/>
            <w:vAlign w:val="center"/>
          </w:tcPr>
          <w:p w14:paraId="3C8C3ECC">
            <w:pPr>
              <w:widowControl/>
              <w:jc w:val="center"/>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0</w:t>
            </w:r>
          </w:p>
        </w:tc>
        <w:tc>
          <w:tcPr>
            <w:tcW w:w="1182" w:type="dxa"/>
            <w:vAlign w:val="center"/>
          </w:tcPr>
          <w:p w14:paraId="08DC3F4E">
            <w:pPr>
              <w:widowControl/>
              <w:jc w:val="center"/>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0</w:t>
            </w:r>
          </w:p>
        </w:tc>
        <w:tc>
          <w:tcPr>
            <w:tcW w:w="1182" w:type="dxa"/>
            <w:vAlign w:val="center"/>
          </w:tcPr>
          <w:p w14:paraId="3F18AAAD">
            <w:pPr>
              <w:widowControl/>
              <w:jc w:val="center"/>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0</w:t>
            </w:r>
          </w:p>
        </w:tc>
        <w:tc>
          <w:tcPr>
            <w:tcW w:w="1182" w:type="dxa"/>
            <w:vAlign w:val="center"/>
          </w:tcPr>
          <w:p w14:paraId="50E10349">
            <w:pPr>
              <w:widowControl/>
              <w:jc w:val="center"/>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0</w:t>
            </w:r>
          </w:p>
        </w:tc>
        <w:tc>
          <w:tcPr>
            <w:tcW w:w="1182" w:type="dxa"/>
            <w:vAlign w:val="center"/>
          </w:tcPr>
          <w:p w14:paraId="2415915E">
            <w:pPr>
              <w:widowControl/>
              <w:jc w:val="center"/>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0</w:t>
            </w:r>
          </w:p>
        </w:tc>
        <w:tc>
          <w:tcPr>
            <w:tcW w:w="1182" w:type="dxa"/>
            <w:vAlign w:val="center"/>
          </w:tcPr>
          <w:p w14:paraId="47A24AD4">
            <w:pPr>
              <w:widowControl/>
              <w:jc w:val="center"/>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0</w:t>
            </w:r>
          </w:p>
        </w:tc>
        <w:tc>
          <w:tcPr>
            <w:tcW w:w="1182" w:type="dxa"/>
            <w:vAlign w:val="center"/>
          </w:tcPr>
          <w:p w14:paraId="526E1EE1">
            <w:pPr>
              <w:widowControl/>
              <w:jc w:val="center"/>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val="en-US" w:eastAsia="zh-CN"/>
              </w:rPr>
              <w:t>0</w:t>
            </w:r>
          </w:p>
        </w:tc>
        <w:tc>
          <w:tcPr>
            <w:tcW w:w="1182" w:type="dxa"/>
            <w:vAlign w:val="center"/>
          </w:tcPr>
          <w:p w14:paraId="763BD472">
            <w:pPr>
              <w:widowControl/>
              <w:jc w:val="center"/>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val="en-US" w:eastAsia="zh-CN"/>
              </w:rPr>
              <w:t>0</w:t>
            </w:r>
          </w:p>
        </w:tc>
        <w:tc>
          <w:tcPr>
            <w:tcW w:w="1182" w:type="dxa"/>
            <w:vAlign w:val="center"/>
          </w:tcPr>
          <w:p w14:paraId="52F7DB4D">
            <w:pPr>
              <w:widowControl/>
              <w:jc w:val="center"/>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val="en-US" w:eastAsia="zh-CN"/>
              </w:rPr>
              <w:t>0</w:t>
            </w:r>
          </w:p>
        </w:tc>
        <w:tc>
          <w:tcPr>
            <w:tcW w:w="1171" w:type="dxa"/>
            <w:vAlign w:val="center"/>
          </w:tcPr>
          <w:p w14:paraId="022C23C1">
            <w:pPr>
              <w:widowControl/>
              <w:jc w:val="center"/>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val="en-US" w:eastAsia="zh-CN"/>
              </w:rPr>
              <w:t>0</w:t>
            </w:r>
          </w:p>
        </w:tc>
      </w:tr>
      <w:tr w14:paraId="6B5CA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1183" w:type="dxa"/>
            <w:vAlign w:val="center"/>
          </w:tcPr>
          <w:p w14:paraId="3D1FAE50">
            <w:pPr>
              <w:widowControl/>
              <w:jc w:val="right"/>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0.00</w:t>
            </w:r>
          </w:p>
        </w:tc>
        <w:tc>
          <w:tcPr>
            <w:tcW w:w="1182" w:type="dxa"/>
            <w:vAlign w:val="center"/>
          </w:tcPr>
          <w:p w14:paraId="093F984A">
            <w:pPr>
              <w:widowControl/>
              <w:jc w:val="right"/>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0.00</w:t>
            </w:r>
          </w:p>
        </w:tc>
        <w:tc>
          <w:tcPr>
            <w:tcW w:w="1182" w:type="dxa"/>
            <w:vAlign w:val="center"/>
          </w:tcPr>
          <w:p w14:paraId="25A5CED3">
            <w:pPr>
              <w:widowControl/>
              <w:jc w:val="right"/>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0.00</w:t>
            </w:r>
          </w:p>
        </w:tc>
        <w:tc>
          <w:tcPr>
            <w:tcW w:w="1182" w:type="dxa"/>
            <w:vAlign w:val="center"/>
          </w:tcPr>
          <w:p w14:paraId="5C2862B4">
            <w:pPr>
              <w:widowControl/>
              <w:jc w:val="right"/>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0.00</w:t>
            </w:r>
          </w:p>
        </w:tc>
        <w:tc>
          <w:tcPr>
            <w:tcW w:w="1182" w:type="dxa"/>
            <w:vAlign w:val="center"/>
          </w:tcPr>
          <w:p w14:paraId="11328E01">
            <w:pPr>
              <w:widowControl/>
              <w:jc w:val="right"/>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0.00</w:t>
            </w:r>
          </w:p>
        </w:tc>
        <w:tc>
          <w:tcPr>
            <w:tcW w:w="1182" w:type="dxa"/>
            <w:vAlign w:val="center"/>
          </w:tcPr>
          <w:p w14:paraId="645E8835">
            <w:pPr>
              <w:widowControl/>
              <w:jc w:val="right"/>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0.00</w:t>
            </w:r>
          </w:p>
        </w:tc>
        <w:tc>
          <w:tcPr>
            <w:tcW w:w="1182" w:type="dxa"/>
            <w:vAlign w:val="center"/>
          </w:tcPr>
          <w:p w14:paraId="0335B119">
            <w:pPr>
              <w:widowControl/>
              <w:jc w:val="righ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0.0</w:t>
            </w:r>
            <w:r>
              <w:rPr>
                <w:rFonts w:hint="eastAsia" w:ascii="仿宋_GB2312" w:hAnsi="仿宋_GB2312" w:eastAsia="仿宋_GB2312" w:cs="仿宋_GB2312"/>
                <w:kern w:val="0"/>
                <w:sz w:val="32"/>
                <w:szCs w:val="32"/>
              </w:rPr>
              <w:t>0</w:t>
            </w:r>
          </w:p>
        </w:tc>
        <w:tc>
          <w:tcPr>
            <w:tcW w:w="1182" w:type="dxa"/>
            <w:vAlign w:val="center"/>
          </w:tcPr>
          <w:p w14:paraId="2A72952B">
            <w:pPr>
              <w:widowControl/>
              <w:jc w:val="righ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0.00</w:t>
            </w:r>
          </w:p>
        </w:tc>
        <w:tc>
          <w:tcPr>
            <w:tcW w:w="1182" w:type="dxa"/>
            <w:vAlign w:val="center"/>
          </w:tcPr>
          <w:p w14:paraId="120E29A9">
            <w:pPr>
              <w:widowControl/>
              <w:jc w:val="righ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0.0</w:t>
            </w:r>
            <w:r>
              <w:rPr>
                <w:rFonts w:hint="eastAsia" w:ascii="仿宋_GB2312" w:hAnsi="仿宋_GB2312" w:eastAsia="仿宋_GB2312" w:cs="仿宋_GB2312"/>
                <w:kern w:val="0"/>
                <w:sz w:val="32"/>
                <w:szCs w:val="32"/>
              </w:rPr>
              <w:t>0</w:t>
            </w:r>
          </w:p>
        </w:tc>
        <w:tc>
          <w:tcPr>
            <w:tcW w:w="1182" w:type="dxa"/>
            <w:vAlign w:val="center"/>
          </w:tcPr>
          <w:p w14:paraId="1616478A">
            <w:pPr>
              <w:widowControl/>
              <w:jc w:val="righ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0.00</w:t>
            </w:r>
          </w:p>
        </w:tc>
        <w:tc>
          <w:tcPr>
            <w:tcW w:w="1182" w:type="dxa"/>
            <w:vAlign w:val="center"/>
          </w:tcPr>
          <w:p w14:paraId="268AB7E0">
            <w:pPr>
              <w:widowControl/>
              <w:jc w:val="righ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0.0</w:t>
            </w:r>
            <w:r>
              <w:rPr>
                <w:rFonts w:hint="eastAsia" w:ascii="仿宋_GB2312" w:hAnsi="仿宋_GB2312" w:eastAsia="仿宋_GB2312" w:cs="仿宋_GB2312"/>
                <w:kern w:val="0"/>
                <w:sz w:val="32"/>
                <w:szCs w:val="32"/>
              </w:rPr>
              <w:t>0</w:t>
            </w:r>
          </w:p>
        </w:tc>
        <w:tc>
          <w:tcPr>
            <w:tcW w:w="1171" w:type="dxa"/>
            <w:vAlign w:val="center"/>
          </w:tcPr>
          <w:p w14:paraId="16082C42">
            <w:pPr>
              <w:widowControl/>
              <w:jc w:val="righ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0.00</w:t>
            </w:r>
          </w:p>
        </w:tc>
      </w:tr>
    </w:tbl>
    <w:p w14:paraId="1C804E7D">
      <w:pPr>
        <w:spacing w:line="288"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注：本表反映部门本年度“三公”经费支出预决算情况。其中，预算数为“三公”经费全年预算数，反映按规定程序调整后的预算数；决算数是包括当年一般公共预算财政拨款和以前年度结转资金安排的实际支出。</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QyZTI4MzM0YTkzY2E0ZjI4ZmNlMGIxODNmMTM1YjEifQ=="/>
  </w:docVars>
  <w:rsids>
    <w:rsidRoot w:val="07B46C8C"/>
    <w:rsid w:val="07B46C8C"/>
    <w:rsid w:val="0A8A32B3"/>
    <w:rsid w:val="0DFA5B87"/>
    <w:rsid w:val="171C0496"/>
    <w:rsid w:val="17887D5F"/>
    <w:rsid w:val="21B44EEF"/>
    <w:rsid w:val="239D4B92"/>
    <w:rsid w:val="2CF1101C"/>
    <w:rsid w:val="2E6115DE"/>
    <w:rsid w:val="443D60F0"/>
    <w:rsid w:val="45DA3058"/>
    <w:rsid w:val="49AA0202"/>
    <w:rsid w:val="4C2169ED"/>
    <w:rsid w:val="53A86724"/>
    <w:rsid w:val="57F7550C"/>
    <w:rsid w:val="6D25082F"/>
    <w:rsid w:val="7BFD35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1"/>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965</Words>
  <Characters>1029</Characters>
  <Lines>0</Lines>
  <Paragraphs>0</Paragraphs>
  <TotalTime>8</TotalTime>
  <ScaleCrop>false</ScaleCrop>
  <LinksUpToDate>false</LinksUpToDate>
  <CharactersWithSpaces>1043</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2023-10-10T02:11:00Z</dcterms:created>
  <dc:creator>Administrator</dc:creator>
  <cp:lastModifiedBy>立羽 翊</cp:lastModifiedBy>
  <dcterms:modified xsi:type="dcterms:W3CDTF">2026-09-09T03:39:43Z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8735989937DA47C89ADEE581F3D00761_11</vt:lpwstr>
  </property>
  <property fmtid="{D5CDD505-2E9C-101B-9397-08002B2CF9AE}" pid="4" name="KSOTemplateDocerSaveRecord">
    <vt:lpwstr>eyJoZGlkIjoiYmRlNTU3ZTcwZTkxZTc4MWZiMGU1ODg1NDgwZjFlMzgiLCJ1c2VySWQiOiI0MjczNDkyODcifQ==</vt:lpwstr>
  </property>
</Properties>
</file>