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FF0000"/>
          <w:sz w:val="44"/>
          <w:szCs w:val="44"/>
        </w:rPr>
        <w:t>徐闻县公路事务中心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bookmarkStart w:id="38" w:name="_GoBack"/>
            <w:bookmarkEnd w:id="38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：徐闻县公路事务中心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徐闻县公路事务中心202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1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2.43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137.6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2.43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137.6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2.43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137.6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8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1"/>
    </w:p>
    <w:p w14:paraId="1B736821">
      <w:pPr>
        <w:ind w:firstLine="640" w:firstLineChars="200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3"/>
          <w:szCs w:val="23"/>
          <w:shd w:val="clear" w:fill="FFFFFF"/>
        </w:rPr>
      </w:pPr>
      <w:bookmarkStart w:id="22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4" w:name="PO_part3A3B1C1Year2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认真贯彻落实中央八项规定精神和厉行节约的要求，从严控制“三公”经费开支，全年实际支出比预算数一致。</w:t>
      </w:r>
    </w:p>
    <w:p w14:paraId="2262CA3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5" w:name="PO_part3A3B1C1Diff2"/>
      <w:r>
        <w:rPr>
          <w:rFonts w:hint="eastAsia" w:ascii="仿宋_GB2312" w:hAnsi="宋体" w:eastAsia="仿宋_GB2312" w:cs="宋体"/>
          <w:sz w:val="32"/>
          <w:szCs w:val="32"/>
        </w:rPr>
        <w:t>大于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上年决算数的主要情况：去年的公务用车运行维护费财政拨付较少，今年正常按照下达的额度支出。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0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1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2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辆，</w:t>
      </w:r>
      <w:bookmarkStart w:id="33" w:name="PO_part3A3B2C2D2Use1"/>
      <w:r>
        <w:rPr>
          <w:rFonts w:hint="eastAsia" w:ascii="仿宋_GB2312" w:hAnsi="宋体" w:eastAsia="仿宋_GB2312" w:cs="宋体"/>
          <w:sz w:val="32"/>
          <w:szCs w:val="32"/>
        </w:rPr>
        <w:t>主要用于于路政执勤工作及日常外出公务出行</w:t>
      </w:r>
      <w:bookmarkEnd w:id="3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万元共接待国外、境外来访团组</w:t>
      </w:r>
      <w:bookmarkStart w:id="34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35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6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7" w:name="PO_part3A3B2C3GnjdInclude1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7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28724840"/>
    <w:rsid w:val="30BC0D4E"/>
    <w:rsid w:val="45B25BFB"/>
    <w:rsid w:val="5C14771E"/>
    <w:rsid w:val="74CD53AB"/>
    <w:rsid w:val="75CB36A1"/>
    <w:rsid w:val="77CB2BF1"/>
    <w:rsid w:val="7F68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3</TotalTime>
  <ScaleCrop>false</ScaleCrop>
  <LinksUpToDate>false</LinksUpToDate>
  <CharactersWithSpaces>1665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2026-09-08T06:54:39Z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eyJoZGlkIjoiYjU3NTRjZTc2MjI3ODNlNTg4ZTgxYjc0MGEyYjRhMjQifQ==</vt:lpwstr>
  </property>
</Properties>
</file>