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3427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1B84B3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2816F2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1AD51B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3F37ECA6">
      <w:pPr>
        <w:pStyle w:val="8"/>
        <w:ind w:left="0" w:leftChars="0" w:firstLine="0" w:firstLineChars="0"/>
        <w:rPr>
          <w:rFonts w:hint="eastAsia" w:ascii="仿宋" w:hAnsi="仿宋" w:eastAsia="仿宋" w:cs="仿宋"/>
          <w:sz w:val="32"/>
          <w:szCs w:val="32"/>
        </w:rPr>
      </w:pPr>
    </w:p>
    <w:p w14:paraId="6E72AA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796FC6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5CAD2029">
      <w:pPr>
        <w:jc w:val="center"/>
        <w:rPr>
          <w:spacing w:val="-6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FE0000"/>
          <w:spacing w:val="0"/>
          <w:w w:val="90"/>
          <w:kern w:val="16"/>
          <w:position w:val="-28"/>
          <w:sz w:val="96"/>
          <w:szCs w:val="96"/>
        </w:rPr>
        <w:t>西连镇人民政府文件</w:t>
      </w:r>
    </w:p>
    <w:p w14:paraId="39B9D7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 w:bidi="zh-CN"/>
        </w:rPr>
      </w:pPr>
    </w:p>
    <w:p w14:paraId="56CF1C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/>
          <w:kern w:val="2"/>
          <w:sz w:val="44"/>
          <w:szCs w:val="44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-153670</wp:posOffset>
                </wp:positionH>
                <wp:positionV relativeFrom="paragraph">
                  <wp:posOffset>347345</wp:posOffset>
                </wp:positionV>
                <wp:extent cx="5943600" cy="0"/>
                <wp:effectExtent l="33655" t="24765" r="42545" b="8953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169670" y="963930"/>
                          <a:ext cx="5943600" cy="0"/>
                        </a:xfrm>
                        <a:prstGeom prst="line">
                          <a:avLst/>
                        </a:prstGeom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2.1pt;margin-top:27.35pt;height:0pt;width:468pt;z-index:251660288;mso-width-relative:page;mso-height-relative:page;" filled="f" stroked="t" coordsize="21600,21600" o:gfxdata="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G2ZwzLYAAAACQEAAA8AAAAAAAAAAQAgAAAAIgAAAGRycy9kb3ducmV2Lnht&#10;bFBLAQIUABQAAAAIAIdO4kCB+l6dMgIAAFIEAAAOAAAAAAAAAAEAIAAAACcBAABkcnMvZTJvRG9j&#10;LnhtbFBLBQYAAAAABgAGAFkBAADLBQAAAAA=&#10;">
                <v:fill on="f" focussize="0,0"/>
                <v:stroke weight="2.25pt" color="#FF0000 [3200]" joinstyle="round"/>
                <v:imagedata o:title=""/>
                <o:lock v:ext="edit" aspectratio="f"/>
                <v:shadow on="t" color="#000000" opacity="22937f" offset="0pt,1.81102362204724pt" origin="0f,32768f" matrix="65536f,0f,0f,65536f"/>
              </v:line>
            </w:pict>
          </mc:Fallback>
        </mc:AlternateConten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zh-CN"/>
        </w:rPr>
        <w:t>西府发〔2026〕44号</w:t>
      </w:r>
    </w:p>
    <w:p w14:paraId="31698D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3C8750B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  <w:t>关于印发《西连镇综合行政执法管理制度汇编》的通知</w:t>
      </w:r>
    </w:p>
    <w:p w14:paraId="4A9D05A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</w:pPr>
    </w:p>
    <w:p w14:paraId="1748FE0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各办公室、镇属各单位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：</w:t>
      </w:r>
    </w:p>
    <w:p w14:paraId="1A2F12B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为进一步夯实我镇综合行政执法规范化建设基础，补齐内部执法制度短板，健全完善执法权力运行约束机制，有效降低行政复议撤销、行政诉讼败诉风险。依据《中华人民共和国行政处罚法》《中华人民共和国行政强制法》及上级行政执法规范化建设工作部署要求，我镇结合基层执法工作实际，修订完善内部执法管理制度，汇编形成《西连镇综合行政执法管理制度汇编》，现印发给你们，请抓好贯彻落实。</w:t>
      </w:r>
    </w:p>
    <w:p w14:paraId="1A20937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  <w:t>一、抓好学习运用。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镇综合行政执法队要组织全体执法人员开展专题学习，吃透各项制度要求，把制度规定落实到行政检查、调查取证、案件办理、决定送达全流程，牢固树立程序意识、证据意识，切实规范履职行为。</w:t>
      </w:r>
    </w:p>
    <w:p w14:paraId="1C3FCD9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  <w:t>二、严格刚性执行。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把行政执法“三项制度”、案件集体讨论、案卷管理、涉案财物管理等制度作为办案硬性要求，所有执法案件必须严格遵照制度开展，做到流程闭环、材料齐全、留痕可溯，杜绝制度悬空、执行走样。</w:t>
      </w:r>
    </w:p>
    <w:p w14:paraId="5C4EE04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  <w:t>三、强化督导问效。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由镇综合行政执法队牵头，联合镇纪委，通过日常督查、案卷评查、个案抽查等方式，对制度落地情况开展监督检查。对执行不到位、执法不规范问题及时督促整改；对因制度不落实造成执法过错的，依规追究相关人员责任。</w:t>
      </w:r>
    </w:p>
    <w:p w14:paraId="437CDC0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本汇编自印发之日起施行。</w:t>
      </w:r>
    </w:p>
    <w:p w14:paraId="3245F89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特此通知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。</w:t>
      </w:r>
    </w:p>
    <w:p w14:paraId="1E61E69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</w:p>
    <w:p w14:paraId="240025A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</w:p>
    <w:p w14:paraId="1FA57D2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4480" w:firstLineChars="14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徐闻县西连镇人民政府</w:t>
      </w:r>
    </w:p>
    <w:p w14:paraId="2B95D16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4800" w:firstLineChars="15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2026年8月6日</w:t>
      </w:r>
    </w:p>
    <w:p w14:paraId="2091AE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sz w:val="32"/>
          <w:szCs w:val="32"/>
        </w:rPr>
      </w:pPr>
    </w:p>
    <w:p w14:paraId="4837D6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目录</w:t>
      </w:r>
    </w:p>
    <w:p w14:paraId="0FB870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2D5AF3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1. 行政执法公示制度</w:t>
      </w:r>
    </w:p>
    <w:p w14:paraId="67645D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2. 行政执法全过程记录制度</w:t>
      </w:r>
    </w:p>
    <w:p w14:paraId="0A03DB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3. 重大行政执法决定法制审核制度</w:t>
      </w:r>
    </w:p>
    <w:p w14:paraId="775EC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4. 行政执法过错纠错与责任追究制度</w:t>
      </w:r>
    </w:p>
    <w:p w14:paraId="187D3D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5</w:t>
      </w:r>
      <w:r>
        <w:rPr>
          <w:rFonts w:hint="eastAsia" w:ascii="黑体" w:hAnsi="黑体" w:eastAsia="黑体" w:cs="黑体"/>
          <w:sz w:val="32"/>
          <w:szCs w:val="32"/>
        </w:rPr>
        <w:t>. 行政执法人员资格管理制度</w:t>
      </w:r>
    </w:p>
    <w:p w14:paraId="4EE65E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6.</w:t>
      </w:r>
      <w:r>
        <w:rPr>
          <w:rFonts w:hint="eastAsia" w:ascii="黑体" w:hAnsi="黑体" w:eastAsia="黑体" w:cs="黑体"/>
          <w:sz w:val="32"/>
          <w:szCs w:val="32"/>
        </w:rPr>
        <w:t> 执法办公室管理规定</w:t>
      </w:r>
    </w:p>
    <w:p w14:paraId="32A64A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052DF24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6D7B63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3414B8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2A35C8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29C068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6ECD427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0B5D016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662C8A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2DA90E2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14F1FAF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151FE3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758D091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352F95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436BC1A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行政执法公示制度</w:t>
      </w:r>
    </w:p>
    <w:p w14:paraId="5EA446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/>
        </w:rPr>
      </w:pPr>
    </w:p>
    <w:p w14:paraId="7AEE00B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第一条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为规范行政执法公示工作，保障行政相对人和社会公众的知情权、参与权、监督权，根据行政执法 “三项制度” 相关要求，结合我镇执法工作实际，制定本制度。</w:t>
      </w:r>
    </w:p>
    <w:p w14:paraId="3EF8DF9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第二条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行政执法公示坚持</w:t>
      </w:r>
      <w:r>
        <w:rPr>
          <w:rStyle w:val="11"/>
          <w:rFonts w:hint="eastAsia" w:ascii="仿宋_GB2312" w:hAnsi="仿宋_GB2312" w:eastAsia="仿宋_GB2312" w:cs="仿宋_GB2312"/>
          <w:b/>
          <w:bCs w:val="0"/>
          <w:color w:val="000000"/>
          <w:kern w:val="0"/>
          <w:sz w:val="32"/>
          <w:szCs w:val="32"/>
          <w:lang w:val="en-US" w:eastAsia="zh-CN" w:bidi="ar"/>
        </w:rPr>
        <w:t>谁执法、谁公示，谁录入、谁负责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的原则，做到公示信息准确完整、及时更新。</w:t>
      </w:r>
    </w:p>
    <w:p w14:paraId="410704E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第三条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事前公开内容。行政执法事前应当主动公开以下信息：（一）行政执法主体、执法人员信息；（二）执法职责、权限；（三）执法法律、法规、规章依据；（四）执法流程、办事指南；（五）权责清单、自由裁量基准；（六）监督投诉渠道。 事前公开信息发生变更的，应当及时更新。</w:t>
      </w:r>
    </w:p>
    <w:p w14:paraId="0B25F30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第四条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事中公示内容。实施现场执法过程中，应当主动公示：（一）执法人员出示行政执法证件，亮证执法；（二）现场岗位、执法窗口岗位职责信息；（三）依法告知当事人享有的陈述申辩、申请回避等法定权利以及应当履行的法定义务。</w:t>
      </w:r>
    </w:p>
    <w:p w14:paraId="3BC1FA5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第五条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事后公开内容。行政执法决定作出后，依法公开执法结果信息：（一）生效的行政执法决定（依法不予公开的除外）； （二）每年1月31日前公开上年度行政执法总体数据，以及行政复议、行政诉讼案件情况。</w:t>
      </w:r>
    </w:p>
    <w:p w14:paraId="52639B8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第六条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不得公开涉及国家秘密、工作秘密、商业秘密以及个人隐私的信息，确需公开的，依法做脱敏处理。</w:t>
      </w:r>
    </w:p>
    <w:p w14:paraId="38CB52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  <w:sectPr>
          <w:footerReference r:id="rId3" w:type="default"/>
          <w:pgSz w:w="11906" w:h="16838"/>
          <w:pgMar w:top="2098" w:right="1474" w:bottom="1984" w:left="1587" w:header="851" w:footer="992" w:gutter="0"/>
          <w:pgNumType w:fmt="decimal"/>
          <w:cols w:space="425" w:num="1"/>
          <w:docGrid w:type="lines" w:linePitch="312" w:charSpace="0"/>
        </w:sectPr>
      </w:pPr>
    </w:p>
    <w:p w14:paraId="7BF46B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行政执法全过程记录制度</w:t>
      </w:r>
    </w:p>
    <w:p w14:paraId="67170C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</w:p>
    <w:p w14:paraId="3C99E5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第一条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为规范行政执法全过程记录工作，实现执法全过程留痕、可回溯管理，依据《行政处罚法》及行政执法“三项制度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”，制定本制度。</w:t>
      </w:r>
    </w:p>
    <w:p w14:paraId="033B94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第二条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本制度所称全过程记录，包括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文字记录和音像记录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，对行政检查、调查取证、查封扣押、送达、听证等全部执法环节实施记录归档。</w:t>
      </w:r>
    </w:p>
    <w:p w14:paraId="5A844C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第三条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文字记录，指通过执法文书形成书面记录，主要包含：现场检查（勘验）笔录、询问笔录、证据登记材料、鉴定意见、告知文书、行政执法决定书、送达回证等。执法文书应当规范制作、签字确认。</w:t>
      </w:r>
    </w:p>
    <w:p w14:paraId="5538F3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第四条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音像记录，使用执法记录仪等设备，对现场检查、调查取证、强制实施、留置送达等容易引发争议的执法过程开展录音录像同步记录。</w:t>
      </w:r>
    </w:p>
    <w:p w14:paraId="4DAB30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第五条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编制音像记录事项清单，明确应当开展音像记录的执法场景，清单向社会公开。</w:t>
      </w:r>
    </w:p>
    <w:p w14:paraId="44C4F1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第六条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音像资料应当规范存储归档，不得随意剪辑、删改。音像记录保存期限同对应案卷档案保管期限。</w:t>
      </w:r>
    </w:p>
    <w:p w14:paraId="04F49F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  <w:sectPr>
          <w:pgSz w:w="11906" w:h="16838"/>
          <w:pgMar w:top="2098" w:right="1474" w:bottom="1984" w:left="1587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第七条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严格记录资料管理，非经审批不得对外调取、复制音像记录资料。</w:t>
      </w:r>
    </w:p>
    <w:p w14:paraId="3925DD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重大行政执法决定法制审核制度</w:t>
      </w:r>
    </w:p>
    <w:p w14:paraId="2B58471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</w:p>
    <w:p w14:paraId="2A7AAD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第一条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为规范重大行政执法决定，防范执法风险，依据《行政处罚法》及行政执法“三项制度”规定，我镇作出重大行政执法决定前应当开展法制审核；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未经法制审核或审核不通过，不得作出执法决定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。</w:t>
      </w:r>
    </w:p>
    <w:p w14:paraId="5E868C5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第二条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有下列情形的案件必须开展法制审核：涉及重大公共利益、社会关注度高、易引发社会风险；直接影响当事人或第三人重大权益；经听证程序；案情疑难复杂、法律关系交叉的执法案件。</w:t>
      </w:r>
    </w:p>
    <w:p w14:paraId="44E381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第三条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法制审核重点审查：执法主体及办案人员资格；案件事实、证据；法律适用、裁量权行使；办案程序及文书规范性。</w:t>
      </w:r>
    </w:p>
    <w:p w14:paraId="5B578C1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第四条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案件承办人应当移送全部案卷材料，法制审核人员出具书面审核意见，明确审核结论及理由，严格遵守审核时限要求。</w:t>
      </w:r>
    </w:p>
    <w:p w14:paraId="678AC8D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第五条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按不低于执法人员总数5%配齐法制审核人员，不足1人的按1人配置；法制审核人员不得参与本案调查办理。承办人员对案卷材料真实性负责，法制审核人员对审核意见承担相应责任。</w:t>
      </w:r>
    </w:p>
    <w:p w14:paraId="2C5646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sectPr>
          <w:pgSz w:w="11906" w:h="16838"/>
          <w:pgMar w:top="2098" w:right="1474" w:bottom="1984" w:left="1587" w:header="851" w:footer="992" w:gutter="0"/>
          <w:pgNumType w:fmt="decimal"/>
          <w:cols w:space="425" w:num="1"/>
          <w:docGrid w:type="lines" w:linePitch="312" w:charSpace="0"/>
        </w:sectPr>
      </w:pPr>
    </w:p>
    <w:p w14:paraId="6F81CA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 xml:space="preserve"> 行政执法过错纠错与责任追究制度</w:t>
      </w:r>
    </w:p>
    <w:p w14:paraId="2EC70F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</w:p>
    <w:p w14:paraId="130EA3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第一条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为纠正违法或者不当行政执法行为，落实执法责任，依据行政处罚法、行政执法监督相关规定，制定本制度。</w:t>
      </w:r>
    </w:p>
    <w:p w14:paraId="1CC74AE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第二条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本制度所称执法过错，指执法人员在履职中，因故意或者重大过失，出现事实认定错误、适用法律错误、程序违法、越权履职等，造成案件被撤销、败诉、群众重大投诉等后果。</w:t>
      </w:r>
    </w:p>
    <w:p w14:paraId="451CB0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第三条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坚持有错必纠。发现行政执法行为违法、明显不当，应当及时启动纠错，依法撤销、变更相关执法文书，做好善后整改。</w:t>
      </w:r>
    </w:p>
    <w:p w14:paraId="1609F7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第四条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开展过错甄别，区分承办人员、法制审核人员、审批人员各自责任。集体讨论发生过错的，追究参与人员相应责任。</w:t>
      </w:r>
    </w:p>
    <w:p w14:paraId="29BF85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第五条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根据过错情节轻重，采取内部通报批评、责令检讨、离岗培训等处理；涉嫌违纪违法的，移交纪检监察机关处理。</w:t>
      </w:r>
    </w:p>
    <w:p w14:paraId="14254E9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sectPr>
          <w:pgSz w:w="11906" w:h="16838"/>
          <w:pgMar w:top="2098" w:right="1474" w:bottom="1984" w:left="1587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第六条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坚持权责统一，做到尽职免责、失职追责。</w:t>
      </w:r>
    </w:p>
    <w:p w14:paraId="57D310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 xml:space="preserve"> 行政执法人员资格管理制度</w:t>
      </w:r>
    </w:p>
    <w:p w14:paraId="7A1D13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</w:p>
    <w:p w14:paraId="37BF63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第一条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为加强执法队伍管理，规范行政执法人员履职行为，依据行政执法人员管理相关规定，制定本制度。</w:t>
      </w:r>
    </w:p>
    <w:p w14:paraId="146AF6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第二条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行政执法人员必须取得行政执法证件，坚持持证上岗、双人执法、亮证执法。</w:t>
      </w:r>
    </w:p>
    <w:p w14:paraId="62A279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第三条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不具备行政执法资格人员、临时工、合同工，不得独立开展行政执法工作，仅可从事辅助性工作，不得单独调查取证、作出执法决定。</w:t>
      </w:r>
    </w:p>
    <w:p w14:paraId="6BC89D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第四条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执法人员应当按要求参加业务培训、年度学法，按规定完成执法证件年审。未通过年审的，不得从事执法工作。</w:t>
      </w:r>
    </w:p>
    <w:p w14:paraId="4497CD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第五条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严禁无证执法、越权执法、粗暴执法、选择性执法。执法人员调离岗位，应当及时上交执法证件。</w:t>
      </w:r>
    </w:p>
    <w:p w14:paraId="23F112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sectPr>
          <w:pgSz w:w="11906" w:h="16838"/>
          <w:pgMar w:top="2098" w:right="1474" w:bottom="1984" w:left="1587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第六条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执法人员存在违法违纪执法行为，按规定上报，按程序处理或注销执法证件。</w:t>
      </w:r>
    </w:p>
    <w:p w14:paraId="6F7C75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 xml:space="preserve"> 执法办公场所管理规定</w:t>
      </w:r>
    </w:p>
    <w:p w14:paraId="1E920E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</w:p>
    <w:p w14:paraId="6ECD0E9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第一条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综合行政执法办公场所是执法人员办理案件、接待群众、处理公务的专门工作场所。</w:t>
      </w:r>
    </w:p>
    <w:p w14:paraId="6357B8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第二条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办公场所设施设备摆放规范整齐，各类案卷文书、证据材料分类存放，及时归档，保持办公环境规范有序。</w:t>
      </w:r>
    </w:p>
    <w:p w14:paraId="475AE4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第三条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工作人员遵守工作纪律，保持场所整洁卫生；严禁在办公场所吸烟、喧哗、打闹。接待群众做到文明礼貌。</w:t>
      </w:r>
    </w:p>
    <w:p w14:paraId="41DA1F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第四条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做好安全管理，人员离开办公室，应当关好门窗，切断电源，做好防火防盗。</w:t>
      </w:r>
    </w:p>
    <w:p w14:paraId="69CD82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第五条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涉案证据、案卷材料不得随意摆放在公共区域，做好保密。外来无关人员不得随意进入办案办公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  <w:t>区域。</w:t>
      </w:r>
    </w:p>
    <w:sectPr>
      <w:footerReference r:id="rId4" w:type="default"/>
      <w:pgSz w:w="11906" w:h="16838"/>
      <w:pgMar w:top="1383" w:right="1576" w:bottom="1383" w:left="1576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F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DB1DF18-36A0-43F2-BD83-7986EC66C0D3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3B101308-C01F-4D09-89DC-3CE7F7B528E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E89AB355-1BC2-44BD-A195-837CCD42E3BE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00EE4290-1850-49EB-89BB-20CF501F6A0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9862AED4-9771-4FF6-9932-EE4D44666C22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16548F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DF074B">
                          <w:pPr>
                            <w:pStyle w:val="6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7DF074B">
                    <w:pPr>
                      <w:pStyle w:val="6"/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2F1472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1203DB">
                          <w:pPr>
                            <w:pStyle w:val="6"/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t>10</w: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C1203DB">
                    <w:pPr>
                      <w:pStyle w:val="6"/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</w:pP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t>10</w: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FiODAyMjZlMmNkMGFmOTlmNGEyZThmNGRlZmU1ZDgifQ=="/>
  </w:docVars>
  <w:rsids>
    <w:rsidRoot w:val="00271513"/>
    <w:rsid w:val="00271513"/>
    <w:rsid w:val="003D387D"/>
    <w:rsid w:val="005C5643"/>
    <w:rsid w:val="006C0D93"/>
    <w:rsid w:val="009260EB"/>
    <w:rsid w:val="00B53071"/>
    <w:rsid w:val="00BB1078"/>
    <w:rsid w:val="00C1577D"/>
    <w:rsid w:val="00CE17A2"/>
    <w:rsid w:val="00FF218D"/>
    <w:rsid w:val="02A657D2"/>
    <w:rsid w:val="0305609B"/>
    <w:rsid w:val="046E3722"/>
    <w:rsid w:val="050642D7"/>
    <w:rsid w:val="05250B9A"/>
    <w:rsid w:val="053500DC"/>
    <w:rsid w:val="05EA5AB1"/>
    <w:rsid w:val="061913FC"/>
    <w:rsid w:val="065F5226"/>
    <w:rsid w:val="07DC1FF9"/>
    <w:rsid w:val="07E408A6"/>
    <w:rsid w:val="09063EAF"/>
    <w:rsid w:val="0A427065"/>
    <w:rsid w:val="0A674784"/>
    <w:rsid w:val="0A72767F"/>
    <w:rsid w:val="0AA70C7C"/>
    <w:rsid w:val="0AFB6BB3"/>
    <w:rsid w:val="0B2B087F"/>
    <w:rsid w:val="0B2C34F8"/>
    <w:rsid w:val="0CB70E19"/>
    <w:rsid w:val="0D202149"/>
    <w:rsid w:val="0EFE51B4"/>
    <w:rsid w:val="0FB9438B"/>
    <w:rsid w:val="11CE5910"/>
    <w:rsid w:val="127D3044"/>
    <w:rsid w:val="13E0550A"/>
    <w:rsid w:val="145947E5"/>
    <w:rsid w:val="153B32B6"/>
    <w:rsid w:val="155C7C56"/>
    <w:rsid w:val="15A24797"/>
    <w:rsid w:val="15A60386"/>
    <w:rsid w:val="1695652C"/>
    <w:rsid w:val="16C02BC6"/>
    <w:rsid w:val="16D231FD"/>
    <w:rsid w:val="176C55D3"/>
    <w:rsid w:val="17940DF0"/>
    <w:rsid w:val="17D9725B"/>
    <w:rsid w:val="186168A6"/>
    <w:rsid w:val="188726CF"/>
    <w:rsid w:val="19EF599E"/>
    <w:rsid w:val="1A166FF7"/>
    <w:rsid w:val="1ABA00C2"/>
    <w:rsid w:val="1B25346D"/>
    <w:rsid w:val="1B5F6C6C"/>
    <w:rsid w:val="1BB47375"/>
    <w:rsid w:val="1BBF1737"/>
    <w:rsid w:val="1BE97FF1"/>
    <w:rsid w:val="1C1A3990"/>
    <w:rsid w:val="1D7B3791"/>
    <w:rsid w:val="1E4E1825"/>
    <w:rsid w:val="1E743ABD"/>
    <w:rsid w:val="1EEC08DA"/>
    <w:rsid w:val="1F260965"/>
    <w:rsid w:val="1FA27D58"/>
    <w:rsid w:val="212945E9"/>
    <w:rsid w:val="22205F29"/>
    <w:rsid w:val="226A068A"/>
    <w:rsid w:val="22D02B19"/>
    <w:rsid w:val="242C55B4"/>
    <w:rsid w:val="25116F72"/>
    <w:rsid w:val="25326A88"/>
    <w:rsid w:val="255E5195"/>
    <w:rsid w:val="25654E9F"/>
    <w:rsid w:val="26561674"/>
    <w:rsid w:val="268C381C"/>
    <w:rsid w:val="27022435"/>
    <w:rsid w:val="27AC59D6"/>
    <w:rsid w:val="28174438"/>
    <w:rsid w:val="28936DC4"/>
    <w:rsid w:val="28C83B43"/>
    <w:rsid w:val="28CB5B64"/>
    <w:rsid w:val="28F7340E"/>
    <w:rsid w:val="29562B4B"/>
    <w:rsid w:val="29A716F9"/>
    <w:rsid w:val="2A5009E9"/>
    <w:rsid w:val="2AD46485"/>
    <w:rsid w:val="2B3504AE"/>
    <w:rsid w:val="2B462672"/>
    <w:rsid w:val="2C652B41"/>
    <w:rsid w:val="2CA5026C"/>
    <w:rsid w:val="2CDB422C"/>
    <w:rsid w:val="2CFD1601"/>
    <w:rsid w:val="2D2129E7"/>
    <w:rsid w:val="2DC74959"/>
    <w:rsid w:val="2DE42C52"/>
    <w:rsid w:val="307C4B15"/>
    <w:rsid w:val="30ED7ECB"/>
    <w:rsid w:val="3278708B"/>
    <w:rsid w:val="32C46FEB"/>
    <w:rsid w:val="32EE4673"/>
    <w:rsid w:val="330B73F3"/>
    <w:rsid w:val="3317030F"/>
    <w:rsid w:val="334D6469"/>
    <w:rsid w:val="336F145D"/>
    <w:rsid w:val="34282D3E"/>
    <w:rsid w:val="34904F4F"/>
    <w:rsid w:val="34F02AAA"/>
    <w:rsid w:val="36064448"/>
    <w:rsid w:val="36F57BFF"/>
    <w:rsid w:val="37A01AAC"/>
    <w:rsid w:val="37CF53C3"/>
    <w:rsid w:val="37F8038F"/>
    <w:rsid w:val="38C41B68"/>
    <w:rsid w:val="39BE1D8D"/>
    <w:rsid w:val="39C3078E"/>
    <w:rsid w:val="39EA0F03"/>
    <w:rsid w:val="3A592B2B"/>
    <w:rsid w:val="3B583D69"/>
    <w:rsid w:val="3B770FBF"/>
    <w:rsid w:val="3B812D19"/>
    <w:rsid w:val="3C211C93"/>
    <w:rsid w:val="3C8E14A3"/>
    <w:rsid w:val="3CEB4E4C"/>
    <w:rsid w:val="3E92340A"/>
    <w:rsid w:val="3F1F0B91"/>
    <w:rsid w:val="3FDB48A2"/>
    <w:rsid w:val="3FDE0EB2"/>
    <w:rsid w:val="40571134"/>
    <w:rsid w:val="4089099B"/>
    <w:rsid w:val="411659BD"/>
    <w:rsid w:val="418D07BF"/>
    <w:rsid w:val="420F0A66"/>
    <w:rsid w:val="4489794D"/>
    <w:rsid w:val="44E331B1"/>
    <w:rsid w:val="45A1226B"/>
    <w:rsid w:val="46A827F9"/>
    <w:rsid w:val="499232BD"/>
    <w:rsid w:val="4AAD1B04"/>
    <w:rsid w:val="4AEF3A92"/>
    <w:rsid w:val="4B231A97"/>
    <w:rsid w:val="4B3F3CCB"/>
    <w:rsid w:val="4B6E7A04"/>
    <w:rsid w:val="4B7D39AD"/>
    <w:rsid w:val="4BAA3CB6"/>
    <w:rsid w:val="4BBB37B4"/>
    <w:rsid w:val="4BE10A13"/>
    <w:rsid w:val="4CF24D07"/>
    <w:rsid w:val="4D0F0CA0"/>
    <w:rsid w:val="4E1E6DAD"/>
    <w:rsid w:val="4EA808F6"/>
    <w:rsid w:val="4EBB4AC8"/>
    <w:rsid w:val="4F3533D6"/>
    <w:rsid w:val="5069142F"/>
    <w:rsid w:val="517B624D"/>
    <w:rsid w:val="52895566"/>
    <w:rsid w:val="53E33D2A"/>
    <w:rsid w:val="54847726"/>
    <w:rsid w:val="555C09DA"/>
    <w:rsid w:val="55C7463D"/>
    <w:rsid w:val="56404BFD"/>
    <w:rsid w:val="56B95B3A"/>
    <w:rsid w:val="581343E0"/>
    <w:rsid w:val="581B36DE"/>
    <w:rsid w:val="593F719A"/>
    <w:rsid w:val="5987229B"/>
    <w:rsid w:val="5A3671FA"/>
    <w:rsid w:val="5ADB2EC6"/>
    <w:rsid w:val="5AEA4750"/>
    <w:rsid w:val="5B117094"/>
    <w:rsid w:val="5B992264"/>
    <w:rsid w:val="5C4778BD"/>
    <w:rsid w:val="5C4E2C2C"/>
    <w:rsid w:val="5D5B1DAA"/>
    <w:rsid w:val="5D6D056A"/>
    <w:rsid w:val="5F0763B4"/>
    <w:rsid w:val="5F5F65C9"/>
    <w:rsid w:val="605760EE"/>
    <w:rsid w:val="610811AD"/>
    <w:rsid w:val="615D0F61"/>
    <w:rsid w:val="61AF71A1"/>
    <w:rsid w:val="62790B58"/>
    <w:rsid w:val="634B584D"/>
    <w:rsid w:val="6530450E"/>
    <w:rsid w:val="658D1B77"/>
    <w:rsid w:val="662E2524"/>
    <w:rsid w:val="665A77B5"/>
    <w:rsid w:val="666E300F"/>
    <w:rsid w:val="6733355B"/>
    <w:rsid w:val="684D74B3"/>
    <w:rsid w:val="698173D2"/>
    <w:rsid w:val="69A62ABC"/>
    <w:rsid w:val="6A7879E8"/>
    <w:rsid w:val="6B9025BD"/>
    <w:rsid w:val="6BFC3283"/>
    <w:rsid w:val="6C135246"/>
    <w:rsid w:val="6C375AAF"/>
    <w:rsid w:val="6CCA1FB9"/>
    <w:rsid w:val="6CD51B5B"/>
    <w:rsid w:val="6CFA006A"/>
    <w:rsid w:val="6D317498"/>
    <w:rsid w:val="6D3579F2"/>
    <w:rsid w:val="6D525AEA"/>
    <w:rsid w:val="6D6C33B8"/>
    <w:rsid w:val="6EA43A8B"/>
    <w:rsid w:val="708B3388"/>
    <w:rsid w:val="72712739"/>
    <w:rsid w:val="72D72C9E"/>
    <w:rsid w:val="73862EA4"/>
    <w:rsid w:val="7452158C"/>
    <w:rsid w:val="75143B72"/>
    <w:rsid w:val="77476EC4"/>
    <w:rsid w:val="77802F62"/>
    <w:rsid w:val="77CE2267"/>
    <w:rsid w:val="7950536A"/>
    <w:rsid w:val="79A65E4E"/>
    <w:rsid w:val="7BF7362F"/>
    <w:rsid w:val="7C4F3DF1"/>
    <w:rsid w:val="7E3D63E4"/>
    <w:rsid w:val="7F4048FD"/>
    <w:rsid w:val="7FFC6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Indent"/>
    <w:basedOn w:val="1"/>
    <w:qFormat/>
    <w:uiPriority w:val="0"/>
    <w:pPr>
      <w:spacing w:after="120" w:afterLines="0"/>
      <w:ind w:left="420" w:leftChars="200"/>
    </w:pPr>
    <w:rPr>
      <w:rFonts w:ascii="Times New Roman" w:hAnsi="Times New Roman" w:eastAsia="宋体" w:cs="Times New Roman"/>
    </w:rPr>
  </w:style>
  <w:style w:type="paragraph" w:styleId="6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8">
    <w:name w:val="Body Text First Indent 2"/>
    <w:basedOn w:val="5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character" w:styleId="11">
    <w:name w:val="Strong"/>
    <w:basedOn w:val="10"/>
    <w:qFormat/>
    <w:uiPriority w:val="0"/>
    <w:rPr>
      <w:b/>
    </w:rPr>
  </w:style>
  <w:style w:type="paragraph" w:customStyle="1" w:styleId="12">
    <w:name w:val="BodyText"/>
    <w:basedOn w:val="1"/>
    <w:autoRedefine/>
    <w:qFormat/>
    <w:uiPriority w:val="0"/>
    <w:pPr>
      <w:tabs>
        <w:tab w:val="left" w:pos="562"/>
        <w:tab w:val="left" w:pos="3372"/>
        <w:tab w:val="left" w:pos="3653"/>
      </w:tabs>
    </w:pPr>
    <w:rPr>
      <w:rFonts w:ascii="Calibri" w:hAnsi="Calibri" w:eastAsia="宋体" w:cs="Times New Roman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2787</Words>
  <Characters>2802</Characters>
  <Lines>6</Lines>
  <Paragraphs>1</Paragraphs>
  <TotalTime>20</TotalTime>
  <ScaleCrop>false</ScaleCrop>
  <LinksUpToDate>false</LinksUpToDate>
  <CharactersWithSpaces>2850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2018-04-18T02:30:00Z</dcterms:created>
  <dc:creator>south</dc:creator>
  <cp:lastModifiedBy>momo</cp:lastModifiedBy>
  <cp:lastPrinted>2026-08-07T01:34:00Z</cp:lastPrinted>
  <dcterms:modified xsi:type="dcterms:W3CDTF">2026-09-07T03:20:36Z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eyJoZGlkIjoiM2RlOGM2ZDQwMzdkMjJlZDQ4MDZiYzRkZmZlNDMzMTgiLCJ1c2VySWQiOiI5MzUxNTIxMjcifQ==</vt:lpwstr>
  </property>
  <property fmtid="{D5CDD505-2E9C-101B-9397-08002B2CF9AE}" pid="4" name="ICV">
    <vt:lpwstr>3FFCE881CCBB48F08DB339BB006689D4_13</vt:lpwstr>
  </property>
</Properties>
</file>