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79F06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color w:val="000000"/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项目绩效自评报告</w:t>
      </w:r>
    </w:p>
    <w:p w14:paraId="74E7AF2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71C1384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724AE17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6EB64C1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61C4CA90">
      <w:pPr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项目名称（一级项目）：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提前下达孤儿生活费</w:t>
      </w:r>
    </w:p>
    <w:p w14:paraId="3575645D">
      <w:pPr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对应“二级项目”数量：</w:t>
      </w:r>
      <w:r>
        <w:rPr>
          <w:rFonts w:ascii="宋体" w:hAnsi="宋体" w:eastAsia="宋体" w:cs="宋体"/>
          <w:sz w:val="24"/>
          <w:szCs w:val="24"/>
        </w:rPr>
        <w:t>2</w:t>
      </w:r>
    </w:p>
    <w:p w14:paraId="6A99F8D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部门名称：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儿童福利和慈善事业股</w:t>
      </w:r>
      <w:r>
        <w:rPr>
          <w:rFonts w:hint="eastAsia" w:ascii="仿宋_GB2312" w:eastAsia="仿宋_GB2312"/>
          <w:sz w:val="32"/>
          <w:szCs w:val="32"/>
        </w:rPr>
        <w:t>（公章）</w:t>
      </w:r>
    </w:p>
    <w:p w14:paraId="158F2B67">
      <w:pPr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填报人：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李镇豆</w:t>
      </w:r>
    </w:p>
    <w:p w14:paraId="2E2855D8">
      <w:pPr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联系电话：19864910801</w:t>
      </w:r>
    </w:p>
    <w:p w14:paraId="34A7B2B6">
      <w:pPr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填报日期：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2026年8月19日</w:t>
      </w:r>
    </w:p>
    <w:p w14:paraId="4E22D54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222E15F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5AD8C7C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</w:pPr>
    </w:p>
    <w:p w14:paraId="2599063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一、基本情况</w:t>
      </w:r>
    </w:p>
    <w:p w14:paraId="43762C1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（一）项目基本情况</w:t>
      </w:r>
    </w:p>
    <w:p w14:paraId="72D558B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本项目为孤儿及事实无人抚养儿童基本生活费专项，资金用于发放全县孤儿、事实无人抚养儿童基本生活补助，保障困境儿童基本生活。2025年项目年初预算安排642.00万元，项目实际支出902.08万元，资金全部由县民政局本级直接发放，无向下级转移支付。项目资金全部用于孤儿、事实无人抚养儿童生活补助发放，切实落实困境儿童保障政策。</w:t>
      </w:r>
    </w:p>
    <w:p w14:paraId="31306E1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（二）项目决策情况</w:t>
      </w:r>
    </w:p>
    <w:p w14:paraId="3C94225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40" w:firstLineChars="2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依据国家、省、市关于孤儿和事实无人抚养儿童保障相关政策文件，按照确定的养育标准，对全县符合条件的孤儿、事实无人抚养儿童按月发放基本生活费。项目资金严格按照财政专项资金管理规定执行，资金用于保障困境儿童基本生活，项目决策符合民政领域民生保障政策要求。</w:t>
      </w:r>
    </w:p>
    <w:p w14:paraId="6BFE5DD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（三）项目绩效总体目标及年度绩效目标</w:t>
      </w:r>
    </w:p>
    <w:p w14:paraId="75E0BA9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43" w:firstLineChars="200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Style w:val="9"/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总体目标：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及时拨付孤儿及事实无人抚养儿童基本生活费，保障资金及时足额到位，关爱弱势群体，保障困境儿童基本生活，促进社会和谐稳定。</w:t>
      </w:r>
      <w:r>
        <w:rPr>
          <w:rStyle w:val="9"/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年度绩效目标：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做到经费下拨率100%，供养覆盖率不低于96%，按时足额发放生活费，实现应保尽保，切实保障孤儿及事实无人抚养儿童基本生活，提升服务对象满意度。</w:t>
      </w:r>
    </w:p>
    <w:p w14:paraId="29758E6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二、自评情况</w:t>
      </w:r>
    </w:p>
    <w:p w14:paraId="0F57A22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（一）自评分数</w:t>
      </w:r>
    </w:p>
    <w:p w14:paraId="0E81FCB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40" w:firstLineChars="2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本项目绩效自评综合得分</w:t>
      </w:r>
      <w:r>
        <w:rPr>
          <w:rStyle w:val="9"/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100分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。</w:t>
      </w:r>
    </w:p>
    <w:p w14:paraId="7C6D19C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（二）专项资金使用绩效</w:t>
      </w:r>
    </w:p>
    <w:p w14:paraId="54299E5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43" w:firstLineChars="2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Style w:val="9"/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一是专项资金支出情况。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项目年初预算642.00万元，2025年度实际支出902.08万元，全部为县民政局本级支出，无转移下级支出。实际支出高于年初预算，主要由于年度内保障对象人数增加以及养育标准政策上调，通过统筹追加资金落实待遇，所有资金均履行完整审批及支付手续，资金全部用于孤儿、事实无人抚养儿童生活费发放，没有挤占、挪用情况。</w:t>
      </w:r>
    </w:p>
    <w:p w14:paraId="457D673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43" w:firstLineChars="200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Style w:val="9"/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二是专项资金完成绩效目标情况。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2025年度项目各项绩效目标全部完成。经费下拨率100%，供养覆盖率达到100%，按月足额发放孤儿及事实无人抚养儿童生活费，做到应保尽保；服务对象满意度96%，圆满完成年度设定绩效目标，预期总体目标如期实现。</w:t>
      </w:r>
    </w:p>
    <w:p w14:paraId="60D1D32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firstLine="643" w:firstLineChars="2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Style w:val="9"/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三是专项资金分用途使用绩效。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专项资金全部用于孤儿、事实无人抚养儿童基本生活费补助发放，没有列支其他工作经费。通过及时足额发放生活费，有效解决困境儿童吃穿等基本生活需求，切实维护困境儿童生存权益，发挥专项资金民生兜底保障效益。</w:t>
      </w:r>
    </w:p>
    <w:p w14:paraId="79640E8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（三）专项资金使用绩效存在的问题</w:t>
      </w:r>
    </w:p>
    <w:p w14:paraId="28ACF9B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一是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保障对象动态变化大，部分监护家庭信息更新不够及时，对象动态识别存在一定滞后风险；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二是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工作重心侧重生活费资金发放，针对困境儿童心理疏导、监护指导等关爱服务力度仍有待加强；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lang w:val="en-US" w:eastAsia="zh-CN" w:bidi="ar"/>
        </w:rPr>
        <w:t>三是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镇（街）基层经办人员变动较为频繁，业务能力需要持续培训巩固。</w:t>
      </w:r>
    </w:p>
    <w:p w14:paraId="391E6ED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（四）绩效自评指标完成情况</w:t>
      </w:r>
    </w:p>
    <w:p w14:paraId="424C94B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40" w:firstLineChars="2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过程指标：资金支出率、监管有效性全部完成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，专项资金执行手续完备，落实对象动态核查监管。成本指标：财政资金全部按政策标准据实发放，资金投向合规。产出指标：经费下拨率100%，供养覆盖率100%，实现符合条件对象应保尽保。效益指标：社会效益充分发挥，困境儿童基本生活得到兜底保障；服务对象满意度96%，达到预期目标。</w:t>
      </w:r>
    </w:p>
    <w:p w14:paraId="7C9777A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三、改进意见</w:t>
      </w:r>
    </w:p>
    <w:p w14:paraId="7A3CC0DC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leftChars="0" w:right="0" w:rightChars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完善对象动态管理机制，督促各镇（街）落实月度信息比对，及时掌握儿童监护、生存状态，精准做好新增、停发工作，确保对象精准。</w:t>
      </w:r>
    </w:p>
    <w:p w14:paraId="03FFABCF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leftChars="0" w:right="0" w:rightChars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强化综合关爱服务，在落实生活费发放基础上，联动村居委会、社工力量，常态化开展入户走访，做好监护指导、心理关怀，由单一资金保障向综合关爱服务延伸。</w:t>
      </w:r>
    </w:p>
    <w:p w14:paraId="5283C910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leftChars="0" w:right="0" w:rightChars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三是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常态化开展基层业务培训，定期组织镇街民政经办人员业务学习，规范申报、核查、档案管理工作，提升基层业务经办水平。</w:t>
      </w:r>
    </w:p>
    <w:p w14:paraId="4F79489E">
      <w:pPr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leftChars="0" w:right="0" w:rightChars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四是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加强预算编制预判，下一年度充分研判保障对象增减、提标等政策因素，进一步提高部门预算编制精准度。</w:t>
      </w:r>
    </w:p>
    <w:p w14:paraId="298CA3E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tLeast"/>
        <w:ind w:left="0" w:right="0" w:firstLine="643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Style w:val="9"/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附件：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项目绩效自评指标评分表</w:t>
      </w:r>
    </w:p>
    <w:p w14:paraId="4DEDC5FC"/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07991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6666A43">
                          <w:pPr>
                            <w:pStyle w:val="5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6666A43">
                    <w:pPr>
                      <w:pStyle w:val="5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236119"/>
    <w:rsid w:val="0F871B88"/>
    <w:rsid w:val="129946F7"/>
    <w:rsid w:val="17F10CE4"/>
    <w:rsid w:val="61236119"/>
    <w:rsid w:val="75544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1484</Words>
  <Characters>1550</Characters>
  <Lines>0</Lines>
  <Paragraphs>0</Paragraphs>
  <TotalTime>79</TotalTime>
  <ScaleCrop>false</ScaleCrop>
  <LinksUpToDate>false</LinksUpToDate>
  <CharactersWithSpaces>1579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2026-08-19T09:16:00Z</dcterms:created>
  <dc:creator>Cheng Lide</dc:creator>
  <cp:lastModifiedBy>Trouble Zero</cp:lastModifiedBy>
  <dcterms:modified xsi:type="dcterms:W3CDTF">2026-08-20T08:59:09Z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E771AD9330E3459BADD6D1BC13C63C26_11</vt:lpwstr>
  </property>
  <property fmtid="{D5CDD505-2E9C-101B-9397-08002B2CF9AE}" pid="4" name="KSOTemplateDocerSaveRecord">
    <vt:lpwstr>eyJoZGlkIjoiZDNkZGQ3MjZlZGUxZDViNjM5YTFkZDJkZDYwZDYzMmQiLCJ1c2VySWQiOiI2MzAyMDUxMzEifQ==</vt:lpwstr>
  </property>
</Properties>
</file>