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1041DC">
      <w:pPr>
        <w:rPr>
          <w:rFonts w:hint="eastAsia"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r>
        <w:rPr>
          <w:rFonts w:hint="eastAsia" w:ascii="黑体" w:hAnsi="黑体" w:eastAsia="黑体" w:cs="黑体"/>
          <w:sz w:val="32"/>
          <w:szCs w:val="32"/>
        </w:rPr>
        <w:t>:</w:t>
      </w:r>
    </w:p>
    <w:p w14:paraId="0DCCD7CC">
      <w:pPr>
        <w:rPr>
          <w:rFonts w:ascii="仿宋_GB2312" w:eastAsia="仿宋_GB2312"/>
          <w:sz w:val="32"/>
          <w:szCs w:val="32"/>
        </w:rPr>
      </w:pPr>
      <w:r>
        <w:rPr>
          <w:rFonts w:hint="eastAsia" w:ascii="仿宋_GB2312" w:eastAsia="仿宋_GB2312"/>
          <w:sz w:val="32"/>
          <w:szCs w:val="32"/>
        </w:rPr>
        <w:t xml:space="preserve"> </w:t>
      </w:r>
    </w:p>
    <w:p w14:paraId="359CB0A9">
      <w:pPr>
        <w:jc w:val="center"/>
        <w:rPr>
          <w:rFonts w:ascii="方正小标宋简体" w:eastAsia="方正小标宋简体"/>
          <w:sz w:val="44"/>
          <w:szCs w:val="44"/>
        </w:rPr>
      </w:pPr>
      <w:r>
        <w:rPr>
          <w:rFonts w:hint="eastAsia" w:ascii="方正小标宋简体" w:eastAsia="方正小标宋简体"/>
          <w:sz w:val="44"/>
          <w:szCs w:val="44"/>
        </w:rPr>
        <w:t>项目绩效自评报告</w:t>
      </w:r>
    </w:p>
    <w:p w14:paraId="7B2206FA">
      <w:pPr>
        <w:jc w:val="center"/>
        <w:rPr>
          <w:rFonts w:ascii="仿宋_GB2312" w:eastAsia="仿宋_GB2312"/>
          <w:sz w:val="32"/>
          <w:szCs w:val="32"/>
        </w:rPr>
      </w:pPr>
      <w:r>
        <w:rPr>
          <w:rFonts w:hint="eastAsia" w:ascii="仿宋_GB2312" w:eastAsia="仿宋_GB2312"/>
          <w:sz w:val="32"/>
          <w:szCs w:val="32"/>
        </w:rPr>
        <w:t>（参考格式）</w:t>
      </w:r>
    </w:p>
    <w:p w14:paraId="59AB6CF2">
      <w:pPr>
        <w:jc w:val="center"/>
        <w:rPr>
          <w:rFonts w:ascii="仿宋_GB2312" w:eastAsia="仿宋_GB2312"/>
          <w:sz w:val="32"/>
          <w:szCs w:val="32"/>
        </w:rPr>
      </w:pPr>
    </w:p>
    <w:p w14:paraId="3F4FEC65">
      <w:pPr>
        <w:jc w:val="center"/>
        <w:rPr>
          <w:rFonts w:ascii="仿宋_GB2312" w:eastAsia="仿宋_GB2312"/>
          <w:sz w:val="32"/>
          <w:szCs w:val="32"/>
        </w:rPr>
      </w:pPr>
    </w:p>
    <w:p w14:paraId="320D23F4">
      <w:pPr>
        <w:jc w:val="center"/>
        <w:rPr>
          <w:rFonts w:ascii="仿宋_GB2312" w:eastAsia="仿宋_GB2312"/>
          <w:sz w:val="32"/>
          <w:szCs w:val="32"/>
        </w:rPr>
      </w:pPr>
    </w:p>
    <w:p w14:paraId="4B2B6305">
      <w:pPr>
        <w:jc w:val="center"/>
        <w:rPr>
          <w:rFonts w:ascii="仿宋_GB2312" w:eastAsia="仿宋_GB2312"/>
          <w:sz w:val="32"/>
          <w:szCs w:val="32"/>
        </w:rPr>
      </w:pPr>
    </w:p>
    <w:p w14:paraId="510DD234">
      <w:pPr>
        <w:jc w:val="center"/>
        <w:rPr>
          <w:rFonts w:ascii="仿宋_GB2312" w:eastAsia="仿宋_GB2312"/>
          <w:sz w:val="32"/>
          <w:szCs w:val="32"/>
        </w:rPr>
      </w:pPr>
    </w:p>
    <w:p w14:paraId="0A3A0ABE">
      <w:pPr>
        <w:jc w:val="center"/>
        <w:rPr>
          <w:rFonts w:ascii="仿宋_GB2312" w:eastAsia="仿宋_GB2312"/>
          <w:sz w:val="32"/>
          <w:szCs w:val="32"/>
        </w:rPr>
      </w:pPr>
    </w:p>
    <w:p w14:paraId="3A2FC29B">
      <w:pPr>
        <w:jc w:val="center"/>
        <w:rPr>
          <w:rFonts w:ascii="仿宋_GB2312" w:eastAsia="仿宋_GB2312"/>
          <w:sz w:val="32"/>
          <w:szCs w:val="32"/>
        </w:rPr>
      </w:pPr>
    </w:p>
    <w:p w14:paraId="73E4FB39">
      <w:pPr>
        <w:jc w:val="center"/>
        <w:rPr>
          <w:rFonts w:ascii="仿宋_GB2312" w:eastAsia="仿宋_GB2312"/>
          <w:sz w:val="32"/>
          <w:szCs w:val="32"/>
        </w:rPr>
      </w:pPr>
    </w:p>
    <w:p w14:paraId="3BCA21BF">
      <w:pPr>
        <w:jc w:val="center"/>
        <w:rPr>
          <w:rFonts w:ascii="仿宋_GB2312" w:eastAsia="仿宋_GB2312"/>
          <w:sz w:val="32"/>
          <w:szCs w:val="32"/>
        </w:rPr>
      </w:pPr>
    </w:p>
    <w:p w14:paraId="13C92074">
      <w:pPr>
        <w:jc w:val="center"/>
        <w:rPr>
          <w:rFonts w:ascii="仿宋_GB2312" w:eastAsia="仿宋_GB2312"/>
          <w:sz w:val="32"/>
          <w:szCs w:val="32"/>
        </w:rPr>
      </w:pPr>
    </w:p>
    <w:p w14:paraId="2E2CB068">
      <w:pPr>
        <w:jc w:val="left"/>
        <w:rPr>
          <w:rFonts w:hint="eastAsia" w:ascii="仿宋_GB2312" w:eastAsia="仿宋_GB2312"/>
          <w:sz w:val="32"/>
          <w:szCs w:val="32"/>
        </w:rPr>
      </w:pPr>
      <w:r>
        <w:rPr>
          <w:rFonts w:hint="eastAsia" w:ascii="仿宋_GB2312" w:eastAsia="仿宋_GB2312"/>
          <w:sz w:val="32"/>
          <w:szCs w:val="32"/>
        </w:rPr>
        <w:t>项目名称（一级项目）：养老服务体系建设补助资金项目</w:t>
      </w:r>
    </w:p>
    <w:p w14:paraId="6A99F8D1">
      <w:pPr>
        <w:jc w:val="left"/>
        <w:rPr>
          <w:rFonts w:hint="default" w:ascii="仿宋_GB2312" w:eastAsia="仿宋_GB2312"/>
          <w:sz w:val="32"/>
          <w:szCs w:val="32"/>
          <w:lang w:val="en-US"/>
        </w:rPr>
      </w:pPr>
      <w:r>
        <w:rPr>
          <w:rFonts w:hint="eastAsia" w:ascii="仿宋_GB2312" w:eastAsia="仿宋_GB2312"/>
          <w:sz w:val="32"/>
          <w:szCs w:val="32"/>
        </w:rPr>
        <w:t>部门名称：</w:t>
      </w:r>
      <w:r>
        <w:rPr>
          <w:rFonts w:hint="eastAsia" w:ascii="仿宋_GB2312" w:eastAsia="仿宋_GB2312"/>
          <w:sz w:val="32"/>
          <w:szCs w:val="32"/>
          <w:lang w:eastAsia="zh-CN"/>
        </w:rPr>
        <w:t>徐闻县民政局</w:t>
      </w:r>
      <w:r>
        <w:rPr>
          <w:rFonts w:hint="eastAsia" w:ascii="仿宋_GB2312" w:eastAsia="仿宋_GB2312"/>
          <w:sz w:val="32"/>
          <w:szCs w:val="32"/>
          <w:lang w:val="en-US" w:eastAsia="zh-CN"/>
        </w:rPr>
        <w:t>养老服务股</w:t>
      </w:r>
    </w:p>
    <w:p w14:paraId="158F2B67">
      <w:pPr>
        <w:jc w:val="left"/>
        <w:rPr>
          <w:rFonts w:hint="default" w:ascii="仿宋_GB2312" w:eastAsia="仿宋_GB2312"/>
          <w:sz w:val="32"/>
          <w:szCs w:val="32"/>
          <w:lang w:val="en-US" w:eastAsia="zh-CN"/>
        </w:rPr>
      </w:pPr>
      <w:r>
        <w:rPr>
          <w:rFonts w:hint="eastAsia" w:ascii="仿宋_GB2312" w:eastAsia="仿宋_GB2312"/>
          <w:sz w:val="32"/>
          <w:szCs w:val="32"/>
        </w:rPr>
        <w:t>填报人：</w:t>
      </w:r>
      <w:r>
        <w:rPr>
          <w:rFonts w:hint="eastAsia" w:ascii="仿宋_GB2312" w:eastAsia="仿宋_GB2312"/>
          <w:sz w:val="32"/>
          <w:szCs w:val="32"/>
          <w:lang w:val="en-US" w:eastAsia="zh-CN"/>
        </w:rPr>
        <w:t>王小建</w:t>
      </w:r>
    </w:p>
    <w:p w14:paraId="2E2855D8">
      <w:pPr>
        <w:jc w:val="left"/>
        <w:rPr>
          <w:rFonts w:hint="default" w:ascii="仿宋_GB2312" w:eastAsia="仿宋_GB2312"/>
          <w:sz w:val="32"/>
          <w:szCs w:val="32"/>
          <w:lang w:val="en-US" w:eastAsia="zh-CN"/>
        </w:rPr>
      </w:pPr>
      <w:r>
        <w:rPr>
          <w:rFonts w:hint="eastAsia" w:ascii="仿宋_GB2312" w:eastAsia="仿宋_GB2312"/>
          <w:sz w:val="32"/>
          <w:szCs w:val="32"/>
        </w:rPr>
        <w:t>联系电话：</w:t>
      </w:r>
      <w:r>
        <w:rPr>
          <w:rFonts w:hint="eastAsia" w:ascii="仿宋_GB2312" w:eastAsia="仿宋_GB2312"/>
          <w:sz w:val="32"/>
          <w:szCs w:val="32"/>
          <w:lang w:val="en-US" w:eastAsia="zh-CN"/>
        </w:rPr>
        <w:t>19126602859</w:t>
      </w:r>
    </w:p>
    <w:p w14:paraId="34A7B2B6">
      <w:pPr>
        <w:jc w:val="left"/>
        <w:rPr>
          <w:rFonts w:hint="default" w:ascii="仿宋_GB2312" w:eastAsia="仿宋_GB2312"/>
          <w:sz w:val="32"/>
          <w:szCs w:val="32"/>
          <w:lang w:val="en-US" w:eastAsia="zh-CN"/>
        </w:rPr>
      </w:pPr>
      <w:r>
        <w:rPr>
          <w:rFonts w:hint="eastAsia" w:ascii="仿宋_GB2312" w:eastAsia="仿宋_GB2312"/>
          <w:sz w:val="32"/>
          <w:szCs w:val="32"/>
        </w:rPr>
        <w:t>填报日期：</w:t>
      </w:r>
      <w:r>
        <w:rPr>
          <w:rFonts w:hint="eastAsia" w:ascii="仿宋_GB2312" w:eastAsia="仿宋_GB2312"/>
          <w:sz w:val="32"/>
          <w:szCs w:val="32"/>
          <w:lang w:val="en-US" w:eastAsia="zh-CN"/>
        </w:rPr>
        <w:t>2026年8月20日</w:t>
      </w:r>
    </w:p>
    <w:p w14:paraId="2C617F8F">
      <w:pPr>
        <w:jc w:val="center"/>
        <w:rPr>
          <w:rFonts w:ascii="仿宋_GB2312" w:eastAsia="仿宋_GB2312"/>
          <w:sz w:val="32"/>
          <w:szCs w:val="32"/>
        </w:rPr>
      </w:pPr>
    </w:p>
    <w:p w14:paraId="399BDB32">
      <w:pPr>
        <w:jc w:val="center"/>
        <w:rPr>
          <w:rFonts w:ascii="仿宋_GB2312" w:eastAsia="仿宋_GB2312"/>
          <w:sz w:val="32"/>
          <w:szCs w:val="32"/>
        </w:rPr>
      </w:pPr>
    </w:p>
    <w:p w14:paraId="274FA8C7">
      <w:pPr>
        <w:jc w:val="center"/>
        <w:rPr>
          <w:rFonts w:ascii="仿宋_GB2312" w:eastAsia="仿宋_GB2312"/>
          <w:sz w:val="32"/>
          <w:szCs w:val="32"/>
        </w:rPr>
      </w:pPr>
    </w:p>
    <w:p w14:paraId="29E8A8E9">
      <w:pPr>
        <w:ind w:firstLine="640" w:firstLineChars="200"/>
        <w:rPr>
          <w:rFonts w:ascii="黑体" w:hAnsi="黑体" w:eastAsia="黑体"/>
          <w:sz w:val="32"/>
          <w:szCs w:val="32"/>
        </w:rPr>
      </w:pPr>
      <w:r>
        <w:rPr>
          <w:rFonts w:hint="eastAsia" w:ascii="黑体" w:hAnsi="黑体" w:eastAsia="黑体"/>
          <w:sz w:val="32"/>
          <w:szCs w:val="32"/>
        </w:rPr>
        <w:t>一、基本情况</w:t>
      </w:r>
    </w:p>
    <w:p w14:paraId="0927844A">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一）根据2025年县级预算，按照《广东省财政厅关于下达2021年中央集中彩票公益金支持社会福利事业专项资金预算的通知》（粤财社﹝2021﹞140号）、《广东省财政厅关于提前下达2021年省财政养老服务体系建设补助资金预算的通知》（粤财社﹝2020﹞289号）、《广东省财政厅关于下达2022年省级养老服务体系建设补助预算资金的通知》（粤财社﹝2022﹞31号）、《广东省财政厅关于提前下达2023年省财政养老服务体系建设补助资金预算的通知》（粤财社﹝2022﹞256号）等有关文件政策规定，结合我县实际，严格按照有关规定科学</w:t>
      </w:r>
      <w:r>
        <w:rPr>
          <w:rFonts w:hint="default" w:ascii="仿宋_GB2312" w:eastAsia="仿宋_GB2312"/>
          <w:sz w:val="32"/>
          <w:szCs w:val="32"/>
          <w:lang w:val="en-US" w:eastAsia="zh-CN"/>
        </w:rPr>
        <w:t>管理和使用资金，切实提高财政资金使用效益</w:t>
      </w:r>
      <w:r>
        <w:rPr>
          <w:rFonts w:hint="eastAsia" w:ascii="仿宋_GB2312" w:eastAsia="仿宋_GB2312"/>
          <w:sz w:val="32"/>
          <w:szCs w:val="32"/>
          <w:lang w:val="en-US" w:eastAsia="zh-CN"/>
        </w:rPr>
        <w:t>，确保养老服务体系建设补助资金的有效使用。实施特困人员供养服务设施（敬老院）改造提升工程。支持特困人员供养服务设施（敬老院）新建、改扩建和设施设备配置，进一步强化照护能力和集中供养能力。加强养老机构消防安全隐患治理。支持养老机构消防安全升级改造和按照国家工程建设消防技术标准配置消防设施器材，针对重大风险隐患进行整改，提高养老机构消防安全防范能力；实施老年人居家适老化改造工程。坚持需求导向，重点支持保障特殊困难老年人最迫切的居家适老化改造需求；推动养老机构护理型床位建设和设施设备更新，加强养老护理员队伍建设，提高照护能力和水平。</w:t>
      </w:r>
    </w:p>
    <w:p w14:paraId="1D0D2ADD">
      <w:pPr>
        <w:ind w:firstLine="640" w:firstLineChars="200"/>
        <w:rPr>
          <w:rFonts w:ascii="黑体" w:hAnsi="黑体" w:eastAsia="黑体" w:cs="黑体"/>
          <w:sz w:val="32"/>
          <w:szCs w:val="32"/>
        </w:rPr>
      </w:pPr>
      <w:r>
        <w:rPr>
          <w:rFonts w:hint="eastAsia" w:ascii="黑体" w:hAnsi="黑体" w:eastAsia="黑体"/>
          <w:sz w:val="32"/>
          <w:szCs w:val="32"/>
        </w:rPr>
        <w:t>二、自评情况</w:t>
      </w:r>
    </w:p>
    <w:p w14:paraId="46EB3A65">
      <w:pPr>
        <w:ind w:firstLine="640" w:firstLineChars="200"/>
        <w:rPr>
          <w:rFonts w:hint="eastAsia" w:ascii="仿宋_GB2312" w:eastAsia="仿宋_GB2312"/>
          <w:sz w:val="32"/>
          <w:szCs w:val="32"/>
        </w:rPr>
      </w:pPr>
      <w:r>
        <w:rPr>
          <w:rFonts w:hint="eastAsia" w:ascii="仿宋_GB2312" w:eastAsia="仿宋_GB2312"/>
          <w:sz w:val="32"/>
          <w:szCs w:val="32"/>
        </w:rPr>
        <w:t>（一）自评分数</w:t>
      </w:r>
    </w:p>
    <w:p w14:paraId="23DE8AE3">
      <w:pPr>
        <w:spacing w:line="600" w:lineRule="exact"/>
        <w:ind w:firstLine="600"/>
        <w:rPr>
          <w:rFonts w:hint="default" w:ascii="CESI仿宋-GB2312" w:hAnsi="CESI仿宋-GB2312" w:eastAsia="CESI仿宋-GB2312" w:cs="CESI仿宋-GB2312"/>
          <w:kern w:val="1"/>
          <w:sz w:val="30"/>
          <w:szCs w:val="30"/>
          <w:lang w:val="en-US"/>
        </w:rPr>
      </w:pPr>
      <w:r>
        <w:rPr>
          <w:rFonts w:hint="eastAsia" w:ascii="CESI仿宋-GB2312" w:hAnsi="CESI仿宋-GB2312" w:eastAsia="CESI仿宋-GB2312" w:cs="CESI仿宋-GB2312"/>
          <w:kern w:val="1"/>
          <w:sz w:val="30"/>
          <w:szCs w:val="30"/>
          <w:lang w:eastAsia="zh-CN"/>
        </w:rPr>
        <w:t>自评</w:t>
      </w:r>
      <w:r>
        <w:rPr>
          <w:rFonts w:hint="eastAsia" w:ascii="CESI仿宋-GB2312" w:hAnsi="CESI仿宋-GB2312" w:eastAsia="CESI仿宋-GB2312" w:cs="CESI仿宋-GB2312"/>
          <w:kern w:val="1"/>
          <w:sz w:val="30"/>
          <w:szCs w:val="30"/>
          <w:lang w:val="en-US" w:eastAsia="zh-CN"/>
        </w:rPr>
        <w:t>等级</w:t>
      </w:r>
      <w:r>
        <w:rPr>
          <w:rFonts w:hint="eastAsia" w:ascii="CESI仿宋-GB2312" w:hAnsi="CESI仿宋-GB2312" w:eastAsia="CESI仿宋-GB2312" w:cs="CESI仿宋-GB2312"/>
          <w:kern w:val="1"/>
          <w:sz w:val="30"/>
          <w:szCs w:val="30"/>
          <w:lang w:eastAsia="zh-CN"/>
        </w:rPr>
        <w:t>：</w:t>
      </w:r>
      <w:r>
        <w:rPr>
          <w:rFonts w:hint="eastAsia" w:ascii="CESI仿宋-GB2312" w:hAnsi="CESI仿宋-GB2312" w:eastAsia="CESI仿宋-GB2312" w:cs="CESI仿宋-GB2312"/>
          <w:kern w:val="1"/>
          <w:sz w:val="30"/>
          <w:szCs w:val="30"/>
          <w:lang w:val="en-US" w:eastAsia="zh-CN"/>
        </w:rPr>
        <w:t>优；分数：98</w:t>
      </w:r>
    </w:p>
    <w:p w14:paraId="54CA4E25">
      <w:pPr>
        <w:ind w:firstLine="640" w:firstLineChars="200"/>
        <w:rPr>
          <w:rFonts w:hint="eastAsia" w:ascii="仿宋_GB2312" w:eastAsia="仿宋_GB2312"/>
          <w:sz w:val="32"/>
          <w:szCs w:val="32"/>
        </w:rPr>
      </w:pPr>
    </w:p>
    <w:p w14:paraId="3229508C">
      <w:pPr>
        <w:ind w:firstLine="640" w:firstLineChars="200"/>
        <w:rPr>
          <w:rFonts w:ascii="仿宋_GB2312" w:eastAsia="仿宋_GB2312"/>
          <w:sz w:val="32"/>
          <w:szCs w:val="32"/>
        </w:rPr>
      </w:pPr>
      <w:r>
        <w:rPr>
          <w:rFonts w:hint="eastAsia" w:ascii="仿宋_GB2312" w:eastAsia="仿宋_GB2312"/>
          <w:sz w:val="32"/>
          <w:szCs w:val="32"/>
        </w:rPr>
        <w:t>（二）专项资金使用绩效</w:t>
      </w:r>
    </w:p>
    <w:p w14:paraId="1DD4E516">
      <w:pPr>
        <w:ind w:firstLine="640" w:firstLineChars="200"/>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w:t>
      </w:r>
      <w:r>
        <w:rPr>
          <w:rFonts w:hint="eastAsia" w:ascii="仿宋_GB2312" w:eastAsia="仿宋_GB2312"/>
          <w:sz w:val="32"/>
          <w:szCs w:val="32"/>
        </w:rPr>
        <w:t>专项资金支出情况</w:t>
      </w:r>
    </w:p>
    <w:p w14:paraId="40B3C95C">
      <w:pPr>
        <w:ind w:firstLine="640" w:firstLineChars="200"/>
        <w:rPr>
          <w:rFonts w:hint="eastAsia" w:ascii="仿宋_GB2312" w:eastAsia="仿宋_GB2312"/>
          <w:sz w:val="32"/>
          <w:szCs w:val="32"/>
        </w:rPr>
      </w:pPr>
      <w:r>
        <w:rPr>
          <w:rFonts w:hint="eastAsia" w:ascii="仿宋_GB2312" w:hAnsi="仿宋_GB2312" w:cs="仿宋_GB2312"/>
          <w:sz w:val="32"/>
          <w:szCs w:val="32"/>
          <w:highlight w:val="none"/>
          <w:lang w:val="en-US" w:eastAsia="zh-CN"/>
        </w:rPr>
        <w:t>资金主要用于支持养老服务类项目，根据我县实际情况统筹安排好省财政补助资金，用于养老服务体系建设重点工作任务。</w:t>
      </w:r>
      <w:r>
        <w:rPr>
          <w:rFonts w:hint="eastAsia" w:ascii="仿宋_GB2312" w:hAnsi="仿宋_GB2312" w:eastAsia="仿宋_GB2312"/>
          <w:kern w:val="1"/>
          <w:sz w:val="32"/>
          <w:szCs w:val="32"/>
        </w:rPr>
        <w:t>年度预期投入</w:t>
      </w:r>
      <w:r>
        <w:rPr>
          <w:rFonts w:hint="eastAsia" w:ascii="仿宋_GB2312" w:hAnsi="仿宋_GB2312" w:eastAsia="仿宋_GB2312"/>
          <w:kern w:val="1"/>
          <w:sz w:val="32"/>
          <w:szCs w:val="32"/>
          <w:lang w:val="en-US" w:eastAsia="zh-CN"/>
        </w:rPr>
        <w:t>100万元</w:t>
      </w:r>
      <w:r>
        <w:rPr>
          <w:rFonts w:hint="eastAsia" w:ascii="仿宋_GB2312" w:hAnsi="仿宋_GB2312" w:eastAsia="仿宋_GB2312"/>
          <w:kern w:val="1"/>
          <w:sz w:val="32"/>
          <w:szCs w:val="32"/>
        </w:rPr>
        <w:t>、预算安排</w:t>
      </w:r>
      <w:r>
        <w:rPr>
          <w:rFonts w:hint="eastAsia" w:ascii="仿宋_GB2312" w:hAnsi="仿宋_GB2312" w:eastAsia="仿宋_GB2312"/>
          <w:kern w:val="1"/>
          <w:sz w:val="32"/>
          <w:szCs w:val="32"/>
          <w:lang w:val="en-US" w:eastAsia="zh-CN"/>
        </w:rPr>
        <w:t>100万元</w:t>
      </w:r>
      <w:r>
        <w:rPr>
          <w:rFonts w:hint="eastAsia" w:ascii="仿宋_GB2312" w:hAnsi="仿宋_GB2312" w:eastAsia="仿宋_GB2312"/>
          <w:kern w:val="1"/>
          <w:sz w:val="32"/>
          <w:szCs w:val="32"/>
        </w:rPr>
        <w:t>、实际支出</w:t>
      </w:r>
      <w:r>
        <w:rPr>
          <w:rFonts w:hint="eastAsia" w:ascii="仿宋_GB2312" w:hAnsi="仿宋_GB2312" w:eastAsia="仿宋_GB2312"/>
          <w:kern w:val="1"/>
          <w:sz w:val="32"/>
          <w:szCs w:val="32"/>
          <w:lang w:val="en-US" w:eastAsia="zh-CN"/>
        </w:rPr>
        <w:t>51.7</w:t>
      </w:r>
      <w:r>
        <w:rPr>
          <w:rFonts w:hint="eastAsia" w:ascii="仿宋_GB2312" w:hAnsi="仿宋_GB2312" w:eastAsia="仿宋_GB2312"/>
          <w:kern w:val="1"/>
          <w:sz w:val="32"/>
          <w:szCs w:val="32"/>
        </w:rPr>
        <w:t>万元</w:t>
      </w:r>
      <w:r>
        <w:rPr>
          <w:rFonts w:hint="eastAsia" w:ascii="仿宋_GB2312" w:hAnsi="仿宋_GB2312" w:eastAsia="仿宋_GB2312"/>
          <w:kern w:val="1"/>
          <w:sz w:val="32"/>
          <w:szCs w:val="32"/>
          <w:lang w:val="en-US" w:eastAsia="zh-CN"/>
        </w:rPr>
        <w:t>，</w:t>
      </w:r>
      <w:r>
        <w:rPr>
          <w:rFonts w:hint="eastAsia" w:ascii="仿宋_GB2312" w:hAnsi="仿宋_GB2312" w:eastAsia="仿宋_GB2312"/>
          <w:kern w:val="1"/>
          <w:sz w:val="32"/>
          <w:szCs w:val="32"/>
          <w:lang w:eastAsia="zh-CN"/>
        </w:rPr>
        <w:t>支出率</w:t>
      </w:r>
      <w:r>
        <w:rPr>
          <w:rFonts w:hint="eastAsia" w:ascii="仿宋_GB2312" w:hAnsi="仿宋_GB2312" w:eastAsia="仿宋_GB2312" w:cs="仿宋_GB2312"/>
          <w:sz w:val="32"/>
          <w:szCs w:val="32"/>
          <w:highlight w:val="none"/>
          <w:lang w:val="en-US" w:eastAsia="zh-CN"/>
        </w:rPr>
        <w:t>51.7%</w:t>
      </w:r>
      <w:r>
        <w:rPr>
          <w:rFonts w:hint="eastAsia" w:ascii="仿宋_GB2312" w:hAnsi="仿宋_GB2312" w:eastAsia="仿宋_GB2312"/>
          <w:kern w:val="1"/>
          <w:sz w:val="32"/>
          <w:szCs w:val="32"/>
        </w:rPr>
        <w:t>。</w:t>
      </w:r>
    </w:p>
    <w:p w14:paraId="52E2392A">
      <w:pPr>
        <w:numPr>
          <w:numId w:val="0"/>
        </w:numPr>
        <w:ind w:firstLine="640" w:firstLineChars="2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专项资金完成绩效目标情况。</w:t>
      </w:r>
    </w:p>
    <w:p w14:paraId="01B969BE">
      <w:pPr>
        <w:ind w:firstLine="640" w:firstLineChars="200"/>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实施特困人员供养服务设施（敬老院）改造提升工程。支持特困人员供养服务设施（敬老院）新建、改扩建和设施设备配置，进一步强化照护能力和集中供养能力。加强养老机构消防安全隐患治理。支持养老机构消防安全升级改造和按照国家工程建设消防技术标准配置消防设施器材，针对重大风险隐患进行整改，提高养老机构消防安全防范能力；实施老年人居家适老化改造工程。坚持需求导向，重点支持保障特殊困难老年人最迫切的居家适老化改造需求；推动养老机构护理型床位建设和设施设备更新，加强养老护理员队伍建设，提高照护能力和水平。</w:t>
      </w:r>
    </w:p>
    <w:p w14:paraId="36A272FF">
      <w:pPr>
        <w:ind w:firstLine="640" w:firstLineChars="200"/>
        <w:rPr>
          <w:rFonts w:ascii="仿宋_GB2312" w:eastAsia="仿宋_GB2312"/>
          <w:sz w:val="32"/>
          <w:szCs w:val="32"/>
        </w:rPr>
      </w:pPr>
      <w:r>
        <w:rPr>
          <w:rFonts w:hint="eastAsia" w:ascii="仿宋_GB2312" w:eastAsia="仿宋_GB2312"/>
          <w:sz w:val="32"/>
          <w:szCs w:val="32"/>
        </w:rPr>
        <w:t xml:space="preserve"> 3</w:t>
      </w:r>
      <w:r>
        <w:rPr>
          <w:rFonts w:hint="eastAsia" w:ascii="仿宋_GB2312" w:eastAsia="仿宋_GB2312"/>
          <w:sz w:val="32"/>
          <w:szCs w:val="32"/>
          <w:lang w:val="en-US" w:eastAsia="zh-CN"/>
        </w:rPr>
        <w:t>.</w:t>
      </w:r>
      <w:r>
        <w:rPr>
          <w:rFonts w:hint="eastAsia" w:ascii="仿宋_GB2312" w:eastAsia="仿宋_GB2312"/>
          <w:sz w:val="32"/>
          <w:szCs w:val="32"/>
        </w:rPr>
        <w:t>专项资金分用途使用绩效。</w:t>
      </w:r>
    </w:p>
    <w:p w14:paraId="6CEAC3E7">
      <w:pPr>
        <w:ind w:firstLine="640" w:firstLineChars="200"/>
        <w:rPr>
          <w:rFonts w:hint="eastAsia" w:ascii="仿宋_GB2312" w:eastAsia="仿宋_GB2312"/>
          <w:sz w:val="32"/>
          <w:szCs w:val="32"/>
        </w:rPr>
      </w:pPr>
      <w:r>
        <w:rPr>
          <w:rFonts w:hint="eastAsia" w:ascii="仿宋_GB2312" w:eastAsia="仿宋_GB2312"/>
          <w:sz w:val="32"/>
          <w:szCs w:val="32"/>
        </w:rPr>
        <w:t>（三）专项资金使用绩效存在的问题</w:t>
      </w:r>
    </w:p>
    <w:p w14:paraId="24B7E79A">
      <w:pPr>
        <w:ind w:firstLine="960" w:firstLineChars="3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1BB36ECC">
      <w:pPr>
        <w:numPr>
          <w:ilvl w:val="0"/>
          <w:numId w:val="1"/>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绩效自评指标完成情况</w:t>
      </w:r>
    </w:p>
    <w:p w14:paraId="5BC709CE">
      <w:pPr>
        <w:ind w:firstLine="640" w:firstLineChars="200"/>
        <w:rPr>
          <w:rFonts w:hint="default"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达标率为51.7%，已完成51.7万元资金拨付；支出率51.7%。</w:t>
      </w:r>
    </w:p>
    <w:p w14:paraId="5EAC55D9">
      <w:pPr>
        <w:ind w:firstLine="640" w:firstLineChars="200"/>
        <w:rPr>
          <w:rFonts w:ascii="黑体" w:hAnsi="黑体" w:eastAsia="黑体"/>
          <w:sz w:val="32"/>
          <w:szCs w:val="32"/>
        </w:rPr>
      </w:pPr>
      <w:r>
        <w:rPr>
          <w:rFonts w:hint="eastAsia" w:ascii="黑体" w:hAnsi="黑体" w:eastAsia="黑体"/>
          <w:sz w:val="32"/>
          <w:szCs w:val="32"/>
        </w:rPr>
        <w:t>三、改进意见</w:t>
      </w:r>
      <w:bookmarkStart w:id="0" w:name="_GoBack"/>
      <w:bookmarkEnd w:id="0"/>
    </w:p>
    <w:p w14:paraId="33011681">
      <w:pPr>
        <w:ind w:firstLine="640" w:firstLineChars="200"/>
        <w:rPr>
          <w:rFonts w:hint="eastAsia"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针对专项资金使用绩效存在的问题提出完善意见。</w:t>
      </w:r>
    </w:p>
    <w:p w14:paraId="58F53429">
      <w:pPr>
        <w:ind w:firstLine="640" w:firstLineChars="200"/>
        <w:rPr>
          <w:rFonts w:hint="default" w:ascii="仿宋_GB2312" w:hAnsi="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无。</w:t>
      </w:r>
    </w:p>
    <w:p w14:paraId="414D5101">
      <w:pPr>
        <w:ind w:firstLine="640" w:firstLineChars="200"/>
        <w:rPr>
          <w:rFonts w:hint="eastAsia" w:ascii="仿宋_GB2312" w:eastAsia="仿宋_GB2312"/>
          <w:sz w:val="32"/>
          <w:szCs w:val="32"/>
        </w:rPr>
      </w:pPr>
    </w:p>
    <w:p w14:paraId="5683E3B2">
      <w:pPr>
        <w:ind w:firstLine="640" w:firstLineChars="200"/>
        <w:rPr>
          <w:rFonts w:ascii="仿宋_GB2312" w:eastAsia="仿宋_GB2312"/>
          <w:sz w:val="32"/>
          <w:szCs w:val="32"/>
        </w:rPr>
      </w:pPr>
      <w:r>
        <w:rPr>
          <w:rFonts w:hint="eastAsia" w:ascii="仿宋_GB2312" w:eastAsia="仿宋_GB2312"/>
          <w:sz w:val="32"/>
          <w:szCs w:val="32"/>
        </w:rPr>
        <w:t>附件：项目绩效自评指标评分表（汇总表和下属单位评分表）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557087D0">
    <w:panose1 w:val="02010609060101010101"/>
    <w:charset w:val="86"/>
    <w:family w:val="auto"/>
    <w:pitch w:val="default"/>
    <w:sig w:usb0="00000001" w:usb1="00000000" w:usb2="00000000" w:usb3="00000000" w:csb0="00040001" w:csb1="00000000"/>
  </w:font>
  <w:font w:name="CESI仿宋-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18387"/>
    </w:sdtPr>
    <w:sdtContent>
      <w:p w14:paraId="0F8BE883">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14:paraId="03D6953E">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30EA25"/>
    <w:multiLevelType w:val="singleLevel"/>
    <w:tmpl w:val="FF30EA25"/>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zMjQ1MDY5MmMxMDJiMDBmNDVkMGVlZTFkNDE0NTkifQ=="/>
    <w:docVar w:name="KSO_WPS_MARK_KEY" w:val="c864143d-51c4-47df-abf5-ef0cb1374012"/>
  </w:docVars>
  <w:rsids>
    <w:rsidRoot w:val="004A3CAE"/>
    <w:rsid w:val="000164DB"/>
    <w:rsid w:val="001748CA"/>
    <w:rsid w:val="002A6E38"/>
    <w:rsid w:val="00357DD2"/>
    <w:rsid w:val="0043688A"/>
    <w:rsid w:val="004A3CAE"/>
    <w:rsid w:val="00523796"/>
    <w:rsid w:val="00595CED"/>
    <w:rsid w:val="005E1E1F"/>
    <w:rsid w:val="007C577C"/>
    <w:rsid w:val="00816D08"/>
    <w:rsid w:val="008B7982"/>
    <w:rsid w:val="008C241A"/>
    <w:rsid w:val="008D4CE5"/>
    <w:rsid w:val="00992585"/>
    <w:rsid w:val="009A070B"/>
    <w:rsid w:val="009C31F9"/>
    <w:rsid w:val="00AE7804"/>
    <w:rsid w:val="00B158B1"/>
    <w:rsid w:val="00D466FE"/>
    <w:rsid w:val="00D4681C"/>
    <w:rsid w:val="00DC5817"/>
    <w:rsid w:val="00E52E19"/>
    <w:rsid w:val="00E85658"/>
    <w:rsid w:val="00EC3385"/>
    <w:rsid w:val="00ED1251"/>
    <w:rsid w:val="00F259CF"/>
    <w:rsid w:val="00F74E18"/>
    <w:rsid w:val="02750329"/>
    <w:rsid w:val="029562D6"/>
    <w:rsid w:val="03D270B5"/>
    <w:rsid w:val="060379FA"/>
    <w:rsid w:val="0AC9743B"/>
    <w:rsid w:val="0B8B64C8"/>
    <w:rsid w:val="0C3C3C66"/>
    <w:rsid w:val="0DED5218"/>
    <w:rsid w:val="136748FF"/>
    <w:rsid w:val="14943E0F"/>
    <w:rsid w:val="177B417C"/>
    <w:rsid w:val="17944956"/>
    <w:rsid w:val="17F04282"/>
    <w:rsid w:val="1C406E5A"/>
    <w:rsid w:val="1E2A7DC2"/>
    <w:rsid w:val="1FEB532F"/>
    <w:rsid w:val="20EC135F"/>
    <w:rsid w:val="221C5C74"/>
    <w:rsid w:val="22F8223D"/>
    <w:rsid w:val="241A2687"/>
    <w:rsid w:val="268A3AF4"/>
    <w:rsid w:val="29C15A7E"/>
    <w:rsid w:val="2B9823DD"/>
    <w:rsid w:val="2C610E53"/>
    <w:rsid w:val="2FA15A0A"/>
    <w:rsid w:val="2FBE001C"/>
    <w:rsid w:val="307D6477"/>
    <w:rsid w:val="37A4253C"/>
    <w:rsid w:val="38392C84"/>
    <w:rsid w:val="3A1E0383"/>
    <w:rsid w:val="3AD00EE9"/>
    <w:rsid w:val="3B822B94"/>
    <w:rsid w:val="3BD62A05"/>
    <w:rsid w:val="3D0C4E0B"/>
    <w:rsid w:val="40AA3D4C"/>
    <w:rsid w:val="446C5429"/>
    <w:rsid w:val="46EB449C"/>
    <w:rsid w:val="47264D1B"/>
    <w:rsid w:val="49A5461D"/>
    <w:rsid w:val="4B125CE2"/>
    <w:rsid w:val="4D186EB4"/>
    <w:rsid w:val="4F781E8C"/>
    <w:rsid w:val="54C17E31"/>
    <w:rsid w:val="559D5779"/>
    <w:rsid w:val="559E0172"/>
    <w:rsid w:val="56690780"/>
    <w:rsid w:val="56D227CA"/>
    <w:rsid w:val="57CF1AC2"/>
    <w:rsid w:val="582944EA"/>
    <w:rsid w:val="5AB521E6"/>
    <w:rsid w:val="5AF745AD"/>
    <w:rsid w:val="5EF5306F"/>
    <w:rsid w:val="63116428"/>
    <w:rsid w:val="6EC850B3"/>
    <w:rsid w:val="6EFC7F8C"/>
    <w:rsid w:val="6F4D07E7"/>
    <w:rsid w:val="6F991C7F"/>
    <w:rsid w:val="711E19CD"/>
    <w:rsid w:val="74B135C7"/>
    <w:rsid w:val="7568025C"/>
    <w:rsid w:val="76A258BD"/>
    <w:rsid w:val="7A2605B3"/>
    <w:rsid w:val="7A7C4677"/>
    <w:rsid w:val="7DB55ED6"/>
    <w:rsid w:val="7E547CBC"/>
    <w:rsid w:val="7E9118E0"/>
    <w:rsid w:val="7F6F6F41"/>
    <w:rsid w:val="7F857B2A"/>
    <w:rsid w:val="7FCC39AA"/>
    <w:rsid w:val="D9FB9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 w:val="21"/>
      <w:szCs w:val="24"/>
    </w:r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3"/>
    <w:semiHidden/>
    <w:qFormat/>
    <w:uiPriority w:val="99"/>
    <w:rPr>
      <w:kern w:val="2"/>
      <w:sz w:val="18"/>
      <w:szCs w:val="18"/>
    </w:rPr>
  </w:style>
  <w:style w:type="paragraph" w:customStyle="1" w:styleId="12">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498</Words>
  <Characters>543</Characters>
  <Lines>2</Lines>
  <Paragraphs>1</Paragraphs>
  <TotalTime>2</TotalTime>
  <ScaleCrop>false</ScaleCrop>
  <LinksUpToDate>false</LinksUpToDate>
  <CharactersWithSpaces>550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2019-07-17T17:23:00Z</dcterms:created>
  <dc:creator>lenovo</dc:creator>
  <cp:lastModifiedBy>紫晴</cp:lastModifiedBy>
  <cp:lastPrinted>2025-08-01T02:04:00Z</cp:lastPrinted>
  <dcterms:modified xsi:type="dcterms:W3CDTF">2026-08-21T02:23:26Z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021931627E43453ABA0A5E1948F28F06_13</vt:lpwstr>
  </property>
  <property fmtid="{D5CDD505-2E9C-101B-9397-08002B2CF9AE}" pid="4" name="KSOTemplateDocerSaveRecord">
    <vt:lpwstr>eyJoZGlkIjoiYWZhNWU1ZTYyN2U4MWNiYzU2ZGNmY2EzNmFhYTg4ZTkiLCJ1c2VySWQiOiIzMDEwMDc1NjYifQ==</vt:lpwstr>
  </property>
</Properties>
</file>