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3FDE8">
      <w:pPr>
        <w:keepNext w:val="0"/>
        <w:keepLines w:val="0"/>
        <w:pageBreakBefore w:val="0"/>
        <w:widowControl w:val="0"/>
        <w:kinsoku/>
        <w:wordWrap/>
        <w:overflowPunct/>
        <w:topLinePunct w:val="0"/>
        <w:autoSpaceDE/>
        <w:autoSpaceDN/>
        <w:bidi w:val="0"/>
        <w:adjustRightInd/>
        <w:snapToGrid/>
        <w:spacing w:before="1056" w:beforeLines="200" w:line="480" w:lineRule="auto"/>
        <w:ind w:firstLine="0" w:firstLineChars="0"/>
        <w:jc w:val="center"/>
        <w:textAlignment w:val="auto"/>
        <w:rPr>
          <w:rFonts w:hint="eastAsia" w:ascii="宋体" w:hAnsi="宋体" w:cs="宋体"/>
          <w:b w:val="0"/>
          <w:bCs/>
          <w:spacing w:val="20"/>
          <w:sz w:val="48"/>
          <w:szCs w:val="48"/>
        </w:rPr>
      </w:pPr>
      <w:bookmarkStart w:id="0" w:name="_Toc514857837"/>
      <w:bookmarkStart w:id="1" w:name="_Hlk129181542"/>
      <w:r>
        <w:rPr>
          <w:rFonts w:hint="eastAsia" w:ascii="宋体" w:hAnsi="宋体" w:cs="宋体"/>
          <w:b w:val="0"/>
          <w:bCs/>
          <w:spacing w:val="20"/>
          <w:sz w:val="48"/>
          <w:szCs w:val="48"/>
          <w:lang w:val="en-US" w:eastAsia="zh-CN"/>
        </w:rPr>
        <w:t>广东扬意建筑工程</w:t>
      </w:r>
      <w:r>
        <w:rPr>
          <w:rFonts w:hint="eastAsia" w:ascii="宋体" w:hAnsi="宋体" w:cs="宋体"/>
          <w:b w:val="0"/>
          <w:bCs/>
          <w:spacing w:val="20"/>
          <w:sz w:val="48"/>
          <w:szCs w:val="48"/>
        </w:rPr>
        <w:t>有限公司</w:t>
      </w:r>
    </w:p>
    <w:p w14:paraId="045E07EA">
      <w:pPr>
        <w:spacing w:line="480" w:lineRule="auto"/>
        <w:ind w:firstLine="0" w:firstLineChars="0"/>
        <w:jc w:val="center"/>
        <w:rPr>
          <w:rFonts w:hint="eastAsia" w:ascii="宋体" w:hAnsi="宋体" w:cs="宋体"/>
          <w:b/>
          <w:spacing w:val="20"/>
          <w:sz w:val="48"/>
          <w:szCs w:val="48"/>
          <w:lang w:val="en-US" w:eastAsia="zh-CN"/>
        </w:rPr>
      </w:pPr>
      <w:r>
        <w:rPr>
          <w:rFonts w:hint="eastAsia" w:ascii="宋体" w:hAnsi="宋体" w:cs="宋体"/>
          <w:b w:val="0"/>
          <w:bCs/>
          <w:spacing w:val="20"/>
          <w:sz w:val="48"/>
          <w:szCs w:val="48"/>
          <w:lang w:val="en-US" w:eastAsia="zh-CN"/>
        </w:rPr>
        <w:t>广东省徐闻县城北乡迈报（西山坑）矿区建筑用玄武岩矿</w:t>
      </w:r>
    </w:p>
    <w:p w14:paraId="0BE475C0">
      <w:pPr>
        <w:spacing w:line="480" w:lineRule="auto"/>
        <w:ind w:firstLine="0" w:firstLineChars="0"/>
        <w:jc w:val="center"/>
        <w:rPr>
          <w:rFonts w:hint="eastAsia" w:ascii="宋体" w:hAnsi="宋体" w:cs="宋体"/>
          <w:b/>
          <w:spacing w:val="20"/>
          <w:sz w:val="48"/>
          <w:szCs w:val="48"/>
          <w:lang w:val="en-US" w:eastAsia="zh-CN"/>
        </w:rPr>
      </w:pPr>
    </w:p>
    <w:p w14:paraId="7ED65EAB">
      <w:pPr>
        <w:spacing w:line="480" w:lineRule="auto"/>
        <w:ind w:firstLine="0" w:firstLineChars="0"/>
        <w:jc w:val="center"/>
        <w:rPr>
          <w:rFonts w:hint="eastAsia" w:ascii="黑体" w:hAnsi="黑体" w:eastAsia="黑体"/>
          <w:b/>
          <w:spacing w:val="20"/>
          <w:sz w:val="52"/>
          <w:szCs w:val="52"/>
        </w:rPr>
      </w:pPr>
      <w:r>
        <w:rPr>
          <w:rFonts w:hint="eastAsia" w:ascii="黑体" w:hAnsi="黑体" w:eastAsia="黑体"/>
          <w:b w:val="0"/>
          <w:bCs/>
          <w:spacing w:val="20"/>
          <w:sz w:val="52"/>
          <w:szCs w:val="52"/>
        </w:rPr>
        <w:t>矿区生态修复方案</w:t>
      </w:r>
    </w:p>
    <w:p w14:paraId="59B98CFF">
      <w:pPr>
        <w:ind w:firstLine="0" w:firstLineChars="0"/>
        <w:jc w:val="center"/>
        <w:rPr>
          <w:rFonts w:hint="eastAsia" w:ascii="黑体" w:hAnsi="黑体" w:eastAsia="黑体"/>
          <w:sz w:val="36"/>
          <w:szCs w:val="36"/>
        </w:rPr>
      </w:pPr>
    </w:p>
    <w:p w14:paraId="76071E68"/>
    <w:p w14:paraId="7646498A"/>
    <w:p w14:paraId="533AE002"/>
    <w:p w14:paraId="07E4FBF4"/>
    <w:p w14:paraId="3FDA32CF"/>
    <w:p w14:paraId="5EC6A68A"/>
    <w:p w14:paraId="0F8784D4"/>
    <w:p w14:paraId="2EDD2F83"/>
    <w:p w14:paraId="5E0B9D11"/>
    <w:p w14:paraId="27480039"/>
    <w:p w14:paraId="103FDE8C"/>
    <w:p w14:paraId="52AEB385"/>
    <w:p w14:paraId="4C3D5DBA"/>
    <w:p w14:paraId="08A80AF0"/>
    <w:p w14:paraId="411FCB27">
      <w:pPr>
        <w:ind w:firstLine="0" w:firstLineChars="0"/>
        <w:jc w:val="center"/>
        <w:rPr>
          <w:w w:val="90"/>
          <w:sz w:val="44"/>
          <w:szCs w:val="44"/>
        </w:rPr>
      </w:pPr>
      <w:r>
        <w:rPr>
          <w:rFonts w:hint="eastAsia" w:asciiTheme="minorEastAsia" w:hAnsiTheme="minorEastAsia" w:eastAsiaTheme="minorEastAsia"/>
          <w:b w:val="0"/>
          <w:bCs/>
          <w:sz w:val="44"/>
          <w:szCs w:val="44"/>
        </w:rPr>
        <w:t>202</w:t>
      </w:r>
      <w:r>
        <w:rPr>
          <w:rFonts w:hint="eastAsia" w:asciiTheme="minorEastAsia" w:hAnsiTheme="minorEastAsia" w:eastAsiaTheme="minorEastAsia"/>
          <w:b w:val="0"/>
          <w:bCs/>
          <w:sz w:val="44"/>
          <w:szCs w:val="44"/>
          <w:lang w:val="en-US" w:eastAsia="zh-CN"/>
        </w:rPr>
        <w:t>6</w:t>
      </w:r>
      <w:r>
        <w:rPr>
          <w:rFonts w:asciiTheme="minorEastAsia" w:hAnsiTheme="minorEastAsia" w:eastAsiaTheme="minorEastAsia"/>
          <w:b w:val="0"/>
          <w:bCs/>
          <w:sz w:val="44"/>
          <w:szCs w:val="44"/>
        </w:rPr>
        <w:t>年</w:t>
      </w:r>
      <w:r>
        <w:rPr>
          <w:rFonts w:hint="eastAsia" w:asciiTheme="minorEastAsia" w:hAnsiTheme="minorEastAsia" w:eastAsiaTheme="minorEastAsia"/>
          <w:b w:val="0"/>
          <w:bCs/>
          <w:sz w:val="44"/>
          <w:szCs w:val="44"/>
          <w:lang w:val="en-US" w:eastAsia="zh-CN"/>
        </w:rPr>
        <w:t>5</w:t>
      </w:r>
      <w:r>
        <w:rPr>
          <w:rFonts w:asciiTheme="minorEastAsia" w:hAnsiTheme="minorEastAsia" w:eastAsiaTheme="minorEastAsia"/>
          <w:b w:val="0"/>
          <w:bCs/>
          <w:sz w:val="44"/>
          <w:szCs w:val="44"/>
        </w:rPr>
        <w:t>月</w:t>
      </w:r>
    </w:p>
    <w:p w14:paraId="51D5982B">
      <w:pPr>
        <w:ind w:firstLine="431"/>
        <w:rPr>
          <w:w w:val="90"/>
        </w:rPr>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701" w:header="1134" w:footer="992" w:gutter="0"/>
          <w:pgBorders>
            <w:top w:val="none" w:sz="0" w:space="0"/>
            <w:left w:val="none" w:sz="0" w:space="0"/>
            <w:bottom w:val="none" w:sz="0" w:space="0"/>
            <w:right w:val="none" w:sz="0" w:space="0"/>
          </w:pgBorders>
          <w:pgNumType w:fmt="decimal" w:start="1"/>
          <w:cols w:space="0" w:num="1"/>
          <w:rtlGutter w:val="0"/>
          <w:docGrid w:type="lines" w:linePitch="404" w:charSpace="0"/>
        </w:sectPr>
      </w:pPr>
    </w:p>
    <w:bookmarkEnd w:id="0"/>
    <w:p w14:paraId="31EAF232">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2" w:name="_Toc502063922"/>
      <w:bookmarkStart w:id="3" w:name="_Toc514858646"/>
      <w:bookmarkStart w:id="4" w:name="_Toc32516_WPSOffice_Level1"/>
      <w:bookmarkStart w:id="5" w:name="_Toc11653_WPSOffice_Level1"/>
      <w:bookmarkStart w:id="6" w:name="_Toc502684763"/>
      <w:bookmarkStart w:id="7" w:name="_Toc502044963"/>
      <w:bookmarkStart w:id="8" w:name="_Toc502045737"/>
      <w:bookmarkStart w:id="9" w:name="_Toc17703"/>
      <w:bookmarkStart w:id="10" w:name="_Toc3155_WPSOffice_Level1"/>
      <w:bookmarkStart w:id="11" w:name="_Toc509345095"/>
      <w:bookmarkStart w:id="12" w:name="_Toc509344807"/>
      <w:bookmarkStart w:id="13" w:name="_Toc46047425"/>
      <w:bookmarkStart w:id="14" w:name="_Toc510594048"/>
      <w:bookmarkStart w:id="15" w:name="_Toc509344991"/>
      <w:bookmarkStart w:id="16" w:name="_Toc502047576"/>
      <w:bookmarkStart w:id="17" w:name="_Toc502047780"/>
      <w:bookmarkStart w:id="491" w:name="_GoBack"/>
      <w:bookmarkEnd w:id="491"/>
      <w:r>
        <w:t>前</w:t>
      </w:r>
      <w:r>
        <w:rPr>
          <w:rFonts w:hint="eastAsia"/>
        </w:rPr>
        <w:t xml:space="preserve">  </w:t>
      </w:r>
      <w:r>
        <w:t>言</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1D5A3C50">
      <w:pPr>
        <w:pStyle w:val="5"/>
        <w:spacing w:before="263" w:after="263"/>
        <w:rPr>
          <w:rFonts w:hint="eastAsia" w:ascii="宋体" w:hAnsi="宋体" w:eastAsia="宋体" w:cs="宋体"/>
          <w:b/>
          <w:bCs w:val="0"/>
        </w:rPr>
      </w:pPr>
      <w:bookmarkStart w:id="18" w:name="_Toc9790"/>
      <w:r>
        <w:rPr>
          <w:rFonts w:hint="eastAsia" w:ascii="宋体" w:hAnsi="宋体" w:eastAsia="宋体" w:cs="宋体"/>
          <w:b/>
          <w:bCs w:val="0"/>
        </w:rPr>
        <w:t>一、编制目的</w:t>
      </w:r>
      <w:bookmarkEnd w:id="18"/>
    </w:p>
    <w:p w14:paraId="29C87BDE">
      <w:pPr>
        <w:pStyle w:val="6"/>
        <w:spacing w:before="131" w:after="131"/>
        <w:rPr>
          <w:rFonts w:eastAsia="宋体"/>
        </w:rPr>
      </w:pPr>
      <w:bookmarkStart w:id="19" w:name="_Toc502045739"/>
      <w:bookmarkStart w:id="20" w:name="_Toc502047578"/>
      <w:bookmarkStart w:id="21" w:name="_Toc502063924"/>
      <w:bookmarkStart w:id="22" w:name="_Toc502047782"/>
      <w:bookmarkStart w:id="23" w:name="_Toc502684765"/>
      <w:bookmarkStart w:id="24" w:name="_Toc502044965"/>
      <w:r>
        <w:rPr>
          <w:rFonts w:hint="eastAsia" w:ascii="宋体" w:hAnsi="宋体" w:eastAsia="宋体" w:cs="宋体"/>
          <w:b/>
          <w:bCs/>
        </w:rPr>
        <w:t>（一）任务由来</w:t>
      </w:r>
    </w:p>
    <w:p w14:paraId="0B44ACF9">
      <w:pPr>
        <w:spacing w:line="360" w:lineRule="auto"/>
        <w:rPr>
          <w:sz w:val="28"/>
          <w:szCs w:val="28"/>
        </w:rPr>
      </w:pPr>
      <w:r>
        <w:rPr>
          <w:rFonts w:hint="eastAsia"/>
          <w:sz w:val="28"/>
          <w:szCs w:val="28"/>
        </w:rPr>
        <w:t>为保护矿山生态环境，减少矿产资源开采活动造成的矿山生态环境破坏，保护人民生命和财产安全，促进矿产资源的合理开发利用，改善生态环境，实现生态环境的可持续发展</w:t>
      </w:r>
      <w:r>
        <w:rPr>
          <w:rFonts w:hint="eastAsia"/>
          <w:sz w:val="28"/>
          <w:szCs w:val="28"/>
          <w:lang w:eastAsia="zh-CN"/>
        </w:rPr>
        <w:t>。</w:t>
      </w:r>
      <w:r>
        <w:rPr>
          <w:rFonts w:hint="eastAsia"/>
          <w:sz w:val="28"/>
          <w:szCs w:val="28"/>
        </w:rPr>
        <w:t>根据最新修订的《中华人民共和国矿产资源法》以及《中华人民共和国土地管理法》《广东省环境保护条例》等国家、地方政府</w:t>
      </w:r>
      <w:r>
        <w:rPr>
          <w:rFonts w:hint="eastAsia"/>
          <w:sz w:val="28"/>
          <w:szCs w:val="28"/>
          <w:lang w:eastAsia="zh-CN"/>
        </w:rPr>
        <w:t>制定</w:t>
      </w:r>
      <w:r>
        <w:rPr>
          <w:rFonts w:hint="eastAsia"/>
          <w:sz w:val="28"/>
          <w:szCs w:val="28"/>
        </w:rPr>
        <w:t>的有关法律法规及《矿山地质环境保护规定》</w:t>
      </w:r>
      <w:r>
        <w:rPr>
          <w:rFonts w:hint="eastAsia"/>
          <w:sz w:val="28"/>
          <w:szCs w:val="28"/>
          <w:lang w:eastAsia="zh-CN"/>
        </w:rPr>
        <w:t>、</w:t>
      </w:r>
      <w:r>
        <w:rPr>
          <w:rFonts w:hint="eastAsia"/>
          <w:sz w:val="28"/>
          <w:szCs w:val="28"/>
        </w:rPr>
        <w:t>《地质灾害防治条例》</w:t>
      </w:r>
      <w:r>
        <w:rPr>
          <w:rFonts w:hint="eastAsia"/>
          <w:sz w:val="28"/>
          <w:szCs w:val="28"/>
          <w:lang w:eastAsia="zh-CN"/>
        </w:rPr>
        <w:t>、</w:t>
      </w:r>
      <w:r>
        <w:rPr>
          <w:rFonts w:hint="eastAsia"/>
          <w:sz w:val="28"/>
          <w:szCs w:val="28"/>
        </w:rPr>
        <w:t>《土地复垦</w:t>
      </w:r>
      <w:r>
        <w:rPr>
          <w:rFonts w:hint="eastAsia"/>
          <w:sz w:val="28"/>
          <w:szCs w:val="28"/>
          <w:lang w:eastAsia="zh-CN"/>
        </w:rPr>
        <w:t>条例</w:t>
      </w:r>
      <w:r>
        <w:rPr>
          <w:rFonts w:hint="eastAsia"/>
          <w:sz w:val="28"/>
          <w:szCs w:val="28"/>
        </w:rPr>
        <w:t>》</w:t>
      </w:r>
      <w:r>
        <w:rPr>
          <w:rFonts w:hint="eastAsia"/>
          <w:sz w:val="28"/>
          <w:szCs w:val="28"/>
          <w:lang w:eastAsia="zh-CN"/>
        </w:rPr>
        <w:t>、</w:t>
      </w:r>
      <w:r>
        <w:rPr>
          <w:rFonts w:hint="eastAsia"/>
          <w:sz w:val="28"/>
          <w:szCs w:val="28"/>
          <w:lang w:val="en-US" w:eastAsia="zh-CN"/>
        </w:rPr>
        <w:t>自然资源部关于公开征求《自然资源部关于进一步加强生产矿山生态修复监管工作的通知（二次征求意见稿）》意见的公告、广东省自然资源厅关于做好《中华人民共和国矿产资源法》实施过渡期矿区生态修复方案评审工作的公告</w:t>
      </w:r>
      <w:r>
        <w:rPr>
          <w:rFonts w:hint="eastAsia"/>
          <w:sz w:val="28"/>
          <w:szCs w:val="28"/>
        </w:rPr>
        <w:t>的有关规定</w:t>
      </w:r>
      <w:r>
        <w:rPr>
          <w:rFonts w:hint="eastAsia"/>
          <w:sz w:val="28"/>
          <w:szCs w:val="28"/>
          <w:lang w:eastAsia="zh-CN"/>
        </w:rPr>
        <w:t>，</w:t>
      </w:r>
      <w:r>
        <w:rPr>
          <w:rFonts w:hint="eastAsia"/>
          <w:sz w:val="28"/>
          <w:szCs w:val="28"/>
        </w:rPr>
        <w:t>因开采矿产资源导致矿区生态破坏的，采矿权人应当依法履行生态修复义务；开采矿产资源前，采矿权人应当依照法律、法规和国务院自然资源主管部门的规定以及矿业权出让合同编制矿区生态修复方案，随开采方案报原矿业权出让部门批准。</w:t>
      </w:r>
    </w:p>
    <w:p w14:paraId="64AC7E35">
      <w:pPr>
        <w:spacing w:line="360" w:lineRule="auto"/>
        <w:rPr>
          <w:sz w:val="28"/>
          <w:szCs w:val="28"/>
        </w:rPr>
      </w:pPr>
      <w:r>
        <w:rPr>
          <w:rFonts w:hint="eastAsia"/>
          <w:sz w:val="28"/>
          <w:szCs w:val="28"/>
          <w:lang w:val="en-US" w:eastAsia="zh-CN"/>
        </w:rPr>
        <w:t>2025年6月徐闻县自然资源局对广东省徐闻县城北乡迈报（西山坑）矿区建筑用玄武岩矿采矿权进行了挂牌出让，由广东扬意建筑工程有限公司竞得该采矿权。</w:t>
      </w:r>
      <w:r>
        <w:rPr>
          <w:rFonts w:hint="eastAsia"/>
          <w:sz w:val="28"/>
          <w:szCs w:val="28"/>
        </w:rPr>
        <w:t>为了切实履行矿区生态修复义务，</w:t>
      </w:r>
      <w:r>
        <w:rPr>
          <w:rFonts w:hint="eastAsia"/>
          <w:sz w:val="28"/>
          <w:szCs w:val="28"/>
          <w:lang w:val="en-US" w:eastAsia="zh-CN"/>
        </w:rPr>
        <w:t>广东扬意建筑工程有限公司</w:t>
      </w:r>
      <w:r>
        <w:rPr>
          <w:rFonts w:hint="eastAsia"/>
          <w:sz w:val="28"/>
          <w:szCs w:val="28"/>
        </w:rPr>
        <w:t>于</w:t>
      </w:r>
      <w:r>
        <w:rPr>
          <w:rFonts w:hint="eastAsia"/>
          <w:sz w:val="28"/>
          <w:szCs w:val="28"/>
          <w:highlight w:val="none"/>
        </w:rPr>
        <w:t>202</w:t>
      </w:r>
      <w:r>
        <w:rPr>
          <w:rFonts w:hint="eastAsia"/>
          <w:sz w:val="28"/>
          <w:szCs w:val="28"/>
          <w:highlight w:val="none"/>
          <w:lang w:val="en-US" w:eastAsia="zh-CN"/>
        </w:rPr>
        <w:t>6</w:t>
      </w:r>
      <w:r>
        <w:rPr>
          <w:rFonts w:hint="eastAsia"/>
          <w:sz w:val="28"/>
          <w:szCs w:val="28"/>
          <w:highlight w:val="none"/>
        </w:rPr>
        <w:t>年</w:t>
      </w:r>
      <w:r>
        <w:rPr>
          <w:rFonts w:hint="eastAsia"/>
          <w:sz w:val="28"/>
          <w:szCs w:val="28"/>
          <w:highlight w:val="none"/>
          <w:lang w:val="en-US" w:eastAsia="zh-CN"/>
        </w:rPr>
        <w:t>1</w:t>
      </w:r>
      <w:r>
        <w:rPr>
          <w:rFonts w:hint="eastAsia"/>
          <w:sz w:val="28"/>
          <w:szCs w:val="28"/>
          <w:highlight w:val="none"/>
        </w:rPr>
        <w:t>月</w:t>
      </w:r>
      <w:r>
        <w:rPr>
          <w:rFonts w:hint="eastAsia"/>
          <w:sz w:val="28"/>
          <w:szCs w:val="28"/>
        </w:rPr>
        <w:t>委托</w:t>
      </w:r>
      <w:r>
        <w:rPr>
          <w:rFonts w:hint="eastAsia"/>
          <w:sz w:val="28"/>
          <w:szCs w:val="28"/>
          <w:highlight w:val="none"/>
        </w:rPr>
        <w:t>甘肃天水地质工程勘察院有限责任公司</w:t>
      </w:r>
      <w:r>
        <w:rPr>
          <w:rFonts w:hint="eastAsia"/>
          <w:sz w:val="28"/>
          <w:szCs w:val="28"/>
        </w:rPr>
        <w:t>开展了《广东扬意建筑工程有限公司广东省徐闻县城北乡迈报（西山坑）矿区建筑用玄武岩矿矿区生态修复方案》的编制</w:t>
      </w:r>
      <w:r>
        <w:rPr>
          <w:sz w:val="28"/>
          <w:szCs w:val="28"/>
        </w:rPr>
        <w:t>工作。</w:t>
      </w:r>
    </w:p>
    <w:bookmarkEnd w:id="19"/>
    <w:bookmarkEnd w:id="20"/>
    <w:bookmarkEnd w:id="21"/>
    <w:bookmarkEnd w:id="22"/>
    <w:bookmarkEnd w:id="23"/>
    <w:bookmarkEnd w:id="24"/>
    <w:p w14:paraId="557C535E">
      <w:pPr>
        <w:pStyle w:val="6"/>
        <w:numPr>
          <w:ilvl w:val="0"/>
          <w:numId w:val="0"/>
        </w:numPr>
        <w:spacing w:before="131" w:after="131"/>
        <w:ind w:firstLine="0" w:firstLineChars="0"/>
        <w:rPr>
          <w:rFonts w:hint="eastAsia" w:ascii="宋体" w:hAnsi="宋体" w:eastAsia="宋体" w:cs="宋体"/>
          <w:b/>
          <w:bCs/>
          <w:lang w:val="en-US" w:eastAsia="zh-CN"/>
        </w:rPr>
      </w:pPr>
      <w:bookmarkStart w:id="25" w:name="_Toc502047586"/>
      <w:bookmarkStart w:id="26" w:name="_Toc510594053"/>
      <w:bookmarkStart w:id="27" w:name="_Toc509344996"/>
      <w:bookmarkStart w:id="28" w:name="_Toc502063927"/>
      <w:bookmarkStart w:id="29" w:name="_Toc502045747"/>
      <w:bookmarkStart w:id="30" w:name="_Toc514858651"/>
      <w:bookmarkStart w:id="31" w:name="_Toc509345100"/>
      <w:bookmarkStart w:id="32" w:name="_Toc502047790"/>
      <w:bookmarkStart w:id="33" w:name="_Toc509344812"/>
      <w:bookmarkStart w:id="34" w:name="_Toc502044973"/>
      <w:bookmarkStart w:id="35" w:name="_Toc502684768"/>
      <w:r>
        <w:rPr>
          <w:rFonts w:hint="eastAsia" w:ascii="宋体" w:hAnsi="宋体" w:eastAsia="宋体" w:cs="宋体"/>
          <w:b/>
          <w:bCs/>
          <w:sz w:val="28"/>
          <w:szCs w:val="28"/>
          <w:lang w:val="en-US" w:eastAsia="zh-CN" w:bidi="ar-SA"/>
        </w:rPr>
        <w:t>（二）</w:t>
      </w:r>
      <w:r>
        <w:rPr>
          <w:rFonts w:hint="eastAsia" w:ascii="宋体" w:hAnsi="宋体" w:eastAsia="宋体" w:cs="宋体"/>
          <w:b/>
          <w:bCs/>
          <w:lang w:val="en-US" w:eastAsia="zh-CN"/>
        </w:rPr>
        <w:t>编制目的</w:t>
      </w:r>
    </w:p>
    <w:p w14:paraId="1D820D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rPr>
        <w:t>方案编制目的是</w:t>
      </w:r>
      <w:r>
        <w:rPr>
          <w:sz w:val="28"/>
          <w:szCs w:val="28"/>
        </w:rPr>
        <w:t>尽快实现保护矿山地质环境，遏制、减少因矿产开采活动造成的地质环境破坏</w:t>
      </w:r>
      <w:r>
        <w:rPr>
          <w:rFonts w:hint="eastAsia"/>
          <w:sz w:val="28"/>
          <w:szCs w:val="28"/>
        </w:rPr>
        <w:t>；</w:t>
      </w:r>
      <w:r>
        <w:rPr>
          <w:sz w:val="28"/>
          <w:szCs w:val="28"/>
        </w:rPr>
        <w:t>保护和合理利用土地资源，防治矿山开采造成的土地损毁，</w:t>
      </w:r>
      <w:r>
        <w:rPr>
          <w:rFonts w:hint="eastAsia"/>
          <w:sz w:val="28"/>
          <w:szCs w:val="28"/>
        </w:rPr>
        <w:t>通过土地复垦使土地</w:t>
      </w:r>
      <w:r>
        <w:rPr>
          <w:sz w:val="28"/>
          <w:szCs w:val="28"/>
        </w:rPr>
        <w:t>恢复到可利用状态</w:t>
      </w:r>
      <w:r>
        <w:rPr>
          <w:rFonts w:hint="eastAsia"/>
          <w:sz w:val="28"/>
          <w:szCs w:val="28"/>
        </w:rPr>
        <w:t>，</w:t>
      </w:r>
      <w:r>
        <w:rPr>
          <w:sz w:val="28"/>
          <w:szCs w:val="28"/>
        </w:rPr>
        <w:t>促进矿产资源的合理开发利用</w:t>
      </w:r>
      <w:r>
        <w:rPr>
          <w:rFonts w:hint="eastAsia"/>
          <w:sz w:val="28"/>
          <w:szCs w:val="28"/>
        </w:rPr>
        <w:t>与</w:t>
      </w:r>
      <w:r>
        <w:rPr>
          <w:sz w:val="28"/>
          <w:szCs w:val="28"/>
        </w:rPr>
        <w:t>经济社会、资源环境的协调发展</w:t>
      </w:r>
      <w:r>
        <w:rPr>
          <w:rFonts w:hint="eastAsia"/>
          <w:sz w:val="28"/>
          <w:szCs w:val="28"/>
        </w:rPr>
        <w:t>。为矿山地质环境保护、监测及治理和土地复垦实施等提供技术依据，同时也为自然资源主管部门监督检查提供依据。</w:t>
      </w:r>
    </w:p>
    <w:p w14:paraId="49DF89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rPr>
        <w:t>主要任务为：</w:t>
      </w:r>
    </w:p>
    <w:p w14:paraId="54AA9C0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jc w:val="both"/>
        <w:textAlignment w:val="auto"/>
        <w:rPr>
          <w:rFonts w:hint="eastAsia"/>
          <w:sz w:val="28"/>
          <w:szCs w:val="28"/>
        </w:rPr>
      </w:pPr>
      <w:r>
        <w:rPr>
          <w:sz w:val="28"/>
          <w:szCs w:val="28"/>
        </w:rPr>
        <w:t>充分收集矿山地质环境相关资料，进行矿山地质环境</w:t>
      </w:r>
      <w:r>
        <w:rPr>
          <w:rFonts w:hint="eastAsia"/>
          <w:sz w:val="28"/>
          <w:szCs w:val="28"/>
        </w:rPr>
        <w:t>及土地资源</w:t>
      </w:r>
      <w:r>
        <w:rPr>
          <w:sz w:val="28"/>
          <w:szCs w:val="28"/>
        </w:rPr>
        <w:t>综合调查。查明</w:t>
      </w:r>
      <w:r>
        <w:rPr>
          <w:rFonts w:hint="eastAsia"/>
          <w:sz w:val="28"/>
          <w:szCs w:val="28"/>
        </w:rPr>
        <w:t>矿山地质环境条件、土地资源利用现状，查明矿山地质环境问题，客观地确定评估精度、等级、范围、复垦土地类型和用途。</w:t>
      </w:r>
    </w:p>
    <w:p w14:paraId="0705AE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sz w:val="28"/>
          <w:szCs w:val="28"/>
        </w:rPr>
      </w:pPr>
      <w:r>
        <w:rPr>
          <w:rFonts w:hint="eastAsia"/>
          <w:sz w:val="28"/>
          <w:szCs w:val="28"/>
        </w:rPr>
        <w:t>2、</w:t>
      </w:r>
      <w:r>
        <w:rPr>
          <w:sz w:val="28"/>
          <w:szCs w:val="28"/>
        </w:rPr>
        <w:t>根据综合调查成果，结合《开发利用方案》和矿山地质环境条件特征等</w:t>
      </w:r>
      <w:r>
        <w:rPr>
          <w:rFonts w:hint="eastAsia"/>
          <w:sz w:val="28"/>
          <w:szCs w:val="28"/>
        </w:rPr>
        <w:t>对开采活动及其影响范围内的矿山地质环境问题现状、土地损毁情况进行评估，对矿山建设及采矿活动可能引发、遭受和加剧的地质环境问题和项目区土地损毁方式、面积、类型等进行预测评估。</w:t>
      </w:r>
    </w:p>
    <w:p w14:paraId="1CB5BB83">
      <w:pPr>
        <w:spacing w:line="360" w:lineRule="auto"/>
        <w:ind w:firstLine="480"/>
        <w:jc w:val="both"/>
        <w:rPr>
          <w:rFonts w:hint="eastAsia"/>
          <w:sz w:val="28"/>
          <w:szCs w:val="28"/>
        </w:rPr>
      </w:pPr>
      <w:r>
        <w:rPr>
          <w:sz w:val="28"/>
          <w:szCs w:val="28"/>
        </w:rPr>
        <w:t>3、在评估的基础上，进行矿山</w:t>
      </w:r>
      <w:r>
        <w:rPr>
          <w:rFonts w:hint="eastAsia"/>
          <w:sz w:val="28"/>
          <w:szCs w:val="28"/>
          <w:lang w:val="en-US" w:eastAsia="zh-CN"/>
        </w:rPr>
        <w:t>生态环境</w:t>
      </w:r>
      <w:r>
        <w:rPr>
          <w:sz w:val="28"/>
          <w:szCs w:val="28"/>
        </w:rPr>
        <w:t>治理分区和确定土地复垦区</w:t>
      </w:r>
      <w:r>
        <w:rPr>
          <w:rFonts w:hint="eastAsia"/>
          <w:sz w:val="28"/>
          <w:szCs w:val="28"/>
        </w:rPr>
        <w:t>复垦责任范围。</w:t>
      </w:r>
    </w:p>
    <w:p w14:paraId="51DAD705">
      <w:pPr>
        <w:spacing w:line="360" w:lineRule="auto"/>
        <w:ind w:firstLine="480"/>
        <w:jc w:val="both"/>
        <w:rPr>
          <w:rFonts w:hint="eastAsia"/>
          <w:sz w:val="28"/>
          <w:szCs w:val="28"/>
        </w:rPr>
      </w:pPr>
      <w:r>
        <w:rPr>
          <w:sz w:val="28"/>
          <w:szCs w:val="28"/>
        </w:rPr>
        <w:t>4、从技术、经济、土地适宜性和水土资源平衡等方面进行矿山</w:t>
      </w:r>
      <w:r>
        <w:rPr>
          <w:rFonts w:hint="eastAsia"/>
          <w:sz w:val="28"/>
          <w:szCs w:val="28"/>
          <w:lang w:val="en-US" w:eastAsia="zh-CN"/>
        </w:rPr>
        <w:t>生态修复</w:t>
      </w:r>
      <w:r>
        <w:rPr>
          <w:rFonts w:hint="eastAsia"/>
          <w:sz w:val="28"/>
          <w:szCs w:val="28"/>
        </w:rPr>
        <w:t>可行性进行分析。</w:t>
      </w:r>
    </w:p>
    <w:p w14:paraId="606EFC06">
      <w:pPr>
        <w:spacing w:line="360" w:lineRule="auto"/>
        <w:ind w:firstLine="480"/>
        <w:jc w:val="both"/>
        <w:rPr>
          <w:rFonts w:hint="eastAsia"/>
          <w:sz w:val="28"/>
          <w:szCs w:val="28"/>
        </w:rPr>
      </w:pPr>
      <w:r>
        <w:rPr>
          <w:sz w:val="28"/>
          <w:szCs w:val="28"/>
        </w:rPr>
        <w:t>5、提出矿山</w:t>
      </w:r>
      <w:r>
        <w:rPr>
          <w:rFonts w:hint="eastAsia"/>
          <w:sz w:val="28"/>
          <w:szCs w:val="28"/>
          <w:lang w:val="en-US" w:eastAsia="zh-CN"/>
        </w:rPr>
        <w:t>生态修复保护与预防控制</w:t>
      </w:r>
      <w:r>
        <w:rPr>
          <w:sz w:val="28"/>
          <w:szCs w:val="28"/>
        </w:rPr>
        <w:t>措施，矿山地质环境监测、土地</w:t>
      </w:r>
      <w:r>
        <w:rPr>
          <w:rFonts w:hint="eastAsia"/>
          <w:sz w:val="28"/>
          <w:szCs w:val="28"/>
        </w:rPr>
        <w:t>复垦监测和管护方案，明确各项工作的目标任务。</w:t>
      </w:r>
    </w:p>
    <w:p w14:paraId="187F35AA">
      <w:pPr>
        <w:spacing w:line="360" w:lineRule="auto"/>
        <w:ind w:firstLine="480"/>
        <w:jc w:val="both"/>
        <w:rPr>
          <w:rFonts w:hint="eastAsia"/>
          <w:sz w:val="28"/>
          <w:szCs w:val="28"/>
        </w:rPr>
      </w:pPr>
      <w:r>
        <w:rPr>
          <w:sz w:val="28"/>
          <w:szCs w:val="28"/>
        </w:rPr>
        <w:t>6、对矿山</w:t>
      </w:r>
      <w:r>
        <w:rPr>
          <w:rFonts w:hint="eastAsia"/>
          <w:sz w:val="28"/>
          <w:szCs w:val="28"/>
          <w:lang w:val="en-US" w:eastAsia="zh-CN"/>
        </w:rPr>
        <w:t>生态修复工程</w:t>
      </w:r>
      <w:r>
        <w:rPr>
          <w:sz w:val="28"/>
          <w:szCs w:val="28"/>
        </w:rPr>
        <w:t>分阶段进行工作部署</w:t>
      </w:r>
      <w:r>
        <w:rPr>
          <w:rFonts w:hint="eastAsia"/>
          <w:sz w:val="28"/>
          <w:szCs w:val="28"/>
        </w:rPr>
        <w:t>，</w:t>
      </w:r>
      <w:r>
        <w:rPr>
          <w:sz w:val="28"/>
          <w:szCs w:val="28"/>
        </w:rPr>
        <w:t>并明确近</w:t>
      </w:r>
      <w:r>
        <w:rPr>
          <w:rFonts w:hint="eastAsia"/>
          <w:sz w:val="28"/>
          <w:szCs w:val="28"/>
          <w:lang w:val="en-US" w:eastAsia="zh-CN"/>
        </w:rPr>
        <w:t>三</w:t>
      </w:r>
      <w:r>
        <w:rPr>
          <w:sz w:val="28"/>
          <w:szCs w:val="28"/>
        </w:rPr>
        <w:t>年工作</w:t>
      </w:r>
      <w:r>
        <w:rPr>
          <w:rFonts w:hint="eastAsia"/>
          <w:sz w:val="28"/>
          <w:szCs w:val="28"/>
        </w:rPr>
        <w:t>安排情况。</w:t>
      </w:r>
    </w:p>
    <w:p w14:paraId="4B66D2B5">
      <w:pPr>
        <w:spacing w:line="360" w:lineRule="auto"/>
        <w:ind w:firstLine="480"/>
        <w:jc w:val="both"/>
        <w:rPr>
          <w:rFonts w:hint="default"/>
          <w:sz w:val="28"/>
          <w:szCs w:val="28"/>
          <w:lang w:val="en-US" w:eastAsia="zh-CN"/>
        </w:rPr>
      </w:pPr>
      <w:r>
        <w:rPr>
          <w:sz w:val="28"/>
          <w:szCs w:val="28"/>
        </w:rPr>
        <w:t>7、进行矿山</w:t>
      </w:r>
      <w:r>
        <w:rPr>
          <w:rFonts w:hint="eastAsia"/>
          <w:sz w:val="28"/>
          <w:szCs w:val="28"/>
          <w:lang w:val="en-US" w:eastAsia="zh-CN"/>
        </w:rPr>
        <w:t>生态修复总</w:t>
      </w:r>
      <w:r>
        <w:rPr>
          <w:sz w:val="28"/>
          <w:szCs w:val="28"/>
        </w:rPr>
        <w:t>经费估算，提出矿山</w:t>
      </w:r>
      <w:r>
        <w:rPr>
          <w:rFonts w:hint="eastAsia"/>
          <w:sz w:val="28"/>
          <w:szCs w:val="28"/>
          <w:lang w:val="en-US" w:eastAsia="zh-CN"/>
        </w:rPr>
        <w:t>生态修复</w:t>
      </w:r>
      <w:r>
        <w:rPr>
          <w:rFonts w:hint="eastAsia"/>
          <w:sz w:val="28"/>
          <w:szCs w:val="28"/>
        </w:rPr>
        <w:t>的保障措施。</w:t>
      </w:r>
    </w:p>
    <w:p w14:paraId="4872A878">
      <w:pPr>
        <w:pStyle w:val="6"/>
        <w:spacing w:before="131" w:after="131"/>
        <w:rPr>
          <w:rFonts w:hint="eastAsia" w:ascii="宋体" w:hAnsi="宋体" w:eastAsia="宋体" w:cs="宋体"/>
          <w:b/>
          <w:bCs/>
        </w:rPr>
      </w:pPr>
      <w:r>
        <w:rPr>
          <w:rFonts w:hint="eastAsia" w:ascii="宋体" w:hAnsi="宋体" w:eastAsia="宋体" w:cs="宋体"/>
          <w:b/>
          <w:bCs/>
        </w:rPr>
        <w:t>（</w:t>
      </w:r>
      <w:r>
        <w:rPr>
          <w:rFonts w:hint="eastAsia" w:ascii="宋体" w:hAnsi="宋体" w:eastAsia="宋体" w:cs="宋体"/>
          <w:b/>
          <w:bCs/>
          <w:lang w:val="en-US" w:eastAsia="zh-CN"/>
        </w:rPr>
        <w:t>三</w:t>
      </w:r>
      <w:r>
        <w:rPr>
          <w:rFonts w:hint="eastAsia" w:ascii="宋体" w:hAnsi="宋体" w:eastAsia="宋体" w:cs="宋体"/>
          <w:b/>
          <w:bCs/>
        </w:rPr>
        <w:t>）编制依据</w:t>
      </w:r>
    </w:p>
    <w:p w14:paraId="71B5EF0A">
      <w:pPr>
        <w:pStyle w:val="7"/>
        <w:spacing w:line="360" w:lineRule="auto"/>
        <w:ind w:firstLine="562" w:firstLineChars="200"/>
        <w:rPr>
          <w:rFonts w:hint="eastAsia"/>
          <w:sz w:val="28"/>
          <w:szCs w:val="28"/>
        </w:rPr>
      </w:pPr>
      <w:r>
        <w:rPr>
          <w:rFonts w:hint="eastAsia"/>
          <w:sz w:val="28"/>
          <w:szCs w:val="28"/>
        </w:rPr>
        <w:t>1.法律法规</w:t>
      </w:r>
    </w:p>
    <w:p w14:paraId="1FDFBF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sz w:val="28"/>
          <w:szCs w:val="28"/>
        </w:rPr>
        <w:t>《地质灾害防治条例》（国务院令第394号），2004年3月1日起施行；</w:t>
      </w:r>
    </w:p>
    <w:p w14:paraId="47C470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sz w:val="28"/>
          <w:szCs w:val="28"/>
        </w:rPr>
        <w:t>《中华人民共和国矿山安全法》，2009年8月27日第十一届全国人民代表大会常务委员会第十次会议修正；</w:t>
      </w:r>
    </w:p>
    <w:p w14:paraId="2395B5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sz w:val="28"/>
          <w:szCs w:val="28"/>
        </w:rPr>
        <w:t>《中华人民共和国水土保持法》（中华人民共和国主席令第39号），2011年3月1日起施行；</w:t>
      </w:r>
    </w:p>
    <w:p w14:paraId="009B5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sz w:val="28"/>
          <w:szCs w:val="28"/>
        </w:rPr>
        <w:t>《土地复垦条例》（国务院令第592号），2011年3月5日公布并实施；</w:t>
      </w:r>
    </w:p>
    <w:p w14:paraId="0E94A2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5</w:t>
      </w:r>
      <w:r>
        <w:rPr>
          <w:rFonts w:hint="eastAsia"/>
          <w:sz w:val="28"/>
          <w:szCs w:val="28"/>
          <w:lang w:eastAsia="zh-CN"/>
        </w:rPr>
        <w:t>）</w:t>
      </w:r>
      <w:r>
        <w:rPr>
          <w:sz w:val="28"/>
          <w:szCs w:val="28"/>
        </w:rPr>
        <w:t>《广东省矿产资源管理条例》，2012年7月26日广东省第十一届人民代表大会常务委员会第三十五次会议修正；</w:t>
      </w:r>
    </w:p>
    <w:p w14:paraId="06C7E7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6</w:t>
      </w:r>
      <w:r>
        <w:rPr>
          <w:rFonts w:hint="eastAsia"/>
          <w:sz w:val="28"/>
          <w:szCs w:val="28"/>
          <w:lang w:eastAsia="zh-CN"/>
        </w:rPr>
        <w:t>）</w:t>
      </w:r>
      <w:r>
        <w:rPr>
          <w:sz w:val="28"/>
          <w:szCs w:val="28"/>
        </w:rPr>
        <w:t>《中华人民共和国环境保护法》，中华人民共和国第十二届全国人民代表大会常务委员会第八次会议于2014年4月24日修订通过，自2015年1月1日起施行；</w:t>
      </w:r>
    </w:p>
    <w:p w14:paraId="08CC87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7</w:t>
      </w:r>
      <w:r>
        <w:rPr>
          <w:rFonts w:hint="eastAsia"/>
          <w:sz w:val="28"/>
          <w:szCs w:val="28"/>
          <w:lang w:eastAsia="zh-CN"/>
        </w:rPr>
        <w:t>）</w:t>
      </w:r>
      <w:r>
        <w:rPr>
          <w:rFonts w:hint="eastAsia"/>
          <w:sz w:val="28"/>
          <w:szCs w:val="28"/>
        </w:rPr>
        <w:t>广东省国土资源厅、广东省财政厅、广东省环境保护厅、广东省质量技术监督局、中国银行业监督管理委员会广东监管局、中国证券监督管理委员会广东监管局《关于印发〈广东省绿色矿山建设工作方案〉的通知》(粤国土资规字(2017)5号)；</w:t>
      </w:r>
    </w:p>
    <w:p w14:paraId="5D6F24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8</w:t>
      </w:r>
      <w:r>
        <w:rPr>
          <w:rFonts w:hint="eastAsia"/>
          <w:sz w:val="28"/>
          <w:szCs w:val="28"/>
          <w:lang w:eastAsia="zh-CN"/>
        </w:rPr>
        <w:t>）</w:t>
      </w:r>
      <w:r>
        <w:rPr>
          <w:rFonts w:hint="eastAsia"/>
          <w:sz w:val="28"/>
          <w:szCs w:val="28"/>
        </w:rPr>
        <w:t>广东省国土资源厅、广东省财政厅、广东省环境保护厅关于加快建设绿色矿山的通知》(粤国土资规字(2017)6号) ；</w:t>
      </w:r>
    </w:p>
    <w:p w14:paraId="1761E3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eastAsia="宋体"/>
          <w:sz w:val="28"/>
          <w:szCs w:val="28"/>
          <w:lang w:eastAsia="zh-CN"/>
        </w:rPr>
      </w:pPr>
      <w:r>
        <w:rPr>
          <w:rFonts w:hint="eastAsia"/>
          <w:sz w:val="28"/>
          <w:szCs w:val="28"/>
          <w:lang w:eastAsia="zh-CN"/>
        </w:rPr>
        <w:t>（</w:t>
      </w:r>
      <w:r>
        <w:rPr>
          <w:rFonts w:hint="eastAsia"/>
          <w:sz w:val="28"/>
          <w:szCs w:val="28"/>
          <w:lang w:val="en-US" w:eastAsia="zh-CN"/>
        </w:rPr>
        <w:t>9</w:t>
      </w:r>
      <w:r>
        <w:rPr>
          <w:rFonts w:hint="eastAsia"/>
          <w:sz w:val="28"/>
          <w:szCs w:val="28"/>
          <w:lang w:eastAsia="zh-CN"/>
        </w:rPr>
        <w:t>）</w:t>
      </w:r>
      <w:r>
        <w:rPr>
          <w:rFonts w:hint="eastAsia"/>
          <w:sz w:val="28"/>
          <w:szCs w:val="28"/>
        </w:rPr>
        <w:t>《矿山地质环境保护规定》（2019 年修正）</w:t>
      </w:r>
      <w:r>
        <w:rPr>
          <w:rFonts w:hint="eastAsia"/>
          <w:sz w:val="28"/>
          <w:szCs w:val="28"/>
          <w:lang w:eastAsia="zh-CN"/>
        </w:rPr>
        <w:t>；</w:t>
      </w:r>
    </w:p>
    <w:p w14:paraId="67223F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10</w:t>
      </w:r>
      <w:r>
        <w:rPr>
          <w:rFonts w:hint="eastAsia"/>
          <w:sz w:val="28"/>
          <w:szCs w:val="28"/>
          <w:lang w:eastAsia="zh-CN"/>
        </w:rPr>
        <w:t>）</w:t>
      </w:r>
      <w:r>
        <w:rPr>
          <w:sz w:val="28"/>
          <w:szCs w:val="28"/>
        </w:rPr>
        <w:t>《中华人民共和国土地管理法》（中华人民共和国主席令第41号），自2020年1月1日起修改施行；</w:t>
      </w:r>
    </w:p>
    <w:p w14:paraId="2A61CA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11</w:t>
      </w:r>
      <w:r>
        <w:rPr>
          <w:rFonts w:hint="eastAsia"/>
          <w:sz w:val="28"/>
          <w:szCs w:val="28"/>
          <w:lang w:eastAsia="zh-CN"/>
        </w:rPr>
        <w:t>）</w:t>
      </w:r>
      <w:r>
        <w:rPr>
          <w:rFonts w:hint="eastAsia"/>
          <w:sz w:val="28"/>
          <w:szCs w:val="28"/>
        </w:rPr>
        <w:t>《广东省自然资源厅矿山地质环境治理恢复基金管理暂行办法》(广东省自然资源厅，2020)</w:t>
      </w:r>
      <w:r>
        <w:rPr>
          <w:rFonts w:hint="eastAsia"/>
          <w:sz w:val="28"/>
          <w:szCs w:val="28"/>
          <w:lang w:eastAsia="zh-CN"/>
        </w:rPr>
        <w:t>；</w:t>
      </w:r>
    </w:p>
    <w:p w14:paraId="7004D9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12</w:t>
      </w:r>
      <w:r>
        <w:rPr>
          <w:rFonts w:hint="eastAsia"/>
          <w:sz w:val="28"/>
          <w:szCs w:val="28"/>
          <w:lang w:eastAsia="zh-CN"/>
        </w:rPr>
        <w:t>）</w:t>
      </w:r>
      <w:r>
        <w:rPr>
          <w:sz w:val="28"/>
          <w:szCs w:val="28"/>
        </w:rPr>
        <w:t>《中华人民共和国土地管理法实施条例》，20</w:t>
      </w:r>
      <w:r>
        <w:rPr>
          <w:rFonts w:hint="eastAsia"/>
          <w:sz w:val="28"/>
          <w:szCs w:val="28"/>
        </w:rPr>
        <w:t>21</w:t>
      </w:r>
      <w:r>
        <w:rPr>
          <w:sz w:val="28"/>
          <w:szCs w:val="28"/>
        </w:rPr>
        <w:t>年</w:t>
      </w:r>
      <w:r>
        <w:rPr>
          <w:rFonts w:hint="eastAsia"/>
          <w:sz w:val="28"/>
          <w:szCs w:val="28"/>
        </w:rPr>
        <w:t>4</w:t>
      </w:r>
      <w:r>
        <w:rPr>
          <w:sz w:val="28"/>
          <w:szCs w:val="28"/>
        </w:rPr>
        <w:t>月2</w:t>
      </w:r>
      <w:r>
        <w:rPr>
          <w:rFonts w:hint="eastAsia"/>
          <w:sz w:val="28"/>
          <w:szCs w:val="28"/>
        </w:rPr>
        <w:t>1</w:t>
      </w:r>
      <w:r>
        <w:rPr>
          <w:sz w:val="28"/>
          <w:szCs w:val="28"/>
        </w:rPr>
        <w:t>日，国务院第</w:t>
      </w:r>
      <w:r>
        <w:rPr>
          <w:rFonts w:hint="eastAsia"/>
          <w:sz w:val="28"/>
          <w:szCs w:val="28"/>
        </w:rPr>
        <w:t>132次会议修订通过</w:t>
      </w:r>
      <w:r>
        <w:rPr>
          <w:sz w:val="28"/>
          <w:szCs w:val="28"/>
        </w:rPr>
        <w:t>；</w:t>
      </w:r>
    </w:p>
    <w:p w14:paraId="0BB620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13</w:t>
      </w:r>
      <w:r>
        <w:rPr>
          <w:rFonts w:hint="eastAsia"/>
          <w:sz w:val="28"/>
          <w:szCs w:val="28"/>
          <w:lang w:eastAsia="zh-CN"/>
        </w:rPr>
        <w:t>）</w:t>
      </w:r>
      <w:r>
        <w:rPr>
          <w:sz w:val="28"/>
          <w:szCs w:val="28"/>
        </w:rPr>
        <w:t>《中华人民共和国安全生产法》，根据2021年6月10日第十三届全国人民代表大会常务委员会第二十九次会议《关于修改&lt;中华人民共和国安全生产法&gt;的决定》第三次修正，自2021年</w:t>
      </w:r>
      <w:r>
        <w:rPr>
          <w:rFonts w:hint="eastAsia"/>
          <w:sz w:val="28"/>
          <w:szCs w:val="28"/>
        </w:rPr>
        <w:t>9</w:t>
      </w:r>
      <w:r>
        <w:rPr>
          <w:sz w:val="28"/>
          <w:szCs w:val="28"/>
        </w:rPr>
        <w:t>月1日起施行；</w:t>
      </w:r>
    </w:p>
    <w:p w14:paraId="64F896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rPr>
      </w:pPr>
      <w:r>
        <w:rPr>
          <w:rFonts w:hint="eastAsia"/>
          <w:sz w:val="28"/>
          <w:szCs w:val="28"/>
          <w:lang w:eastAsia="zh-CN"/>
        </w:rPr>
        <w:t>（</w:t>
      </w:r>
      <w:r>
        <w:rPr>
          <w:rFonts w:hint="eastAsia"/>
          <w:sz w:val="28"/>
          <w:szCs w:val="28"/>
          <w:lang w:val="en-US" w:eastAsia="zh-CN"/>
        </w:rPr>
        <w:t>14</w:t>
      </w:r>
      <w:r>
        <w:rPr>
          <w:rFonts w:hint="eastAsia"/>
          <w:sz w:val="28"/>
          <w:szCs w:val="28"/>
          <w:lang w:eastAsia="zh-CN"/>
        </w:rPr>
        <w:t>）</w:t>
      </w:r>
      <w:r>
        <w:rPr>
          <w:sz w:val="28"/>
          <w:szCs w:val="28"/>
        </w:rPr>
        <w:t>《中华人民共和国矿产资源法》，</w:t>
      </w:r>
      <w:r>
        <w:rPr>
          <w:rFonts w:hint="eastAsia"/>
          <w:sz w:val="28"/>
          <w:szCs w:val="28"/>
        </w:rPr>
        <w:t>2024年11月8日第十四届全国人民代表大会常务委员会第十二次会议修订）</w:t>
      </w:r>
      <w:r>
        <w:rPr>
          <w:sz w:val="28"/>
          <w:szCs w:val="28"/>
        </w:rPr>
        <w:t>；</w:t>
      </w:r>
    </w:p>
    <w:p w14:paraId="43A2B0B6">
      <w:pPr>
        <w:pStyle w:val="7"/>
        <w:spacing w:line="360" w:lineRule="auto"/>
        <w:ind w:firstLine="562" w:firstLineChars="200"/>
        <w:rPr>
          <w:rFonts w:hint="default" w:eastAsia="宋体"/>
          <w:sz w:val="28"/>
          <w:szCs w:val="28"/>
          <w:lang w:val="en-US" w:eastAsia="zh-CN"/>
        </w:rPr>
      </w:pPr>
      <w:r>
        <w:rPr>
          <w:rFonts w:hint="eastAsia"/>
          <w:sz w:val="28"/>
          <w:szCs w:val="28"/>
        </w:rPr>
        <w:t>2.</w:t>
      </w:r>
      <w:r>
        <w:rPr>
          <w:rFonts w:hint="eastAsia"/>
          <w:sz w:val="28"/>
          <w:szCs w:val="28"/>
          <w:lang w:val="en-US" w:eastAsia="zh-CN"/>
        </w:rPr>
        <w:t>规章及政策文件</w:t>
      </w:r>
    </w:p>
    <w:p w14:paraId="2376C5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《关于加强地质灾害危险性评估工作的通知》（国土资发〔2004〕69号），2004年3月25日发布施行；</w:t>
      </w:r>
    </w:p>
    <w:p w14:paraId="4E515A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《小型露天采矿区安全管理与监督检查规定》（国家安全生产监督管理总局令第39号），2011年7月1日起施行；</w:t>
      </w:r>
    </w:p>
    <w:p w14:paraId="2494E0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《财政部</w:t>
      </w:r>
      <w:r>
        <w:rPr>
          <w:rFonts w:hint="eastAsia"/>
          <w:sz w:val="28"/>
          <w:szCs w:val="28"/>
          <w:lang w:eastAsia="zh-CN"/>
        </w:rPr>
        <w:t>、</w:t>
      </w:r>
      <w:r>
        <w:rPr>
          <w:rFonts w:hint="eastAsia"/>
          <w:sz w:val="28"/>
          <w:szCs w:val="28"/>
        </w:rPr>
        <w:t>国土资源部关于印发</w:t>
      </w:r>
      <w:r>
        <w:rPr>
          <w:rFonts w:hint="eastAsia"/>
          <w:sz w:val="28"/>
          <w:szCs w:val="28"/>
          <w:highlight w:val="none"/>
        </w:rPr>
        <w:t>&lt;土地开发整理项目预算定额标准&gt;的通知》（财综〔2011〕128号）；</w:t>
      </w:r>
    </w:p>
    <w:p w14:paraId="76DB83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rPr>
        <w:t>《矿山地质环境保护规定》（国土资源部令第44号），国土资源部令第44号，2009年2月2日国土资源部第4次部务会议审议通过，自2009年5月1日起施行；</w:t>
      </w:r>
    </w:p>
    <w:p w14:paraId="406D28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5</w:t>
      </w:r>
      <w:r>
        <w:rPr>
          <w:rFonts w:hint="eastAsia"/>
          <w:sz w:val="28"/>
          <w:szCs w:val="28"/>
          <w:lang w:eastAsia="zh-CN"/>
        </w:rPr>
        <w:t>）</w:t>
      </w:r>
      <w:r>
        <w:rPr>
          <w:rFonts w:hint="eastAsia"/>
          <w:sz w:val="28"/>
          <w:szCs w:val="28"/>
        </w:rPr>
        <w:t>《国土资源部关于修改和废止部分规章的决定》（国土资源部令第 64 号）；</w:t>
      </w:r>
    </w:p>
    <w:p w14:paraId="37BBE7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6</w:t>
      </w:r>
      <w:r>
        <w:rPr>
          <w:rFonts w:hint="eastAsia"/>
          <w:sz w:val="28"/>
          <w:szCs w:val="28"/>
          <w:lang w:eastAsia="zh-CN"/>
        </w:rPr>
        <w:t>）</w:t>
      </w:r>
      <w:r>
        <w:rPr>
          <w:rFonts w:hint="eastAsia"/>
          <w:sz w:val="28"/>
          <w:szCs w:val="28"/>
        </w:rPr>
        <w:t>《国务院关于加强地质灾害防治工作的决定》，国发〔2011〕20号，2011年6月13日；</w:t>
      </w:r>
    </w:p>
    <w:p w14:paraId="3F7C82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7</w:t>
      </w:r>
      <w:r>
        <w:rPr>
          <w:rFonts w:hint="eastAsia"/>
          <w:sz w:val="28"/>
          <w:szCs w:val="28"/>
          <w:lang w:eastAsia="zh-CN"/>
        </w:rPr>
        <w:t>）</w:t>
      </w:r>
      <w:r>
        <w:rPr>
          <w:rFonts w:hint="eastAsia"/>
          <w:sz w:val="28"/>
          <w:szCs w:val="28"/>
        </w:rPr>
        <w:t>广东省人民政府办公厅《印发广东省贯彻落实国务院关于加强地质灾害防治工作的重点工作分工方案的通知》(粤办函〔2011〕672号)；</w:t>
      </w:r>
    </w:p>
    <w:p w14:paraId="7140E8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8</w:t>
      </w:r>
      <w:r>
        <w:rPr>
          <w:rFonts w:hint="eastAsia"/>
          <w:sz w:val="28"/>
          <w:szCs w:val="28"/>
          <w:lang w:eastAsia="zh-CN"/>
        </w:rPr>
        <w:t>）</w:t>
      </w:r>
      <w:r>
        <w:rPr>
          <w:rFonts w:hint="eastAsia"/>
          <w:sz w:val="28"/>
          <w:szCs w:val="28"/>
        </w:rPr>
        <w:t>《国土资源部办公厅关于做好矿山地质环境保护与土地复垦方案编报有关工作的通知》（国土资规〔2016〕21号）；</w:t>
      </w:r>
    </w:p>
    <w:p w14:paraId="1A331F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9</w:t>
      </w:r>
      <w:r>
        <w:rPr>
          <w:rFonts w:hint="eastAsia"/>
          <w:sz w:val="28"/>
          <w:szCs w:val="28"/>
          <w:lang w:eastAsia="zh-CN"/>
        </w:rPr>
        <w:t>）</w:t>
      </w:r>
      <w:r>
        <w:rPr>
          <w:rFonts w:hint="eastAsia"/>
          <w:sz w:val="28"/>
          <w:szCs w:val="28"/>
        </w:rPr>
        <w:t>广东省国土资源厅《关于切实做好矿山地质环境保护与土地复垦方案审查的通知》（粤国土资规字〔2018〕4号）；</w:t>
      </w:r>
    </w:p>
    <w:p w14:paraId="71DB77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10</w:t>
      </w:r>
      <w:r>
        <w:rPr>
          <w:rFonts w:hint="eastAsia"/>
          <w:sz w:val="28"/>
          <w:szCs w:val="28"/>
          <w:lang w:eastAsia="zh-CN"/>
        </w:rPr>
        <w:t>）</w:t>
      </w:r>
      <w:r>
        <w:rPr>
          <w:rFonts w:hint="eastAsia"/>
          <w:sz w:val="28"/>
          <w:szCs w:val="28"/>
        </w:rPr>
        <w:t>广东省自然资源厅关于印发《广东省地质灾害治理工程生态修复指引（试行）》的通知（粤自然资函〔2020〕262号）；</w:t>
      </w:r>
    </w:p>
    <w:p w14:paraId="74FA1C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11</w:t>
      </w:r>
      <w:r>
        <w:rPr>
          <w:rFonts w:hint="eastAsia"/>
          <w:sz w:val="28"/>
          <w:szCs w:val="28"/>
          <w:lang w:eastAsia="zh-CN"/>
        </w:rPr>
        <w:t>）</w:t>
      </w:r>
      <w:r>
        <w:rPr>
          <w:rFonts w:hint="eastAsia"/>
          <w:sz w:val="28"/>
          <w:szCs w:val="28"/>
        </w:rPr>
        <w:t>广东省《非金属固体矿山（采石场）绿色矿山建设要求及评估标准》。</w:t>
      </w:r>
    </w:p>
    <w:p w14:paraId="2B1466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12</w:t>
      </w:r>
      <w:r>
        <w:rPr>
          <w:rFonts w:hint="eastAsia"/>
          <w:sz w:val="28"/>
          <w:szCs w:val="28"/>
          <w:lang w:eastAsia="zh-CN"/>
        </w:rPr>
        <w:t>）</w:t>
      </w:r>
      <w:r>
        <w:rPr>
          <w:rFonts w:hint="eastAsia"/>
          <w:sz w:val="28"/>
          <w:szCs w:val="28"/>
        </w:rPr>
        <w:t>广东省自然资源厅《关于做好&lt;中华人民共和国矿产资源法&gt;实施过渡期矿区生态修复方案评审工作的公告》（2025年10月）</w:t>
      </w:r>
      <w:r>
        <w:rPr>
          <w:rFonts w:hint="eastAsia"/>
          <w:sz w:val="28"/>
          <w:szCs w:val="28"/>
          <w:lang w:val="en-US" w:eastAsia="zh-CN"/>
        </w:rPr>
        <w:t>。</w:t>
      </w:r>
    </w:p>
    <w:p w14:paraId="6D45974A">
      <w:pPr>
        <w:pStyle w:val="7"/>
        <w:spacing w:line="360" w:lineRule="auto"/>
        <w:ind w:firstLine="562" w:firstLineChars="200"/>
        <w:rPr>
          <w:rFonts w:hint="eastAsia"/>
          <w:sz w:val="28"/>
          <w:szCs w:val="28"/>
        </w:rPr>
      </w:pPr>
      <w:r>
        <w:rPr>
          <w:rFonts w:hint="eastAsia"/>
          <w:sz w:val="28"/>
          <w:szCs w:val="28"/>
        </w:rPr>
        <w:t>3.</w:t>
      </w:r>
      <w:r>
        <w:rPr>
          <w:b/>
          <w:bCs/>
          <w:color w:val="000000"/>
          <w:sz w:val="28"/>
          <w:szCs w:val="28"/>
        </w:rPr>
        <w:t>现行规程、规范</w:t>
      </w:r>
    </w:p>
    <w:p w14:paraId="6AC6E0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《综合工程地质图图例及色标》（GB12328-1990）；</w:t>
      </w:r>
    </w:p>
    <w:p w14:paraId="074CE7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《矿区水文地质工程地质勘探规范》（GB/T 12719-2021 ）；</w:t>
      </w:r>
    </w:p>
    <w:p w14:paraId="788BD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《地下水环境质量标准》（GB/T 14848-2017）；</w:t>
      </w:r>
    </w:p>
    <w:p w14:paraId="170455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rPr>
        <w:t>《地下水动态监测规程》（DZ/T0133-1994）；</w:t>
      </w:r>
    </w:p>
    <w:p w14:paraId="0B4F55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5</w:t>
      </w:r>
      <w:r>
        <w:rPr>
          <w:rFonts w:hint="eastAsia"/>
          <w:sz w:val="28"/>
          <w:szCs w:val="28"/>
          <w:lang w:eastAsia="zh-CN"/>
        </w:rPr>
        <w:t>）</w:t>
      </w:r>
      <w:r>
        <w:rPr>
          <w:rFonts w:hint="eastAsia"/>
          <w:sz w:val="28"/>
          <w:szCs w:val="28"/>
        </w:rPr>
        <w:t>《水土保持综合治理技术规范》(GB/T16453-1996)；</w:t>
      </w:r>
    </w:p>
    <w:p w14:paraId="06C0F2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6</w:t>
      </w:r>
      <w:r>
        <w:rPr>
          <w:rFonts w:hint="eastAsia"/>
          <w:sz w:val="28"/>
          <w:szCs w:val="28"/>
          <w:lang w:eastAsia="zh-CN"/>
        </w:rPr>
        <w:t>）</w:t>
      </w:r>
      <w:r>
        <w:rPr>
          <w:rFonts w:hint="eastAsia"/>
          <w:sz w:val="28"/>
          <w:szCs w:val="28"/>
        </w:rPr>
        <w:t>《生态公益林建设技术规程》(GB/T18337.2-2001)；</w:t>
      </w:r>
    </w:p>
    <w:p w14:paraId="782DA8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7</w:t>
      </w:r>
      <w:r>
        <w:rPr>
          <w:rFonts w:hint="eastAsia"/>
          <w:sz w:val="28"/>
          <w:szCs w:val="28"/>
          <w:lang w:eastAsia="zh-CN"/>
        </w:rPr>
        <w:t>）</w:t>
      </w:r>
      <w:r>
        <w:rPr>
          <w:rFonts w:hint="eastAsia"/>
          <w:sz w:val="28"/>
          <w:szCs w:val="28"/>
        </w:rPr>
        <w:t>《地表水环境质量标准》（GB3838-2002）；</w:t>
      </w:r>
    </w:p>
    <w:p w14:paraId="225482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8</w:t>
      </w:r>
      <w:r>
        <w:rPr>
          <w:rFonts w:hint="eastAsia"/>
          <w:sz w:val="28"/>
          <w:szCs w:val="28"/>
          <w:lang w:eastAsia="zh-CN"/>
        </w:rPr>
        <w:t>）</w:t>
      </w:r>
      <w:r>
        <w:rPr>
          <w:rFonts w:hint="eastAsia"/>
          <w:sz w:val="28"/>
          <w:szCs w:val="28"/>
        </w:rPr>
        <w:t>《造林作业设计规程》（LY/T 1607-2003）；</w:t>
      </w:r>
    </w:p>
    <w:p w14:paraId="72E367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9</w:t>
      </w:r>
      <w:r>
        <w:rPr>
          <w:rFonts w:hint="eastAsia"/>
          <w:sz w:val="28"/>
          <w:szCs w:val="28"/>
          <w:lang w:eastAsia="zh-CN"/>
        </w:rPr>
        <w:t>）</w:t>
      </w:r>
      <w:r>
        <w:rPr>
          <w:rFonts w:hint="eastAsia"/>
          <w:sz w:val="28"/>
          <w:szCs w:val="28"/>
        </w:rPr>
        <w:t>《关于调整部分矿种生产建设规模标准的通知》（国土资发【2004】208号）；</w:t>
      </w:r>
    </w:p>
    <w:p w14:paraId="397CCF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10</w:t>
      </w:r>
      <w:r>
        <w:rPr>
          <w:rFonts w:hint="eastAsia"/>
          <w:sz w:val="28"/>
          <w:szCs w:val="28"/>
          <w:lang w:eastAsia="zh-CN"/>
        </w:rPr>
        <w:t>）</w:t>
      </w:r>
      <w:r>
        <w:rPr>
          <w:rFonts w:hint="eastAsia"/>
          <w:sz w:val="28"/>
          <w:szCs w:val="28"/>
        </w:rPr>
        <w:t>《地下水监测规范》（SL/T 183-2005）；</w:t>
      </w:r>
    </w:p>
    <w:p w14:paraId="3A1817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11</w:t>
      </w:r>
      <w:r>
        <w:rPr>
          <w:rFonts w:hint="eastAsia"/>
          <w:sz w:val="28"/>
          <w:szCs w:val="28"/>
          <w:lang w:eastAsia="zh-CN"/>
        </w:rPr>
        <w:t>）</w:t>
      </w:r>
      <w:r>
        <w:rPr>
          <w:rFonts w:hint="eastAsia"/>
          <w:sz w:val="28"/>
          <w:szCs w:val="28"/>
        </w:rPr>
        <w:t>《滑坡防治工程设计与施工技术规范》（DZ/T0219-2006）；</w:t>
      </w:r>
    </w:p>
    <w:p w14:paraId="352482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12</w:t>
      </w:r>
      <w:r>
        <w:rPr>
          <w:rFonts w:hint="eastAsia"/>
          <w:sz w:val="28"/>
          <w:szCs w:val="28"/>
          <w:lang w:eastAsia="zh-CN"/>
        </w:rPr>
        <w:t>）</w:t>
      </w:r>
      <w:r>
        <w:rPr>
          <w:rFonts w:hint="eastAsia"/>
          <w:sz w:val="28"/>
          <w:szCs w:val="28"/>
        </w:rPr>
        <w:t>《泥石流灾害防治工程勘查规范》（DZ/T0220-2006）；</w:t>
      </w:r>
    </w:p>
    <w:p w14:paraId="3B4250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13</w:t>
      </w:r>
      <w:r>
        <w:rPr>
          <w:rFonts w:hint="eastAsia"/>
          <w:sz w:val="28"/>
          <w:szCs w:val="28"/>
          <w:lang w:eastAsia="zh-CN"/>
        </w:rPr>
        <w:t>）</w:t>
      </w:r>
      <w:r>
        <w:rPr>
          <w:rFonts w:hint="eastAsia"/>
          <w:sz w:val="28"/>
          <w:szCs w:val="28"/>
        </w:rPr>
        <w:t>《崩塌、滑坡、泥石流监测规范》（DZ/T0221-2006）；</w:t>
      </w:r>
    </w:p>
    <w:p w14:paraId="00B90F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14</w:t>
      </w:r>
      <w:r>
        <w:rPr>
          <w:rFonts w:hint="eastAsia"/>
          <w:sz w:val="28"/>
          <w:szCs w:val="28"/>
          <w:lang w:eastAsia="zh-CN"/>
        </w:rPr>
        <w:t>）</w:t>
      </w:r>
      <w:r>
        <w:rPr>
          <w:rFonts w:hint="eastAsia"/>
          <w:sz w:val="28"/>
          <w:szCs w:val="28"/>
        </w:rPr>
        <w:t>《崩塌防治工程勘查规范(试行)》（T/CAGHP011-2018）；</w:t>
      </w:r>
    </w:p>
    <w:p w14:paraId="020DB1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15</w:t>
      </w:r>
      <w:r>
        <w:rPr>
          <w:rFonts w:hint="eastAsia"/>
          <w:sz w:val="28"/>
          <w:szCs w:val="28"/>
          <w:lang w:eastAsia="zh-CN"/>
        </w:rPr>
        <w:t>）</w:t>
      </w:r>
      <w:r>
        <w:rPr>
          <w:rFonts w:hint="eastAsia"/>
          <w:sz w:val="28"/>
          <w:szCs w:val="28"/>
        </w:rPr>
        <w:t>《生活饮用水卫生标准》（GB5749-2006）；</w:t>
      </w:r>
    </w:p>
    <w:p w14:paraId="36559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16</w:t>
      </w:r>
      <w:r>
        <w:rPr>
          <w:rFonts w:hint="eastAsia"/>
          <w:sz w:val="28"/>
          <w:szCs w:val="28"/>
          <w:lang w:eastAsia="zh-CN"/>
        </w:rPr>
        <w:t>）</w:t>
      </w:r>
      <w:r>
        <w:rPr>
          <w:rFonts w:hint="eastAsia"/>
          <w:sz w:val="28"/>
          <w:szCs w:val="28"/>
        </w:rPr>
        <w:t>《建设工程监理与相关服务收费管理规定》（国家发改委，2007）；</w:t>
      </w:r>
    </w:p>
    <w:p w14:paraId="422144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17</w:t>
      </w:r>
      <w:r>
        <w:rPr>
          <w:rFonts w:hint="eastAsia"/>
          <w:sz w:val="28"/>
          <w:szCs w:val="28"/>
          <w:lang w:eastAsia="zh-CN"/>
        </w:rPr>
        <w:t>）</w:t>
      </w:r>
      <w:r>
        <w:rPr>
          <w:rFonts w:hint="eastAsia"/>
          <w:sz w:val="28"/>
          <w:szCs w:val="28"/>
        </w:rPr>
        <w:t>《土地利用现状分类》（GB/T 21010-2017）；</w:t>
      </w:r>
    </w:p>
    <w:p w14:paraId="4E4947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18</w:t>
      </w:r>
      <w:r>
        <w:rPr>
          <w:rFonts w:hint="eastAsia"/>
          <w:sz w:val="28"/>
          <w:szCs w:val="28"/>
          <w:lang w:eastAsia="zh-CN"/>
        </w:rPr>
        <w:t>）</w:t>
      </w:r>
      <w:r>
        <w:rPr>
          <w:rFonts w:hint="eastAsia"/>
          <w:sz w:val="28"/>
          <w:szCs w:val="28"/>
        </w:rPr>
        <w:t>《土壤环境质量标准》（GB15618-1995）；</w:t>
      </w:r>
    </w:p>
    <w:p w14:paraId="6FA94A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19</w:t>
      </w:r>
      <w:r>
        <w:rPr>
          <w:rFonts w:hint="eastAsia"/>
          <w:sz w:val="28"/>
          <w:szCs w:val="28"/>
          <w:lang w:eastAsia="zh-CN"/>
        </w:rPr>
        <w:t>）</w:t>
      </w:r>
      <w:r>
        <w:rPr>
          <w:rFonts w:hint="eastAsia"/>
          <w:sz w:val="28"/>
          <w:szCs w:val="28"/>
        </w:rPr>
        <w:t>《岩土工程勘察规范》（GB50021-2001，2009年版）；</w:t>
      </w:r>
    </w:p>
    <w:p w14:paraId="186228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20</w:t>
      </w:r>
      <w:r>
        <w:rPr>
          <w:rFonts w:hint="eastAsia"/>
          <w:sz w:val="28"/>
          <w:szCs w:val="28"/>
          <w:lang w:eastAsia="zh-CN"/>
        </w:rPr>
        <w:t>）</w:t>
      </w:r>
      <w:r>
        <w:rPr>
          <w:rFonts w:hint="eastAsia"/>
          <w:sz w:val="28"/>
          <w:szCs w:val="28"/>
        </w:rPr>
        <w:t>《土地开发整理项目预算定额标准》（财综[2011]128号）；</w:t>
      </w:r>
    </w:p>
    <w:p w14:paraId="5A9BB2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21</w:t>
      </w:r>
      <w:r>
        <w:rPr>
          <w:rFonts w:hint="eastAsia"/>
          <w:sz w:val="28"/>
          <w:szCs w:val="28"/>
          <w:lang w:eastAsia="zh-CN"/>
        </w:rPr>
        <w:t>）</w:t>
      </w:r>
      <w:r>
        <w:rPr>
          <w:rFonts w:hint="eastAsia"/>
          <w:sz w:val="28"/>
          <w:szCs w:val="28"/>
        </w:rPr>
        <w:t>《矿山地质环境保护与恢复治理方案编制规范》(DZ</w:t>
      </w:r>
      <w:r>
        <w:rPr>
          <w:rFonts w:hint="eastAsia"/>
          <w:sz w:val="28"/>
          <w:szCs w:val="28"/>
          <w:lang w:val="en-US" w:eastAsia="zh-CN"/>
        </w:rPr>
        <w:t>/</w:t>
      </w:r>
      <w:r>
        <w:rPr>
          <w:rFonts w:hint="eastAsia"/>
          <w:sz w:val="28"/>
          <w:szCs w:val="28"/>
        </w:rPr>
        <w:t>T0223-2011)；</w:t>
      </w:r>
    </w:p>
    <w:p w14:paraId="2A5B89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22</w:t>
      </w:r>
      <w:r>
        <w:rPr>
          <w:rFonts w:hint="eastAsia"/>
          <w:sz w:val="28"/>
          <w:szCs w:val="28"/>
          <w:lang w:eastAsia="zh-CN"/>
        </w:rPr>
        <w:t>）</w:t>
      </w:r>
      <w:r>
        <w:rPr>
          <w:rFonts w:hint="eastAsia"/>
          <w:sz w:val="28"/>
          <w:szCs w:val="28"/>
        </w:rPr>
        <w:t>《土地复垦方案编制规程》(TD/T 1031-2011)；</w:t>
      </w:r>
    </w:p>
    <w:p w14:paraId="3DECCC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23</w:t>
      </w:r>
      <w:r>
        <w:rPr>
          <w:rFonts w:hint="eastAsia"/>
          <w:sz w:val="28"/>
          <w:szCs w:val="28"/>
          <w:lang w:eastAsia="zh-CN"/>
        </w:rPr>
        <w:t>）</w:t>
      </w:r>
      <w:r>
        <w:rPr>
          <w:rFonts w:hint="eastAsia"/>
          <w:sz w:val="28"/>
          <w:szCs w:val="28"/>
        </w:rPr>
        <w:t>《土地复垦质量控制标准》（TD/T 1036-2013）；</w:t>
      </w:r>
    </w:p>
    <w:p w14:paraId="192697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24</w:t>
      </w:r>
      <w:r>
        <w:rPr>
          <w:rFonts w:hint="eastAsia"/>
          <w:sz w:val="28"/>
          <w:szCs w:val="28"/>
          <w:lang w:eastAsia="zh-CN"/>
        </w:rPr>
        <w:t>）</w:t>
      </w:r>
      <w:r>
        <w:rPr>
          <w:rFonts w:hint="eastAsia"/>
          <w:sz w:val="28"/>
          <w:szCs w:val="28"/>
        </w:rPr>
        <w:t>《建筑边坡工程技术规范》（GB50330-2013）；</w:t>
      </w:r>
    </w:p>
    <w:p w14:paraId="0E4F73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25</w:t>
      </w:r>
      <w:r>
        <w:rPr>
          <w:rFonts w:hint="eastAsia"/>
          <w:sz w:val="28"/>
          <w:szCs w:val="28"/>
          <w:lang w:eastAsia="zh-CN"/>
        </w:rPr>
        <w:t>）</w:t>
      </w:r>
      <w:r>
        <w:rPr>
          <w:rFonts w:hint="eastAsia"/>
          <w:sz w:val="28"/>
          <w:szCs w:val="28"/>
        </w:rPr>
        <w:t>《工程岩体分级标准》（GB50218-2014）；</w:t>
      </w:r>
    </w:p>
    <w:p w14:paraId="3AF5D0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26</w:t>
      </w:r>
      <w:r>
        <w:rPr>
          <w:rFonts w:hint="eastAsia"/>
          <w:sz w:val="28"/>
          <w:szCs w:val="28"/>
          <w:lang w:eastAsia="zh-CN"/>
        </w:rPr>
        <w:t>）</w:t>
      </w:r>
      <w:r>
        <w:rPr>
          <w:rFonts w:hint="eastAsia"/>
          <w:sz w:val="28"/>
          <w:szCs w:val="28"/>
        </w:rPr>
        <w:t>《矿山地质环境调查评价规范》（DD2014-05）；</w:t>
      </w:r>
    </w:p>
    <w:p w14:paraId="7B25FA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27</w:t>
      </w:r>
      <w:r>
        <w:rPr>
          <w:rFonts w:hint="eastAsia"/>
          <w:sz w:val="28"/>
          <w:szCs w:val="28"/>
          <w:lang w:eastAsia="zh-CN"/>
        </w:rPr>
        <w:t>）</w:t>
      </w:r>
      <w:r>
        <w:rPr>
          <w:rFonts w:hint="eastAsia"/>
          <w:sz w:val="28"/>
          <w:szCs w:val="28"/>
        </w:rPr>
        <w:t>《生态环境状况评价技术规范（试行）》（HJ/T192-2015）；</w:t>
      </w:r>
    </w:p>
    <w:p w14:paraId="4E6D13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28</w:t>
      </w:r>
      <w:r>
        <w:rPr>
          <w:rFonts w:hint="eastAsia"/>
          <w:sz w:val="28"/>
          <w:szCs w:val="28"/>
          <w:lang w:eastAsia="zh-CN"/>
        </w:rPr>
        <w:t>）</w:t>
      </w:r>
      <w:r>
        <w:rPr>
          <w:rFonts w:hint="eastAsia"/>
          <w:sz w:val="28"/>
          <w:szCs w:val="28"/>
        </w:rPr>
        <w:t>《矿山地质环境监测规程》（DZT 0287-2015)；</w:t>
      </w:r>
    </w:p>
    <w:p w14:paraId="2C3A3E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29</w:t>
      </w:r>
      <w:r>
        <w:rPr>
          <w:rFonts w:hint="eastAsia"/>
          <w:sz w:val="28"/>
          <w:szCs w:val="28"/>
          <w:lang w:eastAsia="zh-CN"/>
        </w:rPr>
        <w:t>）</w:t>
      </w:r>
      <w:r>
        <w:rPr>
          <w:rFonts w:hint="eastAsia"/>
          <w:sz w:val="28"/>
          <w:szCs w:val="28"/>
        </w:rPr>
        <w:t>《广东省建设工程计价依据》（粤建市[2010]15号）；</w:t>
      </w:r>
    </w:p>
    <w:p w14:paraId="09F6F2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30</w:t>
      </w:r>
      <w:r>
        <w:rPr>
          <w:rFonts w:hint="eastAsia"/>
          <w:sz w:val="28"/>
          <w:szCs w:val="28"/>
          <w:lang w:eastAsia="zh-CN"/>
        </w:rPr>
        <w:t>）</w:t>
      </w:r>
      <w:r>
        <w:rPr>
          <w:rFonts w:hint="eastAsia"/>
          <w:sz w:val="28"/>
          <w:szCs w:val="28"/>
        </w:rPr>
        <w:t>《中国地震动参数区划图》（GB18306-2015）；</w:t>
      </w:r>
    </w:p>
    <w:p w14:paraId="7DB511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31</w:t>
      </w:r>
      <w:r>
        <w:rPr>
          <w:rFonts w:hint="eastAsia"/>
          <w:sz w:val="28"/>
          <w:szCs w:val="28"/>
          <w:lang w:eastAsia="zh-CN"/>
        </w:rPr>
        <w:t>）</w:t>
      </w:r>
      <w:r>
        <w:rPr>
          <w:rFonts w:hint="eastAsia"/>
          <w:sz w:val="28"/>
          <w:szCs w:val="28"/>
        </w:rPr>
        <w:t>《滑坡防治工程勘查规范》（GBT 32864 -2016）；</w:t>
      </w:r>
    </w:p>
    <w:p w14:paraId="51AF16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32</w:t>
      </w:r>
      <w:r>
        <w:rPr>
          <w:rFonts w:hint="eastAsia"/>
          <w:sz w:val="28"/>
          <w:szCs w:val="28"/>
          <w:lang w:eastAsia="zh-CN"/>
        </w:rPr>
        <w:t>）</w:t>
      </w:r>
      <w:r>
        <w:rPr>
          <w:rFonts w:hint="eastAsia"/>
          <w:sz w:val="28"/>
          <w:szCs w:val="28"/>
        </w:rPr>
        <w:t>《水文地质工程地质勘探规范》（GB12719 -91）；</w:t>
      </w:r>
    </w:p>
    <w:p w14:paraId="0241BA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33</w:t>
      </w:r>
      <w:r>
        <w:rPr>
          <w:rFonts w:hint="eastAsia"/>
          <w:sz w:val="28"/>
          <w:szCs w:val="28"/>
          <w:lang w:eastAsia="zh-CN"/>
        </w:rPr>
        <w:t>）</w:t>
      </w:r>
      <w:r>
        <w:rPr>
          <w:rFonts w:hint="eastAsia"/>
          <w:sz w:val="28"/>
          <w:szCs w:val="28"/>
        </w:rPr>
        <w:t>《区域水文地质工程地质环境地质综合勘查规范》（GBT14158-93）；</w:t>
      </w:r>
    </w:p>
    <w:p w14:paraId="078877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34</w:t>
      </w:r>
      <w:r>
        <w:rPr>
          <w:rFonts w:hint="eastAsia"/>
          <w:sz w:val="28"/>
          <w:szCs w:val="28"/>
          <w:lang w:eastAsia="zh-CN"/>
        </w:rPr>
        <w:t>）</w:t>
      </w:r>
      <w:r>
        <w:rPr>
          <w:rFonts w:hint="eastAsia"/>
          <w:sz w:val="28"/>
          <w:szCs w:val="28"/>
        </w:rPr>
        <w:t xml:space="preserve">《水文地质环境地质调查规范》（DB41/T1507-2017）； </w:t>
      </w:r>
    </w:p>
    <w:p w14:paraId="7A2365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35</w:t>
      </w:r>
      <w:r>
        <w:rPr>
          <w:rFonts w:hint="eastAsia"/>
          <w:sz w:val="28"/>
          <w:szCs w:val="28"/>
          <w:lang w:eastAsia="zh-CN"/>
        </w:rPr>
        <w:t>）</w:t>
      </w:r>
      <w:r>
        <w:rPr>
          <w:rFonts w:hint="eastAsia"/>
          <w:sz w:val="28"/>
          <w:szCs w:val="28"/>
        </w:rPr>
        <w:t>《地质灾害治理工程施工组织设计规范（试行）》（T/CAGHP020-2018）；</w:t>
      </w:r>
    </w:p>
    <w:p w14:paraId="6DA1D3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36</w:t>
      </w:r>
      <w:r>
        <w:rPr>
          <w:rFonts w:hint="eastAsia"/>
          <w:sz w:val="28"/>
          <w:szCs w:val="28"/>
          <w:lang w:eastAsia="zh-CN"/>
        </w:rPr>
        <w:t>）</w:t>
      </w:r>
      <w:r>
        <w:rPr>
          <w:rFonts w:hint="eastAsia"/>
          <w:sz w:val="28"/>
          <w:szCs w:val="28"/>
        </w:rPr>
        <w:t>《广东省矿山地质环境保护与治理规划（2015-2020年）》；</w:t>
      </w:r>
    </w:p>
    <w:p w14:paraId="582E1A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37</w:t>
      </w:r>
      <w:r>
        <w:rPr>
          <w:rFonts w:hint="eastAsia"/>
          <w:sz w:val="28"/>
          <w:szCs w:val="28"/>
          <w:lang w:eastAsia="zh-CN"/>
        </w:rPr>
        <w:t>）《广东省地质灾害危险性评估实施细则(2025年修订版)》,广东省地质灾害防治协会，2025年9月”；</w:t>
      </w:r>
    </w:p>
    <w:p w14:paraId="0974A7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38</w:t>
      </w:r>
      <w:r>
        <w:rPr>
          <w:rFonts w:hint="eastAsia"/>
          <w:sz w:val="28"/>
          <w:szCs w:val="28"/>
          <w:lang w:eastAsia="zh-CN"/>
        </w:rPr>
        <w:t>）</w:t>
      </w:r>
      <w:r>
        <w:rPr>
          <w:rFonts w:hint="eastAsia"/>
          <w:sz w:val="28"/>
          <w:szCs w:val="28"/>
        </w:rPr>
        <w:t>《矿山地质环境保护与土地复垦方案编制指南》，中华人民共和国国土资源部，2016年12月；</w:t>
      </w:r>
    </w:p>
    <w:p w14:paraId="1DDF59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39</w:t>
      </w:r>
      <w:r>
        <w:rPr>
          <w:rFonts w:hint="eastAsia"/>
          <w:sz w:val="28"/>
          <w:szCs w:val="28"/>
          <w:lang w:eastAsia="zh-CN"/>
        </w:rPr>
        <w:t>）</w:t>
      </w:r>
      <w:r>
        <w:rPr>
          <w:rFonts w:hint="eastAsia"/>
          <w:sz w:val="28"/>
          <w:szCs w:val="28"/>
        </w:rPr>
        <w:t>《广东省矿山地质环境保护与土地复垦方案编制指南》（试行），广东省地质灾害防治协会，2018年1月；</w:t>
      </w:r>
    </w:p>
    <w:p w14:paraId="6C00F4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40</w:t>
      </w:r>
      <w:r>
        <w:rPr>
          <w:rFonts w:hint="eastAsia"/>
          <w:sz w:val="28"/>
          <w:szCs w:val="28"/>
          <w:lang w:eastAsia="zh-CN"/>
        </w:rPr>
        <w:t>）</w:t>
      </w:r>
      <w:r>
        <w:rPr>
          <w:rFonts w:hint="eastAsia"/>
          <w:sz w:val="28"/>
          <w:szCs w:val="28"/>
        </w:rPr>
        <w:t>《土地复垦条例实施办法》(2012年12月27日国土资源部第56号令公布根据2019年7月16日自然资源部第2次部务会议《自然资源部关于第一批废止和修改的部门规章的决定》修正)；</w:t>
      </w:r>
    </w:p>
    <w:p w14:paraId="2A53E04F">
      <w:pPr>
        <w:pStyle w:val="7"/>
        <w:spacing w:line="360" w:lineRule="auto"/>
        <w:ind w:firstLine="562" w:firstLineChars="200"/>
        <w:rPr>
          <w:rFonts w:hint="eastAsia"/>
          <w:sz w:val="28"/>
          <w:szCs w:val="28"/>
        </w:rPr>
      </w:pPr>
      <w:r>
        <w:rPr>
          <w:rFonts w:hint="eastAsia"/>
          <w:sz w:val="28"/>
          <w:szCs w:val="28"/>
        </w:rPr>
        <w:t>4.相关资料</w:t>
      </w:r>
    </w:p>
    <w:p w14:paraId="381BB46F">
      <w:pPr>
        <w:spacing w:line="360" w:lineRule="auto"/>
        <w:ind w:firstLine="480"/>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《广东省徐闻县城北乡迈报(西山坑)矿区建筑用玄武岩矿资源储量核实报告》，广东省地质局第四地质大队（广东省湛江地质灾害应急抢险技术中心），2022年5月；</w:t>
      </w:r>
    </w:p>
    <w:p w14:paraId="54B26E45">
      <w:pPr>
        <w:spacing w:line="360" w:lineRule="auto"/>
        <w:ind w:firstLine="480"/>
        <w:rPr>
          <w:rFonts w:hint="eastAsia"/>
          <w:sz w:val="28"/>
          <w:szCs w:val="28"/>
        </w:rPr>
      </w:pPr>
      <w:r>
        <w:rPr>
          <w:rFonts w:hint="eastAsia"/>
          <w:sz w:val="28"/>
          <w:szCs w:val="28"/>
        </w:rPr>
        <w:t>（</w:t>
      </w:r>
      <w:r>
        <w:rPr>
          <w:rFonts w:hint="eastAsia"/>
          <w:sz w:val="28"/>
          <w:szCs w:val="28"/>
          <w:lang w:val="en-US" w:eastAsia="zh-CN"/>
        </w:rPr>
        <w:t>2</w:t>
      </w:r>
      <w:r>
        <w:rPr>
          <w:rFonts w:hint="eastAsia"/>
          <w:sz w:val="28"/>
          <w:szCs w:val="28"/>
        </w:rPr>
        <w:t>）《广东省徐闻县城北乡迈报(西山坑)矿区建筑用玄武岩矿资源储量核实报告》</w:t>
      </w:r>
      <w:r>
        <w:rPr>
          <w:rFonts w:hint="eastAsia" w:cs="宋体"/>
          <w:sz w:val="28"/>
          <w:szCs w:val="28"/>
        </w:rPr>
        <w:t>矿产资源储量评审意见书</w:t>
      </w:r>
      <w:r>
        <w:rPr>
          <w:sz w:val="28"/>
          <w:szCs w:val="28"/>
        </w:rPr>
        <w:t>（粤资储评审字[202</w:t>
      </w:r>
      <w:r>
        <w:rPr>
          <w:rFonts w:hint="eastAsia"/>
          <w:sz w:val="28"/>
          <w:szCs w:val="28"/>
        </w:rPr>
        <w:t>2</w:t>
      </w:r>
      <w:r>
        <w:rPr>
          <w:sz w:val="28"/>
          <w:szCs w:val="28"/>
        </w:rPr>
        <w:t>]</w:t>
      </w:r>
      <w:r>
        <w:rPr>
          <w:rFonts w:hint="eastAsia"/>
          <w:sz w:val="28"/>
          <w:szCs w:val="28"/>
        </w:rPr>
        <w:t>74</w:t>
      </w:r>
      <w:r>
        <w:rPr>
          <w:sz w:val="28"/>
          <w:szCs w:val="28"/>
        </w:rPr>
        <w:t>号</w:t>
      </w:r>
      <w:r>
        <w:rPr>
          <w:rFonts w:hint="eastAsia"/>
          <w:sz w:val="28"/>
          <w:szCs w:val="28"/>
        </w:rPr>
        <w:t>）</w:t>
      </w:r>
      <w:r>
        <w:rPr>
          <w:rFonts w:hint="eastAsia" w:cs="宋体"/>
          <w:sz w:val="28"/>
          <w:szCs w:val="28"/>
        </w:rPr>
        <w:t>；</w:t>
      </w:r>
    </w:p>
    <w:p w14:paraId="3AD7A2FB">
      <w:pPr>
        <w:spacing w:line="360" w:lineRule="auto"/>
        <w:ind w:firstLine="480"/>
        <w:rPr>
          <w:rFonts w:hint="eastAsia"/>
          <w:sz w:val="28"/>
          <w:szCs w:val="28"/>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关于《广东省徐闻县城北乡迈报(西山坑)矿区建筑用玄武岩矿资源储量核实报告》矿产资源储量评审结果的复函（粤储审评[2022]74号）；</w:t>
      </w:r>
    </w:p>
    <w:p w14:paraId="2B2D84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bookmarkStart w:id="36" w:name="_Toc45471125"/>
      <w:bookmarkStart w:id="37" w:name="_Toc80363896"/>
      <w:bookmarkStart w:id="38" w:name="_Toc83217701"/>
      <w:bookmarkStart w:id="39" w:name="_Toc45288944"/>
      <w:bookmarkStart w:id="40" w:name="_Toc83217389"/>
      <w:bookmarkStart w:id="41" w:name="_Toc45470727"/>
      <w:bookmarkStart w:id="42" w:name="_Toc80351859"/>
      <w:bookmarkStart w:id="43" w:name="_Toc45721900"/>
      <w:r>
        <w:rPr>
          <w:rFonts w:hint="eastAsia"/>
          <w:sz w:val="28"/>
          <w:szCs w:val="28"/>
          <w:lang w:eastAsia="zh-CN"/>
        </w:rPr>
        <w:t>《广东省徐闻县城北乡迈报(西山坑)矿区建筑用玄武岩矿矿产资源开发利用方案》</w:t>
      </w:r>
      <w:bookmarkEnd w:id="36"/>
      <w:bookmarkEnd w:id="37"/>
      <w:bookmarkEnd w:id="38"/>
      <w:bookmarkEnd w:id="39"/>
      <w:bookmarkEnd w:id="40"/>
      <w:bookmarkEnd w:id="41"/>
      <w:bookmarkEnd w:id="42"/>
      <w:bookmarkEnd w:id="43"/>
      <w:r>
        <w:rPr>
          <w:rFonts w:hint="eastAsia"/>
          <w:sz w:val="28"/>
          <w:szCs w:val="28"/>
        </w:rPr>
        <w:t>广东省地质局第四地质大队（广东省湛江地质灾害应急抢险技术中心），2022年</w:t>
      </w:r>
      <w:r>
        <w:rPr>
          <w:rFonts w:hint="eastAsia"/>
          <w:sz w:val="28"/>
          <w:szCs w:val="28"/>
          <w:lang w:val="en-US" w:eastAsia="zh-CN"/>
        </w:rPr>
        <w:t>7</w:t>
      </w:r>
      <w:r>
        <w:rPr>
          <w:rFonts w:hint="eastAsia"/>
          <w:sz w:val="28"/>
          <w:szCs w:val="28"/>
        </w:rPr>
        <w:t>月；</w:t>
      </w:r>
    </w:p>
    <w:p w14:paraId="46E6725F">
      <w:pPr>
        <w:pStyle w:val="2"/>
        <w:keepNext w:val="0"/>
        <w:keepLines w:val="0"/>
        <w:pageBreakBefore w:val="0"/>
        <w:widowControl w:val="0"/>
        <w:kinsoku/>
        <w:wordWrap/>
        <w:overflowPunct/>
        <w:topLinePunct w:val="0"/>
        <w:autoSpaceDE/>
        <w:autoSpaceDN/>
        <w:bidi w:val="0"/>
        <w:adjustRightInd/>
        <w:snapToGrid/>
        <w:spacing w:beforeLines="0" w:afterLines="0" w:line="360" w:lineRule="auto"/>
        <w:textAlignment w:val="baseline"/>
        <w:rPr>
          <w:rFonts w:hint="eastAsia" w:eastAsia="宋体"/>
          <w:sz w:val="28"/>
          <w:szCs w:val="28"/>
          <w:lang w:val="en-US" w:eastAsia="zh-CN"/>
        </w:rPr>
      </w:pPr>
      <w:r>
        <w:rPr>
          <w:rFonts w:hint="eastAsia"/>
          <w:sz w:val="28"/>
          <w:szCs w:val="28"/>
          <w:lang w:eastAsia="zh-CN"/>
        </w:rPr>
        <w:t>（</w:t>
      </w:r>
      <w:r>
        <w:rPr>
          <w:rFonts w:hint="eastAsia"/>
          <w:sz w:val="28"/>
          <w:szCs w:val="28"/>
          <w:lang w:val="en-US" w:eastAsia="zh-CN"/>
        </w:rPr>
        <w:t>5</w:t>
      </w:r>
      <w:r>
        <w:rPr>
          <w:rFonts w:hint="eastAsia"/>
          <w:sz w:val="28"/>
          <w:szCs w:val="28"/>
          <w:lang w:eastAsia="zh-CN"/>
        </w:rPr>
        <w:t>）《广东省徐闻县城北乡迈报(西山坑)矿区建筑用玄武岩矿矿产资源开发利用方案》</w:t>
      </w:r>
      <w:r>
        <w:rPr>
          <w:rFonts w:hint="eastAsia"/>
          <w:sz w:val="28"/>
          <w:szCs w:val="28"/>
          <w:lang w:val="en-US" w:eastAsia="zh-CN"/>
        </w:rPr>
        <w:t>审查意见书</w:t>
      </w:r>
      <w:r>
        <w:rPr>
          <w:rFonts w:hint="eastAsia"/>
          <w:sz w:val="28"/>
          <w:szCs w:val="28"/>
        </w:rPr>
        <w:t>（</w:t>
      </w:r>
      <w:r>
        <w:rPr>
          <w:rFonts w:hint="eastAsia"/>
          <w:sz w:val="28"/>
          <w:szCs w:val="28"/>
          <w:lang w:val="en-US" w:eastAsia="zh-CN"/>
        </w:rPr>
        <w:t>湛矿开审字</w:t>
      </w:r>
      <w:r>
        <w:rPr>
          <w:rFonts w:hint="eastAsia"/>
          <w:sz w:val="28"/>
          <w:szCs w:val="28"/>
        </w:rPr>
        <w:t>[2022]4号）</w:t>
      </w:r>
      <w:r>
        <w:rPr>
          <w:rFonts w:hint="eastAsia"/>
          <w:sz w:val="28"/>
          <w:szCs w:val="28"/>
          <w:lang w:eastAsia="zh-CN"/>
        </w:rPr>
        <w:t>；</w:t>
      </w:r>
    </w:p>
    <w:p w14:paraId="0C51698B">
      <w:pPr>
        <w:pStyle w:val="2"/>
        <w:keepNext w:val="0"/>
        <w:keepLines w:val="0"/>
        <w:pageBreakBefore w:val="0"/>
        <w:widowControl w:val="0"/>
        <w:kinsoku/>
        <w:wordWrap/>
        <w:overflowPunct/>
        <w:topLinePunct w:val="0"/>
        <w:autoSpaceDE/>
        <w:autoSpaceDN/>
        <w:bidi w:val="0"/>
        <w:adjustRightInd/>
        <w:snapToGrid/>
        <w:spacing w:beforeLines="0" w:afterLines="0" w:line="360" w:lineRule="auto"/>
        <w:textAlignment w:val="baseline"/>
        <w:rPr>
          <w:rFonts w:hint="eastAsia"/>
          <w:sz w:val="28"/>
          <w:szCs w:val="28"/>
          <w:lang w:eastAsia="zh-CN"/>
        </w:rPr>
      </w:pPr>
      <w:r>
        <w:rPr>
          <w:rFonts w:hint="eastAsia"/>
          <w:sz w:val="28"/>
          <w:szCs w:val="28"/>
          <w:lang w:val="en-US" w:eastAsia="zh-CN"/>
        </w:rPr>
        <w:t>（6）徐闻县</w:t>
      </w:r>
      <w:r>
        <w:rPr>
          <w:rFonts w:hint="eastAsia"/>
          <w:sz w:val="28"/>
          <w:szCs w:val="28"/>
          <w:lang w:eastAsia="zh-CN"/>
        </w:rPr>
        <w:t>202</w:t>
      </w:r>
      <w:r>
        <w:rPr>
          <w:rFonts w:hint="eastAsia"/>
          <w:sz w:val="28"/>
          <w:szCs w:val="28"/>
          <w:lang w:val="en-US" w:eastAsia="zh-CN"/>
        </w:rPr>
        <w:t>4</w:t>
      </w:r>
      <w:r>
        <w:rPr>
          <w:rFonts w:hint="eastAsia"/>
          <w:sz w:val="28"/>
          <w:szCs w:val="28"/>
          <w:lang w:eastAsia="zh-CN"/>
        </w:rPr>
        <w:t>年度国土变更调查数据（</w:t>
      </w:r>
      <w:r>
        <w:rPr>
          <w:rFonts w:hint="eastAsia"/>
          <w:sz w:val="28"/>
          <w:szCs w:val="28"/>
          <w:lang w:val="en-US" w:eastAsia="zh-CN"/>
        </w:rPr>
        <w:t>徐闻县</w:t>
      </w:r>
      <w:r>
        <w:rPr>
          <w:rFonts w:hint="eastAsia"/>
          <w:sz w:val="28"/>
          <w:szCs w:val="28"/>
          <w:lang w:eastAsia="zh-CN"/>
        </w:rPr>
        <w:t>自然资源局）；</w:t>
      </w:r>
    </w:p>
    <w:p w14:paraId="0C1DF661">
      <w:pPr>
        <w:pStyle w:val="2"/>
        <w:keepNext w:val="0"/>
        <w:keepLines w:val="0"/>
        <w:pageBreakBefore w:val="0"/>
        <w:widowControl w:val="0"/>
        <w:kinsoku/>
        <w:wordWrap/>
        <w:overflowPunct/>
        <w:topLinePunct w:val="0"/>
        <w:autoSpaceDE/>
        <w:autoSpaceDN/>
        <w:bidi w:val="0"/>
        <w:adjustRightInd/>
        <w:snapToGrid/>
        <w:spacing w:beforeLines="0" w:afterLines="0" w:line="360" w:lineRule="auto"/>
        <w:textAlignment w:val="baseline"/>
        <w:rPr>
          <w:rFonts w:hint="eastAsia"/>
          <w:b w:val="0"/>
          <w:bCs w:val="0"/>
          <w:sz w:val="28"/>
          <w:szCs w:val="28"/>
          <w:highlight w:val="none"/>
          <w:lang w:eastAsia="zh-CN"/>
        </w:rPr>
      </w:pPr>
      <w:r>
        <w:rPr>
          <w:rFonts w:hint="eastAsia"/>
          <w:b w:val="0"/>
          <w:bCs w:val="0"/>
          <w:sz w:val="28"/>
          <w:szCs w:val="28"/>
          <w:highlight w:val="none"/>
          <w:lang w:eastAsia="zh-CN"/>
        </w:rPr>
        <w:t>（</w:t>
      </w:r>
      <w:r>
        <w:rPr>
          <w:rFonts w:hint="eastAsia"/>
          <w:b w:val="0"/>
          <w:bCs w:val="0"/>
          <w:sz w:val="28"/>
          <w:szCs w:val="28"/>
          <w:highlight w:val="none"/>
          <w:lang w:val="en-US" w:eastAsia="zh-CN"/>
        </w:rPr>
        <w:t>7</w:t>
      </w:r>
      <w:r>
        <w:rPr>
          <w:rFonts w:hint="eastAsia"/>
          <w:b w:val="0"/>
          <w:bCs w:val="0"/>
          <w:sz w:val="28"/>
          <w:szCs w:val="28"/>
          <w:highlight w:val="none"/>
          <w:lang w:eastAsia="zh-CN"/>
        </w:rPr>
        <w:t>）《徐闻县国土空间总体规划（2021-2035年）》；</w:t>
      </w:r>
    </w:p>
    <w:p w14:paraId="2A4AAD20">
      <w:pPr>
        <w:pStyle w:val="2"/>
        <w:keepNext w:val="0"/>
        <w:keepLines w:val="0"/>
        <w:pageBreakBefore w:val="0"/>
        <w:widowControl w:val="0"/>
        <w:kinsoku/>
        <w:wordWrap/>
        <w:overflowPunct/>
        <w:topLinePunct w:val="0"/>
        <w:autoSpaceDE/>
        <w:autoSpaceDN/>
        <w:bidi w:val="0"/>
        <w:adjustRightInd/>
        <w:snapToGrid/>
        <w:spacing w:beforeLines="0" w:afterLines="0" w:line="360" w:lineRule="auto"/>
        <w:textAlignment w:val="baseline"/>
        <w:rPr>
          <w:rFonts w:hint="eastAsia"/>
          <w:b w:val="0"/>
          <w:bCs w:val="0"/>
          <w:sz w:val="28"/>
          <w:szCs w:val="28"/>
          <w:highlight w:val="none"/>
          <w:lang w:val="en-US" w:eastAsia="zh-CN"/>
        </w:rPr>
      </w:pPr>
      <w:r>
        <w:rPr>
          <w:rFonts w:hint="eastAsia"/>
          <w:b w:val="0"/>
          <w:bCs w:val="0"/>
          <w:sz w:val="28"/>
          <w:szCs w:val="28"/>
          <w:highlight w:val="none"/>
          <w:lang w:eastAsia="zh-CN"/>
        </w:rPr>
        <w:t>（</w:t>
      </w:r>
      <w:r>
        <w:rPr>
          <w:rFonts w:hint="eastAsia"/>
          <w:b w:val="0"/>
          <w:bCs w:val="0"/>
          <w:sz w:val="28"/>
          <w:szCs w:val="28"/>
          <w:highlight w:val="none"/>
          <w:lang w:val="en-US" w:eastAsia="zh-CN"/>
        </w:rPr>
        <w:t>8</w:t>
      </w:r>
      <w:r>
        <w:rPr>
          <w:rFonts w:hint="eastAsia"/>
          <w:b w:val="0"/>
          <w:bCs w:val="0"/>
          <w:sz w:val="28"/>
          <w:szCs w:val="28"/>
          <w:highlight w:val="none"/>
          <w:lang w:eastAsia="zh-CN"/>
        </w:rPr>
        <w:t>）其它有关矿区的自然地理、经济社会资料。</w:t>
      </w:r>
    </w:p>
    <w:p w14:paraId="4498C4DE">
      <w:pPr>
        <w:pStyle w:val="5"/>
        <w:spacing w:before="263" w:after="263"/>
        <w:rPr>
          <w:rFonts w:hint="eastAsia" w:ascii="宋体" w:hAnsi="宋体" w:eastAsia="宋体" w:cs="宋体"/>
          <w:b/>
          <w:bCs w:val="0"/>
        </w:rPr>
      </w:pPr>
      <w:bookmarkStart w:id="44" w:name="_Toc26216"/>
      <w:r>
        <w:rPr>
          <w:rFonts w:hint="eastAsia" w:ascii="宋体" w:hAnsi="宋体" w:eastAsia="宋体" w:cs="宋体"/>
          <w:b/>
          <w:bCs w:val="0"/>
        </w:rPr>
        <w:t>二、服务年限</w:t>
      </w:r>
      <w:bookmarkEnd w:id="44"/>
    </w:p>
    <w:p w14:paraId="33C563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sz w:val="28"/>
          <w:szCs w:val="28"/>
          <w:lang w:val="en-US" w:eastAsia="zh-CN"/>
        </w:rPr>
      </w:pPr>
      <w:r>
        <w:rPr>
          <w:sz w:val="28"/>
          <w:szCs w:val="28"/>
        </w:rPr>
        <w:t>根据《</w:t>
      </w:r>
      <w:r>
        <w:rPr>
          <w:rFonts w:hint="eastAsia"/>
          <w:sz w:val="28"/>
          <w:szCs w:val="28"/>
        </w:rPr>
        <w:t>矿区生态修复方案编制指南（临时）</w:t>
      </w:r>
      <w:r>
        <w:rPr>
          <w:sz w:val="28"/>
          <w:szCs w:val="28"/>
        </w:rPr>
        <w:t>》</w:t>
      </w:r>
      <w:r>
        <w:rPr>
          <w:rFonts w:hint="eastAsia"/>
          <w:sz w:val="28"/>
          <w:szCs w:val="28"/>
          <w:lang w:val="en-US" w:eastAsia="zh-CN"/>
        </w:rPr>
        <w:t>规定</w:t>
      </w:r>
      <w:r>
        <w:rPr>
          <w:sz w:val="28"/>
          <w:szCs w:val="28"/>
        </w:rPr>
        <w:t>，</w:t>
      </w:r>
      <w:r>
        <w:rPr>
          <w:rFonts w:hint="eastAsia"/>
          <w:sz w:val="28"/>
          <w:szCs w:val="28"/>
        </w:rPr>
        <w:t>方案服务年限为采矿权（剩余）有效年限（或拟申请的采矿权有效期限）+采矿权到期后的生态修复工程实施及后期管护期限</w:t>
      </w:r>
      <w:r>
        <w:rPr>
          <w:rFonts w:hint="eastAsia" w:ascii="宋体" w:hAnsi="宋体"/>
          <w:sz w:val="28"/>
          <w:szCs w:val="28"/>
        </w:rPr>
        <w:t>。</w:t>
      </w:r>
    </w:p>
    <w:p w14:paraId="229FC728">
      <w:pPr>
        <w:spacing w:line="360" w:lineRule="auto"/>
        <w:rPr>
          <w:sz w:val="28"/>
          <w:szCs w:val="28"/>
          <w:highlight w:val="none"/>
        </w:rPr>
      </w:pPr>
      <w:r>
        <w:rPr>
          <w:sz w:val="28"/>
          <w:szCs w:val="28"/>
          <w:highlight w:val="none"/>
        </w:rPr>
        <w:t>矿山</w:t>
      </w:r>
      <w:r>
        <w:rPr>
          <w:rFonts w:hint="eastAsia"/>
          <w:sz w:val="28"/>
          <w:szCs w:val="28"/>
          <w:highlight w:val="none"/>
        </w:rPr>
        <w:t>拟申请的采矿权有效期限</w:t>
      </w:r>
      <w:r>
        <w:rPr>
          <w:rFonts w:hint="eastAsia"/>
          <w:sz w:val="28"/>
          <w:szCs w:val="28"/>
          <w:highlight w:val="none"/>
          <w:lang w:val="en-US" w:eastAsia="zh-CN"/>
        </w:rPr>
        <w:t>为6年</w:t>
      </w:r>
      <w:r>
        <w:rPr>
          <w:rFonts w:hint="eastAsia"/>
          <w:sz w:val="28"/>
          <w:szCs w:val="28"/>
          <w:highlight w:val="none"/>
        </w:rPr>
        <w:t>，</w:t>
      </w:r>
      <w:r>
        <w:rPr>
          <w:sz w:val="28"/>
          <w:szCs w:val="28"/>
          <w:highlight w:val="none"/>
        </w:rPr>
        <w:t>矿山生态修复工程实施年限1年</w:t>
      </w:r>
      <w:r>
        <w:rPr>
          <w:rFonts w:hint="eastAsia"/>
          <w:sz w:val="28"/>
          <w:szCs w:val="28"/>
          <w:highlight w:val="none"/>
        </w:rPr>
        <w:t>、</w:t>
      </w:r>
      <w:r>
        <w:rPr>
          <w:rFonts w:hint="eastAsia"/>
          <w:sz w:val="28"/>
          <w:szCs w:val="28"/>
        </w:rPr>
        <w:t>后期管护期限</w:t>
      </w:r>
      <w:r>
        <w:rPr>
          <w:rFonts w:hint="eastAsia"/>
          <w:sz w:val="28"/>
          <w:szCs w:val="28"/>
          <w:highlight w:val="none"/>
        </w:rPr>
        <w:t>3</w:t>
      </w:r>
      <w:r>
        <w:rPr>
          <w:sz w:val="28"/>
          <w:szCs w:val="28"/>
          <w:highlight w:val="none"/>
        </w:rPr>
        <w:t>年，综合确定方案</w:t>
      </w:r>
      <w:r>
        <w:rPr>
          <w:rFonts w:hint="eastAsia"/>
          <w:sz w:val="28"/>
          <w:szCs w:val="28"/>
          <w:highlight w:val="none"/>
        </w:rPr>
        <w:t>服务年限</w:t>
      </w:r>
      <w:r>
        <w:rPr>
          <w:rFonts w:hint="eastAsia"/>
          <w:sz w:val="28"/>
          <w:szCs w:val="28"/>
          <w:highlight w:val="none"/>
          <w:lang w:val="en-US" w:eastAsia="zh-CN"/>
        </w:rPr>
        <w:t>10</w:t>
      </w:r>
      <w:r>
        <w:rPr>
          <w:rFonts w:hint="eastAsia"/>
          <w:sz w:val="28"/>
          <w:szCs w:val="28"/>
          <w:highlight w:val="none"/>
        </w:rPr>
        <w:t>年</w:t>
      </w:r>
      <w:r>
        <w:rPr>
          <w:sz w:val="28"/>
          <w:szCs w:val="28"/>
          <w:highlight w:val="none"/>
        </w:rPr>
        <w:t>，方案基准年</w:t>
      </w:r>
      <w:r>
        <w:rPr>
          <w:rFonts w:hint="eastAsia"/>
          <w:sz w:val="28"/>
          <w:szCs w:val="28"/>
          <w:highlight w:val="none"/>
          <w:lang w:val="en-US" w:eastAsia="zh-CN"/>
        </w:rPr>
        <w:t>暂</w:t>
      </w:r>
      <w:r>
        <w:rPr>
          <w:sz w:val="28"/>
          <w:szCs w:val="28"/>
          <w:highlight w:val="none"/>
        </w:rPr>
        <w:t>定为202</w:t>
      </w:r>
      <w:r>
        <w:rPr>
          <w:rFonts w:hint="eastAsia"/>
          <w:sz w:val="28"/>
          <w:szCs w:val="28"/>
          <w:highlight w:val="none"/>
        </w:rPr>
        <w:t>6</w:t>
      </w:r>
      <w:r>
        <w:rPr>
          <w:sz w:val="28"/>
          <w:szCs w:val="28"/>
          <w:highlight w:val="none"/>
        </w:rPr>
        <w:t>年</w:t>
      </w:r>
      <w:r>
        <w:rPr>
          <w:rFonts w:hint="eastAsia"/>
          <w:sz w:val="28"/>
          <w:szCs w:val="28"/>
          <w:highlight w:val="none"/>
          <w:lang w:eastAsia="zh-CN"/>
        </w:rPr>
        <w:t>，实际以矿山正式建设日算起</w:t>
      </w:r>
      <w:r>
        <w:rPr>
          <w:sz w:val="28"/>
          <w:szCs w:val="28"/>
          <w:highlight w:val="none"/>
        </w:rPr>
        <w:t>。</w:t>
      </w:r>
      <w:bookmarkEnd w:id="25"/>
      <w:bookmarkEnd w:id="26"/>
      <w:bookmarkEnd w:id="27"/>
      <w:bookmarkEnd w:id="28"/>
      <w:bookmarkEnd w:id="29"/>
      <w:bookmarkEnd w:id="30"/>
      <w:bookmarkEnd w:id="31"/>
      <w:bookmarkEnd w:id="32"/>
      <w:bookmarkEnd w:id="33"/>
      <w:bookmarkEnd w:id="34"/>
      <w:bookmarkEnd w:id="35"/>
      <w:r>
        <w:rPr>
          <w:rFonts w:hint="eastAsia"/>
          <w:sz w:val="28"/>
          <w:szCs w:val="28"/>
          <w:highlight w:val="none"/>
        </w:rPr>
        <w:t>建议采矿权人依据相关法律法规和政策要求，结合企业具体情况和生产计划，对本方案每5年修订一次。</w:t>
      </w:r>
    </w:p>
    <w:p w14:paraId="10801F5C">
      <w:pPr>
        <w:spacing w:line="360" w:lineRule="auto"/>
        <w:rPr>
          <w:sz w:val="28"/>
          <w:szCs w:val="28"/>
          <w:highlight w:val="none"/>
        </w:rPr>
        <w:sectPr>
          <w:headerReference r:id="rId11" w:type="default"/>
          <w:footerReference r:id="rId12" w:type="default"/>
          <w:pgSz w:w="11906" w:h="16838"/>
          <w:pgMar w:top="1701" w:right="1417" w:bottom="1417" w:left="1701" w:header="1134" w:footer="992" w:gutter="0"/>
          <w:pgBorders>
            <w:top w:val="none" w:sz="0" w:space="0"/>
            <w:left w:val="none" w:sz="0" w:space="0"/>
            <w:bottom w:val="none" w:sz="0" w:space="0"/>
            <w:right w:val="none" w:sz="0" w:space="0"/>
          </w:pgBorders>
          <w:pgNumType w:fmt="decimal" w:start="1"/>
          <w:cols w:space="0" w:num="1"/>
          <w:rtlGutter w:val="0"/>
          <w:docGrid w:type="lines" w:linePitch="404" w:charSpace="0"/>
        </w:sectPr>
      </w:pPr>
    </w:p>
    <w:p w14:paraId="1E3FC106">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45" w:name="_Toc509344813"/>
      <w:bookmarkStart w:id="46" w:name="_Toc46047431"/>
      <w:bookmarkStart w:id="47" w:name="_Toc502684769"/>
      <w:bookmarkStart w:id="48" w:name="_Toc24100_WPSOffice_Level1"/>
      <w:bookmarkStart w:id="49" w:name="_Toc502045750"/>
      <w:bookmarkStart w:id="50" w:name="_Toc502063928"/>
      <w:bookmarkStart w:id="51" w:name="_Toc514858652"/>
      <w:bookmarkStart w:id="52" w:name="_Toc510594054"/>
      <w:bookmarkStart w:id="53" w:name="_Toc509345101"/>
      <w:bookmarkStart w:id="54" w:name="_Toc8490_WPSOffice_Level1"/>
      <w:bookmarkStart w:id="55" w:name="_Toc509344997"/>
      <w:bookmarkStart w:id="56" w:name="_Toc502047589"/>
      <w:bookmarkStart w:id="57" w:name="_Toc13030_WPSOffice_Level1"/>
      <w:bookmarkStart w:id="58" w:name="_Toc502044976"/>
      <w:bookmarkStart w:id="59" w:name="_Toc502047793"/>
      <w:bookmarkStart w:id="60" w:name="_Toc14600"/>
      <w:r>
        <w:t>第</w:t>
      </w:r>
      <w:r>
        <w:rPr>
          <w:rFonts w:hint="eastAsia"/>
        </w:rPr>
        <w:t>一</w:t>
      </w:r>
      <w:r>
        <w:t>章</w:t>
      </w:r>
      <w:r>
        <w:rPr>
          <w:rFonts w:hint="eastAsia"/>
        </w:rPr>
        <w:t xml:space="preserve">  </w:t>
      </w:r>
      <w:r>
        <w:t>矿山基本情况</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EDCCA4A">
      <w:pPr>
        <w:pStyle w:val="5"/>
        <w:spacing w:before="263" w:after="263" w:line="360" w:lineRule="auto"/>
        <w:rPr>
          <w:rFonts w:hint="eastAsia" w:ascii="宋体" w:hAnsi="宋体" w:eastAsia="宋体" w:cs="宋体"/>
          <w:b/>
          <w:bCs w:val="0"/>
        </w:rPr>
      </w:pPr>
      <w:bookmarkStart w:id="61" w:name="_Toc3965"/>
      <w:r>
        <w:rPr>
          <w:rFonts w:hint="eastAsia" w:ascii="宋体" w:hAnsi="宋体" w:eastAsia="宋体" w:cs="宋体"/>
          <w:b/>
          <w:bCs w:val="0"/>
        </w:rPr>
        <w:t>一、矿业权人基本情况</w:t>
      </w:r>
      <w:bookmarkEnd w:id="61"/>
    </w:p>
    <w:p w14:paraId="093CDED7">
      <w:pPr>
        <w:spacing w:line="360" w:lineRule="auto"/>
        <w:rPr>
          <w:rFonts w:hint="eastAsia"/>
          <w:sz w:val="28"/>
          <w:szCs w:val="28"/>
          <w:lang w:val="en-US" w:eastAsia="zh-CN"/>
        </w:rPr>
      </w:pPr>
      <w:r>
        <w:rPr>
          <w:rFonts w:hint="eastAsia"/>
          <w:sz w:val="28"/>
          <w:szCs w:val="28"/>
          <w:lang w:val="en-US" w:eastAsia="zh-CN"/>
        </w:rPr>
        <w:t>2025年6月徐闻县自然资源局对广东省徐闻县城北乡迈报（西山坑）矿区建筑用玄武岩矿采矿权进行了挂牌出让，由广东扬意建筑工程有限公司竞得该采矿权。</w:t>
      </w:r>
    </w:p>
    <w:p w14:paraId="2333F396">
      <w:pPr>
        <w:spacing w:line="360" w:lineRule="auto"/>
        <w:rPr>
          <w:rFonts w:hint="eastAsia"/>
          <w:sz w:val="28"/>
          <w:szCs w:val="28"/>
        </w:rPr>
      </w:pPr>
      <w:r>
        <w:rPr>
          <w:rFonts w:hint="eastAsia"/>
          <w:sz w:val="28"/>
          <w:szCs w:val="28"/>
        </w:rPr>
        <w:t>采矿权人：</w:t>
      </w:r>
      <w:r>
        <w:rPr>
          <w:rFonts w:hint="eastAsia"/>
          <w:sz w:val="28"/>
          <w:szCs w:val="28"/>
          <w:lang w:val="en-US" w:eastAsia="zh-CN"/>
        </w:rPr>
        <w:t>广东扬意建筑工程</w:t>
      </w:r>
      <w:r>
        <w:rPr>
          <w:rFonts w:hint="eastAsia"/>
          <w:sz w:val="28"/>
          <w:szCs w:val="28"/>
        </w:rPr>
        <w:t>有限公司</w:t>
      </w:r>
    </w:p>
    <w:p w14:paraId="31A7FE5F">
      <w:pPr>
        <w:spacing w:line="360" w:lineRule="auto"/>
        <w:rPr>
          <w:rFonts w:hint="eastAsia"/>
          <w:sz w:val="28"/>
          <w:szCs w:val="28"/>
        </w:rPr>
      </w:pPr>
      <w:r>
        <w:rPr>
          <w:rFonts w:hint="eastAsia"/>
          <w:sz w:val="28"/>
          <w:szCs w:val="28"/>
        </w:rPr>
        <w:t>矿山名称：广东省徐闻县城北乡迈报(西山坑)矿区建筑用玄武岩矿</w:t>
      </w:r>
    </w:p>
    <w:p w14:paraId="37D7C773">
      <w:pPr>
        <w:spacing w:line="360" w:lineRule="auto"/>
        <w:rPr>
          <w:rFonts w:hint="default"/>
          <w:sz w:val="28"/>
          <w:szCs w:val="28"/>
          <w:lang w:val="en-US" w:eastAsia="zh-CN"/>
        </w:rPr>
      </w:pPr>
      <w:r>
        <w:rPr>
          <w:rFonts w:hint="eastAsia"/>
          <w:sz w:val="28"/>
          <w:szCs w:val="28"/>
        </w:rPr>
        <w:t>企业性质：</w:t>
      </w:r>
      <w:r>
        <w:rPr>
          <w:rFonts w:hint="eastAsia"/>
          <w:sz w:val="28"/>
          <w:szCs w:val="28"/>
          <w:lang w:val="en-US" w:eastAsia="zh-CN"/>
        </w:rPr>
        <w:t>有限责任公司</w:t>
      </w:r>
    </w:p>
    <w:p w14:paraId="5273E68E">
      <w:pPr>
        <w:spacing w:line="360" w:lineRule="auto"/>
        <w:rPr>
          <w:rFonts w:hint="eastAsia"/>
          <w:sz w:val="28"/>
          <w:szCs w:val="28"/>
        </w:rPr>
      </w:pPr>
      <w:r>
        <w:rPr>
          <w:rFonts w:hint="eastAsia"/>
          <w:sz w:val="28"/>
          <w:szCs w:val="28"/>
        </w:rPr>
        <w:t>矿区面积：0.1012 km</w:t>
      </w:r>
      <w:r>
        <w:rPr>
          <w:rFonts w:hint="eastAsia"/>
          <w:sz w:val="28"/>
          <w:szCs w:val="28"/>
          <w:vertAlign w:val="superscript"/>
        </w:rPr>
        <w:t>2</w:t>
      </w:r>
    </w:p>
    <w:p w14:paraId="6AB6AEA5">
      <w:pPr>
        <w:spacing w:line="360" w:lineRule="auto"/>
        <w:rPr>
          <w:rFonts w:hint="eastAsia"/>
          <w:sz w:val="28"/>
          <w:szCs w:val="28"/>
        </w:rPr>
      </w:pPr>
      <w:r>
        <w:rPr>
          <w:rFonts w:hint="eastAsia"/>
          <w:sz w:val="28"/>
          <w:szCs w:val="28"/>
        </w:rPr>
        <w:t>开采矿种：建筑用玄武岩</w:t>
      </w:r>
    </w:p>
    <w:p w14:paraId="6B0AA67C">
      <w:pPr>
        <w:spacing w:line="360" w:lineRule="auto"/>
        <w:rPr>
          <w:rFonts w:hint="eastAsia"/>
          <w:sz w:val="28"/>
          <w:szCs w:val="28"/>
        </w:rPr>
      </w:pPr>
      <w:r>
        <w:rPr>
          <w:rFonts w:hint="eastAsia"/>
          <w:sz w:val="28"/>
          <w:szCs w:val="28"/>
        </w:rPr>
        <w:t>开采方式：</w:t>
      </w:r>
      <w:r>
        <w:rPr>
          <w:sz w:val="28"/>
          <w:szCs w:val="28"/>
        </w:rPr>
        <w:t>露天开采</w:t>
      </w:r>
    </w:p>
    <w:p w14:paraId="1EA08F66">
      <w:pPr>
        <w:spacing w:line="360" w:lineRule="auto"/>
        <w:rPr>
          <w:rFonts w:hint="eastAsia"/>
          <w:sz w:val="28"/>
          <w:szCs w:val="28"/>
        </w:rPr>
      </w:pPr>
      <w:r>
        <w:rPr>
          <w:rFonts w:hint="eastAsia"/>
          <w:sz w:val="28"/>
          <w:szCs w:val="28"/>
        </w:rPr>
        <w:t>开采标高：+59m至+30m</w:t>
      </w:r>
      <w:r>
        <w:rPr>
          <w:sz w:val="28"/>
          <w:szCs w:val="28"/>
        </w:rPr>
        <w:t xml:space="preserve"> </w:t>
      </w:r>
    </w:p>
    <w:p w14:paraId="5343E5A3">
      <w:pPr>
        <w:spacing w:line="360" w:lineRule="auto"/>
        <w:rPr>
          <w:sz w:val="28"/>
          <w:szCs w:val="28"/>
        </w:rPr>
      </w:pPr>
      <w:r>
        <w:rPr>
          <w:rFonts w:hint="eastAsia"/>
          <w:sz w:val="28"/>
          <w:szCs w:val="28"/>
        </w:rPr>
        <w:t>生产规模：</w:t>
      </w:r>
      <w:r>
        <w:rPr>
          <w:rFonts w:hint="eastAsia"/>
          <w:sz w:val="28"/>
          <w:szCs w:val="28"/>
          <w:lang w:val="en-US" w:eastAsia="zh-CN"/>
        </w:rPr>
        <w:t>15</w:t>
      </w:r>
      <w:r>
        <w:rPr>
          <w:rFonts w:hint="eastAsia"/>
          <w:sz w:val="28"/>
          <w:szCs w:val="28"/>
        </w:rPr>
        <w:t>万</w:t>
      </w:r>
      <w:r>
        <w:rPr>
          <w:sz w:val="28"/>
          <w:szCs w:val="28"/>
        </w:rPr>
        <w:t>m</w:t>
      </w:r>
      <w:r>
        <w:rPr>
          <w:sz w:val="28"/>
          <w:szCs w:val="28"/>
          <w:vertAlign w:val="superscript"/>
        </w:rPr>
        <w:t>3</w:t>
      </w:r>
      <w:r>
        <w:rPr>
          <w:sz w:val="28"/>
          <w:szCs w:val="28"/>
        </w:rPr>
        <w:t>/a</w:t>
      </w:r>
    </w:p>
    <w:p w14:paraId="5ACAB1A5">
      <w:pPr>
        <w:spacing w:line="360" w:lineRule="auto"/>
        <w:rPr>
          <w:rFonts w:hint="default" w:eastAsia="宋体"/>
          <w:sz w:val="28"/>
          <w:szCs w:val="28"/>
          <w:lang w:val="en-US" w:eastAsia="zh-CN"/>
        </w:rPr>
      </w:pPr>
      <w:r>
        <w:rPr>
          <w:rFonts w:hint="eastAsia"/>
          <w:sz w:val="28"/>
          <w:szCs w:val="28"/>
        </w:rPr>
        <w:t>矿山服务年限：</w:t>
      </w:r>
      <w:r>
        <w:rPr>
          <w:rFonts w:hint="eastAsia"/>
          <w:sz w:val="28"/>
          <w:szCs w:val="28"/>
          <w:lang w:val="en-US" w:eastAsia="zh-CN"/>
        </w:rPr>
        <w:t>待采矿许可证颁发确定</w:t>
      </w:r>
    </w:p>
    <w:p w14:paraId="5F625E22">
      <w:pPr>
        <w:pStyle w:val="5"/>
        <w:spacing w:before="263" w:after="263" w:line="360" w:lineRule="auto"/>
        <w:rPr>
          <w:rFonts w:hint="eastAsia" w:ascii="宋体" w:hAnsi="宋体" w:eastAsia="宋体" w:cs="宋体"/>
          <w:b/>
          <w:bCs w:val="0"/>
        </w:rPr>
      </w:pPr>
      <w:bookmarkStart w:id="62" w:name="_Toc514858654"/>
      <w:bookmarkStart w:id="63" w:name="_Toc510594056"/>
      <w:bookmarkStart w:id="64" w:name="_Toc7272_WPSOffice_Level2"/>
      <w:bookmarkStart w:id="65" w:name="_Toc509344999"/>
      <w:bookmarkStart w:id="66" w:name="_Toc509344815"/>
      <w:bookmarkStart w:id="67" w:name="_Toc18524_WPSOffice_Level2"/>
      <w:bookmarkStart w:id="68" w:name="_Toc46047433"/>
      <w:bookmarkStart w:id="69" w:name="_Toc18958"/>
      <w:bookmarkStart w:id="70" w:name="_Toc995_WPSOffice_Level2"/>
      <w:bookmarkStart w:id="71" w:name="_Toc509345103"/>
      <w:r>
        <w:rPr>
          <w:rFonts w:hint="eastAsia" w:ascii="宋体" w:hAnsi="宋体" w:eastAsia="宋体" w:cs="宋体"/>
          <w:b/>
          <w:bCs w:val="0"/>
        </w:rPr>
        <w:t>二、地理位置与区域概况</w:t>
      </w:r>
      <w:bookmarkEnd w:id="62"/>
      <w:bookmarkEnd w:id="63"/>
      <w:bookmarkEnd w:id="64"/>
      <w:bookmarkEnd w:id="65"/>
      <w:bookmarkEnd w:id="66"/>
      <w:bookmarkEnd w:id="67"/>
      <w:bookmarkEnd w:id="68"/>
      <w:bookmarkEnd w:id="69"/>
      <w:bookmarkEnd w:id="70"/>
      <w:bookmarkEnd w:id="71"/>
    </w:p>
    <w:p w14:paraId="5BC22201">
      <w:pPr>
        <w:spacing w:line="360" w:lineRule="auto"/>
        <w:ind w:firstLine="480"/>
        <w:rPr>
          <w:rFonts w:hint="eastAsia" w:ascii="宋体" w:hAnsi="宋体" w:eastAsia="宋体" w:cs="宋体"/>
          <w:sz w:val="28"/>
          <w:szCs w:val="28"/>
        </w:rPr>
      </w:pPr>
      <w:bookmarkStart w:id="72" w:name="_Toc502047593"/>
      <w:bookmarkStart w:id="73" w:name="_Toc502063932"/>
      <w:bookmarkStart w:id="74" w:name="_Toc502047797"/>
      <w:bookmarkStart w:id="75" w:name="_Toc502045754"/>
      <w:bookmarkStart w:id="76" w:name="_Toc502044980"/>
      <w:bookmarkStart w:id="77" w:name="_Toc502684771"/>
      <w:r>
        <w:rPr>
          <w:rFonts w:hint="eastAsia" w:ascii="宋体" w:hAnsi="宋体" w:eastAsia="宋体" w:cs="宋体"/>
          <w:sz w:val="28"/>
          <w:szCs w:val="28"/>
        </w:rPr>
        <w:t>广东省徐闻县城北乡迈报(西山坑)矿区建筑用玄武岩矿位于广东省徐闻县城305°方向</w:t>
      </w:r>
      <w:r>
        <w:rPr>
          <w:rFonts w:hint="eastAsia" w:ascii="宋体" w:hAnsi="宋体" w:eastAsia="宋体" w:cs="宋体"/>
          <w:snapToGrid w:val="0"/>
          <w:kern w:val="0"/>
          <w:sz w:val="28"/>
          <w:szCs w:val="28"/>
        </w:rPr>
        <w:t>，直距约12km处</w:t>
      </w:r>
      <w:r>
        <w:rPr>
          <w:rFonts w:hint="eastAsia" w:ascii="宋体" w:hAnsi="宋体" w:eastAsia="宋体" w:cs="宋体"/>
          <w:sz w:val="28"/>
          <w:szCs w:val="28"/>
        </w:rPr>
        <w:t>。地理坐标东经：110°05′05"～110°05′16"，北纬：20°22′57"～20°23′13"。行政上隶属徐闻县城北乡管辖。矿区有长约8.4km的简易公路通往207国道，沿207国道向东南约6.5km到达徐闻县城；向北约8km到达下桥镇，交通条件便利(详见图1-1）。</w:t>
      </w:r>
    </w:p>
    <w:p w14:paraId="2B5EC8E2">
      <w:pPr>
        <w:pStyle w:val="2"/>
        <w:keepNext w:val="0"/>
        <w:keepLines w:val="0"/>
        <w:pageBreakBefore w:val="0"/>
        <w:widowControl w:val="0"/>
        <w:kinsoku/>
        <w:wordWrap/>
        <w:overflowPunct/>
        <w:topLinePunct w:val="0"/>
        <w:autoSpaceDE/>
        <w:autoSpaceDN/>
        <w:bidi w:val="0"/>
        <w:adjustRightInd w:val="0"/>
        <w:snapToGrid/>
        <w:spacing w:beforeLines="0" w:afterLines="0" w:line="240" w:lineRule="auto"/>
        <w:ind w:firstLine="0" w:firstLineChars="0"/>
        <w:jc w:val="center"/>
        <w:textAlignment w:val="baseline"/>
        <w:rPr>
          <w:rFonts w:hint="eastAsia" w:eastAsia="宋体"/>
          <w:lang w:eastAsia="zh-CN"/>
        </w:rPr>
      </w:pPr>
      <w:r>
        <w:rPr>
          <w:rFonts w:hint="eastAsia" w:eastAsia="宋体"/>
          <w:lang w:eastAsia="zh-CN"/>
        </w:rPr>
        <w:drawing>
          <wp:inline distT="0" distB="0" distL="114300" distR="114300">
            <wp:extent cx="4305300" cy="5306695"/>
            <wp:effectExtent l="9525" t="9525" r="13335" b="17780"/>
            <wp:docPr id="14" name="图片 14" descr="交通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交通位置图"/>
                    <pic:cNvPicPr>
                      <a:picLocks noChangeAspect="1"/>
                    </pic:cNvPicPr>
                  </pic:nvPicPr>
                  <pic:blipFill>
                    <a:blip r:embed="rId20"/>
                    <a:stretch>
                      <a:fillRect/>
                    </a:stretch>
                  </pic:blipFill>
                  <pic:spPr>
                    <a:xfrm>
                      <a:off x="0" y="0"/>
                      <a:ext cx="4305300" cy="5306695"/>
                    </a:xfrm>
                    <a:prstGeom prst="rect">
                      <a:avLst/>
                    </a:prstGeom>
                    <a:ln>
                      <a:solidFill>
                        <a:schemeClr val="tx1"/>
                      </a:solidFill>
                    </a:ln>
                  </pic:spPr>
                </pic:pic>
              </a:graphicData>
            </a:graphic>
          </wp:inline>
        </w:drawing>
      </w:r>
    </w:p>
    <w:p w14:paraId="1F2BDCC7">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宋体" w:hAnsi="宋体" w:eastAsia="宋体" w:cs="宋体"/>
          <w:b/>
          <w:bCs w:val="0"/>
          <w:lang w:eastAsia="zh-CN"/>
        </w:rPr>
      </w:pPr>
      <w:r>
        <w:rPr>
          <w:rFonts w:hint="eastAsia" w:ascii="宋体" w:hAnsi="宋体" w:eastAsia="宋体" w:cs="宋体"/>
          <w:b/>
          <w:bCs w:val="0"/>
          <w:sz w:val="21"/>
          <w:szCs w:val="21"/>
        </w:rPr>
        <w:t>图1-1</w:t>
      </w:r>
      <w:r>
        <w:rPr>
          <w:rFonts w:hint="eastAsia" w:ascii="宋体" w:hAnsi="宋体" w:eastAsia="宋体" w:cs="宋体"/>
          <w:b/>
          <w:bCs w:val="0"/>
          <w:sz w:val="21"/>
          <w:szCs w:val="21"/>
          <w:lang w:val="en-US" w:eastAsia="zh-CN"/>
        </w:rPr>
        <w:t xml:space="preserve">  矿区</w:t>
      </w:r>
      <w:r>
        <w:rPr>
          <w:rFonts w:hint="eastAsia" w:ascii="宋体" w:hAnsi="宋体" w:eastAsia="宋体" w:cs="宋体"/>
          <w:b/>
          <w:bCs w:val="0"/>
          <w:sz w:val="21"/>
          <w:szCs w:val="21"/>
        </w:rPr>
        <w:t>交通位置图</w:t>
      </w:r>
    </w:p>
    <w:p w14:paraId="55FD2A72">
      <w:pPr>
        <w:pStyle w:val="5"/>
        <w:keepNext w:val="0"/>
        <w:keepLines w:val="0"/>
        <w:pageBreakBefore w:val="0"/>
        <w:widowControl w:val="0"/>
        <w:kinsoku/>
        <w:wordWrap/>
        <w:overflowPunct/>
        <w:topLinePunct w:val="0"/>
        <w:autoSpaceDE/>
        <w:autoSpaceDN/>
        <w:bidi w:val="0"/>
        <w:adjustRightInd/>
        <w:snapToGrid/>
        <w:spacing w:before="263" w:after="0" w:afterLines="0" w:line="360" w:lineRule="auto"/>
        <w:textAlignment w:val="auto"/>
        <w:rPr>
          <w:rFonts w:hint="eastAsia" w:ascii="宋体" w:hAnsi="宋体" w:eastAsia="宋体" w:cs="宋体"/>
          <w:b/>
          <w:bCs w:val="0"/>
        </w:rPr>
      </w:pPr>
      <w:bookmarkStart w:id="78" w:name="_Toc9660"/>
      <w:bookmarkStart w:id="79" w:name="_Toc510594057"/>
      <w:bookmarkStart w:id="80" w:name="_Toc4096_WPSOffice_Level2"/>
      <w:bookmarkStart w:id="81" w:name="_Toc10949_WPSOffice_Level2"/>
      <w:bookmarkStart w:id="82" w:name="_Toc17577_WPSOffice_Level2"/>
      <w:bookmarkStart w:id="83" w:name="_Toc509345104"/>
      <w:bookmarkStart w:id="84" w:name="_Toc514858655"/>
      <w:bookmarkStart w:id="85" w:name="_Toc509344816"/>
      <w:bookmarkStart w:id="86" w:name="_Toc509345000"/>
      <w:bookmarkStart w:id="87" w:name="_Toc46047434"/>
      <w:r>
        <w:rPr>
          <w:rFonts w:hint="eastAsia" w:ascii="宋体" w:hAnsi="宋体" w:eastAsia="宋体" w:cs="宋体"/>
          <w:b/>
          <w:bCs w:val="0"/>
        </w:rPr>
        <w:t>三、矿山开采历史及现状</w:t>
      </w:r>
      <w:bookmarkEnd w:id="78"/>
      <w:bookmarkEnd w:id="79"/>
      <w:bookmarkEnd w:id="80"/>
      <w:bookmarkEnd w:id="81"/>
      <w:bookmarkEnd w:id="82"/>
      <w:bookmarkEnd w:id="83"/>
      <w:bookmarkEnd w:id="84"/>
      <w:bookmarkEnd w:id="85"/>
      <w:bookmarkEnd w:id="86"/>
      <w:bookmarkEnd w:id="87"/>
    </w:p>
    <w:p w14:paraId="4BEF25D2">
      <w:pPr>
        <w:pStyle w:val="6"/>
        <w:spacing w:before="131" w:after="131" w:line="240" w:lineRule="auto"/>
        <w:rPr>
          <w:rFonts w:hint="eastAsia" w:ascii="宋体" w:hAnsi="宋体" w:eastAsia="宋体" w:cs="宋体"/>
          <w:b/>
          <w:bCs/>
        </w:rPr>
      </w:pPr>
      <w:r>
        <w:rPr>
          <w:rFonts w:hint="eastAsia" w:ascii="宋体" w:hAnsi="宋体" w:eastAsia="宋体" w:cs="宋体"/>
          <w:b/>
          <w:bCs/>
        </w:rPr>
        <w:t>（一）矿山开采历史</w:t>
      </w:r>
    </w:p>
    <w:p w14:paraId="28D8A5B9">
      <w:pPr>
        <w:spacing w:line="360" w:lineRule="auto"/>
        <w:ind w:firstLine="560"/>
        <w:rPr>
          <w:sz w:val="28"/>
          <w:szCs w:val="28"/>
        </w:rPr>
      </w:pPr>
      <w:r>
        <w:rPr>
          <w:rFonts w:hint="eastAsia"/>
          <w:sz w:val="28"/>
          <w:szCs w:val="28"/>
        </w:rPr>
        <w:t>拟设矿区内偏南面有历史</w:t>
      </w:r>
      <w:r>
        <w:rPr>
          <w:rFonts w:hint="eastAsia"/>
          <w:sz w:val="28"/>
          <w:szCs w:val="28"/>
          <w:lang w:val="en-US" w:eastAsia="zh-CN"/>
        </w:rPr>
        <w:t>采坑一</w:t>
      </w:r>
      <w:r>
        <w:rPr>
          <w:rFonts w:hint="eastAsia"/>
          <w:sz w:val="28"/>
          <w:szCs w:val="28"/>
        </w:rPr>
        <w:t>（图1-2），面积约为20</w:t>
      </w:r>
      <w:r>
        <w:rPr>
          <w:rFonts w:hint="eastAsia"/>
          <w:sz w:val="28"/>
          <w:szCs w:val="28"/>
          <w:lang w:val="en-US" w:eastAsia="zh-CN"/>
        </w:rPr>
        <w:t>378</w:t>
      </w:r>
      <w:r>
        <w:rPr>
          <w:rFonts w:hint="eastAsia"/>
          <w:sz w:val="28"/>
          <w:szCs w:val="28"/>
        </w:rPr>
        <w:t>m</w:t>
      </w:r>
      <w:r>
        <w:rPr>
          <w:rFonts w:hint="eastAsia"/>
          <w:sz w:val="28"/>
          <w:szCs w:val="28"/>
          <w:vertAlign w:val="superscript"/>
        </w:rPr>
        <w:t>2</w:t>
      </w:r>
      <w:r>
        <w:rPr>
          <w:rFonts w:hint="eastAsia"/>
          <w:sz w:val="28"/>
          <w:szCs w:val="28"/>
        </w:rPr>
        <w:t>。采空区为拟设矿区西南面约20m处的原广东省徐闻县城北乡迈报矿区</w:t>
      </w:r>
      <w:r>
        <w:rPr>
          <w:sz w:val="28"/>
          <w:szCs w:val="32"/>
        </w:rPr>
        <w:t>越界开采</w:t>
      </w:r>
      <w:r>
        <w:rPr>
          <w:rFonts w:hint="eastAsia"/>
          <w:sz w:val="28"/>
          <w:szCs w:val="32"/>
        </w:rPr>
        <w:t>所造成，采坑最低标高约为20m，形成3级台阶，台阶标高为分别56m、40m、20m，台阶高差7～20m，台阶坡面角49～53°</w:t>
      </w:r>
      <w:r>
        <w:rPr>
          <w:rFonts w:hint="eastAsia"/>
          <w:sz w:val="28"/>
          <w:szCs w:val="32"/>
          <w:lang w:eastAsia="zh-CN"/>
        </w:rPr>
        <w:t>，</w:t>
      </w:r>
      <w:r>
        <w:rPr>
          <w:rFonts w:hint="eastAsia"/>
          <w:sz w:val="28"/>
          <w:szCs w:val="32"/>
          <w:lang w:val="en-US" w:eastAsia="zh-CN"/>
        </w:rPr>
        <w:t>水面标高53.87m</w:t>
      </w:r>
      <w:r>
        <w:rPr>
          <w:rFonts w:hint="eastAsia"/>
          <w:sz w:val="28"/>
          <w:szCs w:val="32"/>
        </w:rPr>
        <w:t>。越界开采造成的资源消耗已被徐闻县国土资源局处罚（徐国土资（执法）[2018]122号）</w:t>
      </w:r>
      <w:r>
        <w:rPr>
          <w:rFonts w:hint="eastAsia"/>
          <w:sz w:val="28"/>
          <w:szCs w:val="32"/>
          <w:highlight w:val="none"/>
        </w:rPr>
        <w:t>。</w:t>
      </w:r>
      <w:r>
        <w:rPr>
          <w:rFonts w:hint="eastAsia"/>
          <w:sz w:val="28"/>
          <w:szCs w:val="32"/>
        </w:rPr>
        <w:t>原</w:t>
      </w:r>
      <w:r>
        <w:rPr>
          <w:rFonts w:hint="eastAsia"/>
          <w:sz w:val="28"/>
          <w:szCs w:val="28"/>
        </w:rPr>
        <w:t>广东省徐闻县城北乡迈报矿区</w:t>
      </w:r>
      <w:r>
        <w:rPr>
          <w:rFonts w:hint="eastAsia"/>
          <w:sz w:val="28"/>
          <w:szCs w:val="32"/>
        </w:rPr>
        <w:t>领取的采矿许可证有效期为2017年3月1日至2024年3月1日，因矿区范围内一部分土地无法取得相关租赁权，采矿权人已放弃采矿权，矿山申请提前闭坑。2019年10月18日起停止了一切采矿活动</w:t>
      </w:r>
      <w:r>
        <w:rPr>
          <w:sz w:val="28"/>
          <w:szCs w:val="28"/>
        </w:rPr>
        <w:t>。</w:t>
      </w:r>
    </w:p>
    <w:p w14:paraId="25277F30">
      <w:pPr>
        <w:spacing w:line="360" w:lineRule="auto"/>
        <w:ind w:firstLine="560"/>
        <w:rPr>
          <w:sz w:val="28"/>
          <w:szCs w:val="28"/>
        </w:rPr>
      </w:pPr>
      <w:r>
        <w:rPr>
          <w:rFonts w:hint="eastAsia"/>
          <w:sz w:val="28"/>
          <w:szCs w:val="28"/>
        </w:rPr>
        <w:t>拟设矿区范围外西南面约20m处有原</w:t>
      </w:r>
      <w:r>
        <w:rPr>
          <w:sz w:val="28"/>
          <w:szCs w:val="28"/>
        </w:rPr>
        <w:t>徐闻县城北乡迈报矿区建筑用玄武岩矿</w:t>
      </w:r>
      <w:r>
        <w:rPr>
          <w:rFonts w:hint="eastAsia"/>
          <w:sz w:val="28"/>
          <w:szCs w:val="28"/>
        </w:rPr>
        <w:t>（现已闭坑）采坑</w:t>
      </w:r>
      <w:r>
        <w:rPr>
          <w:rFonts w:hint="eastAsia"/>
          <w:sz w:val="28"/>
          <w:szCs w:val="28"/>
          <w:lang w:val="en-US" w:eastAsia="zh-CN"/>
        </w:rPr>
        <w:t>二</w:t>
      </w:r>
      <w:r>
        <w:rPr>
          <w:rFonts w:hint="eastAsia"/>
          <w:sz w:val="28"/>
          <w:szCs w:val="28"/>
        </w:rPr>
        <w:t>，面积约为</w:t>
      </w:r>
      <w:r>
        <w:rPr>
          <w:rFonts w:hint="eastAsia"/>
          <w:sz w:val="28"/>
          <w:szCs w:val="28"/>
          <w:lang w:val="en-US" w:eastAsia="zh-CN"/>
        </w:rPr>
        <w:t>24635</w:t>
      </w:r>
      <w:r>
        <w:rPr>
          <w:rFonts w:hint="eastAsia"/>
          <w:sz w:val="28"/>
          <w:szCs w:val="28"/>
        </w:rPr>
        <w:t>m</w:t>
      </w:r>
      <w:r>
        <w:rPr>
          <w:rFonts w:hint="eastAsia"/>
          <w:sz w:val="28"/>
          <w:szCs w:val="28"/>
          <w:vertAlign w:val="superscript"/>
        </w:rPr>
        <w:t>2</w:t>
      </w:r>
      <w:r>
        <w:rPr>
          <w:rFonts w:hint="eastAsia"/>
          <w:sz w:val="28"/>
          <w:szCs w:val="28"/>
        </w:rPr>
        <w:t>，最低处标高</w:t>
      </w:r>
      <w:r>
        <w:rPr>
          <w:sz w:val="28"/>
          <w:szCs w:val="28"/>
        </w:rPr>
        <w:t>35.65</w:t>
      </w:r>
      <w:r>
        <w:rPr>
          <w:rFonts w:hint="eastAsia"/>
          <w:sz w:val="28"/>
          <w:szCs w:val="28"/>
        </w:rPr>
        <w:t>m，坑内有积水约5m深，水面标高约</w:t>
      </w:r>
      <w:r>
        <w:rPr>
          <w:rFonts w:hint="eastAsia"/>
          <w:sz w:val="28"/>
          <w:szCs w:val="28"/>
          <w:lang w:val="en-US" w:eastAsia="zh-CN"/>
        </w:rPr>
        <w:t>51.33</w:t>
      </w:r>
      <w:r>
        <w:rPr>
          <w:rFonts w:hint="eastAsia"/>
          <w:sz w:val="28"/>
          <w:szCs w:val="28"/>
        </w:rPr>
        <w:t>m。</w:t>
      </w:r>
    </w:p>
    <w:p w14:paraId="159D5096">
      <w:pPr>
        <w:pStyle w:val="6"/>
        <w:spacing w:before="131" w:after="131"/>
        <w:rPr>
          <w:rFonts w:hint="default" w:ascii="宋体" w:hAnsi="宋体" w:eastAsia="宋体" w:cs="宋体"/>
          <w:b/>
          <w:bCs/>
          <w:lang w:val="en-US" w:eastAsia="zh-CN"/>
        </w:rPr>
      </w:pPr>
      <w:r>
        <w:rPr>
          <w:rFonts w:hint="eastAsia" w:ascii="宋体" w:hAnsi="宋体" w:eastAsia="宋体" w:cs="宋体"/>
          <w:b/>
          <w:bCs/>
        </w:rPr>
        <w:t>（</w:t>
      </w:r>
      <w:r>
        <w:rPr>
          <w:rFonts w:hint="eastAsia" w:ascii="宋体" w:hAnsi="宋体" w:eastAsia="宋体" w:cs="宋体"/>
          <w:b/>
          <w:bCs/>
          <w:lang w:val="en-US" w:eastAsia="zh-CN"/>
        </w:rPr>
        <w:t>二</w:t>
      </w:r>
      <w:r>
        <w:rPr>
          <w:rFonts w:hint="eastAsia" w:ascii="宋体" w:hAnsi="宋体" w:eastAsia="宋体" w:cs="宋体"/>
          <w:b/>
          <w:bCs/>
        </w:rPr>
        <w:t>）矿山</w:t>
      </w:r>
      <w:r>
        <w:rPr>
          <w:rFonts w:hint="eastAsia" w:ascii="宋体" w:hAnsi="宋体" w:eastAsia="宋体" w:cs="宋体"/>
          <w:b/>
          <w:bCs/>
          <w:lang w:val="en-US" w:eastAsia="zh-CN"/>
        </w:rPr>
        <w:t>现状情况</w:t>
      </w:r>
    </w:p>
    <w:p w14:paraId="29C9F7B5">
      <w:pPr>
        <w:spacing w:line="360" w:lineRule="auto"/>
        <w:ind w:firstLine="560"/>
        <w:rPr>
          <w:rFonts w:hint="eastAsia"/>
          <w:sz w:val="28"/>
          <w:szCs w:val="28"/>
        </w:rPr>
      </w:pPr>
      <w:r>
        <w:rPr>
          <w:sz w:val="28"/>
          <w:szCs w:val="28"/>
        </w:rPr>
        <w:t>2020年11月，湛江市自然资源局发布《湛江市自然资源局关于实施湛江市2020年度采矿权招标拍卖挂牌出让计划的通知》，计划出让</w:t>
      </w:r>
      <w:r>
        <w:rPr>
          <w:rFonts w:hint="eastAsia"/>
          <w:sz w:val="28"/>
          <w:szCs w:val="28"/>
        </w:rPr>
        <w:t>徐闻县城北乡迈报(西山坑)矿区建筑用玄武岩矿</w:t>
      </w:r>
      <w:r>
        <w:rPr>
          <w:sz w:val="28"/>
          <w:szCs w:val="28"/>
        </w:rPr>
        <w:t>。2021年</w:t>
      </w:r>
      <w:r>
        <w:rPr>
          <w:rFonts w:hint="eastAsia"/>
          <w:sz w:val="28"/>
          <w:szCs w:val="28"/>
        </w:rPr>
        <w:t>9</w:t>
      </w:r>
      <w:r>
        <w:rPr>
          <w:sz w:val="28"/>
          <w:szCs w:val="28"/>
        </w:rPr>
        <w:t>月，徐闻县自然资源局发布项目采购需求书，对拟设矿区进行详细勘查和编制开发利用方案等服务项目进行采购。2021年</w:t>
      </w:r>
      <w:r>
        <w:rPr>
          <w:rFonts w:hint="eastAsia"/>
          <w:sz w:val="28"/>
          <w:szCs w:val="28"/>
        </w:rPr>
        <w:t>9</w:t>
      </w:r>
      <w:r>
        <w:rPr>
          <w:sz w:val="28"/>
          <w:szCs w:val="28"/>
        </w:rPr>
        <w:t>月</w:t>
      </w:r>
      <w:r>
        <w:rPr>
          <w:rFonts w:hint="eastAsia"/>
          <w:sz w:val="28"/>
          <w:szCs w:val="28"/>
        </w:rPr>
        <w:t>25日</w:t>
      </w:r>
      <w:r>
        <w:rPr>
          <w:sz w:val="28"/>
          <w:szCs w:val="28"/>
        </w:rPr>
        <w:t>，广东省地质局第四地质大队中标该项目。</w:t>
      </w:r>
    </w:p>
    <w:p w14:paraId="0F2EE1B8">
      <w:pPr>
        <w:spacing w:line="360" w:lineRule="auto"/>
        <w:ind w:firstLine="480"/>
        <w:rPr>
          <w:sz w:val="28"/>
          <w:szCs w:val="28"/>
        </w:rPr>
      </w:pPr>
      <w:r>
        <w:rPr>
          <w:rFonts w:hint="eastAsia"/>
          <w:sz w:val="28"/>
          <w:szCs w:val="28"/>
        </w:rPr>
        <w:t>2022年</w:t>
      </w:r>
      <w:r>
        <w:rPr>
          <w:rFonts w:hint="eastAsia"/>
          <w:sz w:val="28"/>
          <w:szCs w:val="28"/>
          <w:lang w:val="en-US" w:eastAsia="zh-CN"/>
        </w:rPr>
        <w:t>5</w:t>
      </w:r>
      <w:r>
        <w:rPr>
          <w:rFonts w:hint="eastAsia"/>
          <w:sz w:val="28"/>
          <w:szCs w:val="28"/>
        </w:rPr>
        <w:t>月广东省地质局第四地质大队（广东省湛江地质灾害应急抢险技术中心）提交了</w:t>
      </w:r>
      <w:r>
        <w:rPr>
          <w:sz w:val="28"/>
          <w:szCs w:val="28"/>
        </w:rPr>
        <w:t>《</w:t>
      </w:r>
      <w:r>
        <w:rPr>
          <w:rFonts w:hint="eastAsia"/>
          <w:sz w:val="28"/>
          <w:szCs w:val="28"/>
        </w:rPr>
        <w:t>广东省徐闻县城北乡迈报(西山坑)矿区建筑用玄武岩矿资源储量核实报告</w:t>
      </w:r>
      <w:r>
        <w:rPr>
          <w:sz w:val="28"/>
          <w:szCs w:val="28"/>
        </w:rPr>
        <w:t>》</w:t>
      </w:r>
      <w:r>
        <w:rPr>
          <w:rFonts w:hint="eastAsia"/>
          <w:sz w:val="28"/>
          <w:szCs w:val="28"/>
        </w:rPr>
        <w:t>，经广东省矿产资源</w:t>
      </w:r>
      <w:r>
        <w:rPr>
          <w:sz w:val="28"/>
          <w:szCs w:val="28"/>
        </w:rPr>
        <w:t>储量评审</w:t>
      </w:r>
      <w:r>
        <w:rPr>
          <w:rFonts w:hint="eastAsia"/>
          <w:sz w:val="28"/>
          <w:szCs w:val="28"/>
        </w:rPr>
        <w:t>中</w:t>
      </w:r>
      <w:r>
        <w:rPr>
          <w:sz w:val="28"/>
          <w:szCs w:val="28"/>
        </w:rPr>
        <w:t>心</w:t>
      </w:r>
      <w:r>
        <w:rPr>
          <w:rFonts w:hint="eastAsia"/>
          <w:sz w:val="28"/>
          <w:szCs w:val="28"/>
        </w:rPr>
        <w:t>评审通过并出具了</w:t>
      </w:r>
      <w:r>
        <w:rPr>
          <w:sz w:val="28"/>
          <w:szCs w:val="28"/>
        </w:rPr>
        <w:t>《</w:t>
      </w:r>
      <w:r>
        <w:rPr>
          <w:rFonts w:hint="eastAsia"/>
          <w:sz w:val="28"/>
          <w:szCs w:val="28"/>
        </w:rPr>
        <w:t>〈广东省徐闻县城北乡迈报(西山坑)矿区建筑用玄武岩矿资源储量核实报告〉矿产资源储量评审意见书</w:t>
      </w:r>
      <w:r>
        <w:rPr>
          <w:sz w:val="28"/>
          <w:szCs w:val="28"/>
        </w:rPr>
        <w:t>》（粤资储评审字[202</w:t>
      </w:r>
      <w:r>
        <w:rPr>
          <w:rFonts w:hint="eastAsia"/>
          <w:sz w:val="28"/>
          <w:szCs w:val="28"/>
        </w:rPr>
        <w:t>2</w:t>
      </w:r>
      <w:r>
        <w:rPr>
          <w:sz w:val="28"/>
          <w:szCs w:val="28"/>
        </w:rPr>
        <w:t>]</w:t>
      </w:r>
      <w:r>
        <w:rPr>
          <w:rFonts w:hint="eastAsia"/>
          <w:sz w:val="28"/>
          <w:szCs w:val="28"/>
        </w:rPr>
        <w:t>74</w:t>
      </w:r>
      <w:r>
        <w:rPr>
          <w:sz w:val="28"/>
          <w:szCs w:val="28"/>
        </w:rPr>
        <w:t>号</w:t>
      </w:r>
      <w:r>
        <w:rPr>
          <w:rFonts w:hint="eastAsia"/>
          <w:sz w:val="28"/>
          <w:szCs w:val="28"/>
        </w:rPr>
        <w:t>）及</w:t>
      </w:r>
      <w:r>
        <w:rPr>
          <w:rFonts w:hint="eastAsia" w:hAnsi="宋体"/>
          <w:sz w:val="28"/>
          <w:szCs w:val="28"/>
        </w:rPr>
        <w:t>《关于</w:t>
      </w:r>
      <w:r>
        <w:rPr>
          <w:rFonts w:hint="eastAsia"/>
          <w:sz w:val="28"/>
          <w:szCs w:val="28"/>
        </w:rPr>
        <w:t>〈广东省徐闻县城北乡迈报(西山坑)矿区建筑用玄武岩矿资源储量核实报告〉</w:t>
      </w:r>
      <w:r>
        <w:rPr>
          <w:rFonts w:hint="eastAsia" w:hAnsi="宋体"/>
          <w:sz w:val="28"/>
          <w:szCs w:val="28"/>
        </w:rPr>
        <w:t>评审结果的函》</w:t>
      </w:r>
      <w:r>
        <w:rPr>
          <w:sz w:val="28"/>
          <w:szCs w:val="28"/>
        </w:rPr>
        <w:t>（粤储审评[202</w:t>
      </w:r>
      <w:r>
        <w:rPr>
          <w:rFonts w:hint="eastAsia"/>
          <w:sz w:val="28"/>
          <w:szCs w:val="28"/>
        </w:rPr>
        <w:t>2</w:t>
      </w:r>
      <w:r>
        <w:rPr>
          <w:sz w:val="28"/>
          <w:szCs w:val="28"/>
        </w:rPr>
        <w:t>]</w:t>
      </w:r>
      <w:r>
        <w:rPr>
          <w:rFonts w:hint="eastAsia"/>
          <w:sz w:val="28"/>
          <w:szCs w:val="28"/>
        </w:rPr>
        <w:t>74</w:t>
      </w:r>
      <w:r>
        <w:rPr>
          <w:sz w:val="28"/>
          <w:szCs w:val="28"/>
        </w:rPr>
        <w:t>号</w:t>
      </w:r>
      <w:r>
        <w:rPr>
          <w:rFonts w:hint="eastAsia"/>
          <w:sz w:val="28"/>
          <w:szCs w:val="28"/>
        </w:rPr>
        <w:t>）</w:t>
      </w:r>
      <w:r>
        <w:rPr>
          <w:rFonts w:hint="eastAsia"/>
          <w:sz w:val="28"/>
          <w:szCs w:val="28"/>
          <w:lang w:eastAsia="zh-CN"/>
        </w:rPr>
        <w:t>（</w:t>
      </w:r>
      <w:r>
        <w:rPr>
          <w:rFonts w:hint="eastAsia"/>
          <w:sz w:val="28"/>
          <w:szCs w:val="28"/>
          <w:lang w:val="en-US" w:eastAsia="zh-CN"/>
        </w:rPr>
        <w:t>附件1</w:t>
      </w:r>
      <w:r>
        <w:rPr>
          <w:rFonts w:hint="eastAsia"/>
          <w:sz w:val="28"/>
          <w:szCs w:val="28"/>
          <w:lang w:eastAsia="zh-CN"/>
        </w:rPr>
        <w:t>）</w:t>
      </w:r>
      <w:r>
        <w:rPr>
          <w:rFonts w:hint="eastAsia"/>
          <w:sz w:val="28"/>
          <w:szCs w:val="28"/>
        </w:rPr>
        <w:t>。</w:t>
      </w:r>
      <w:r>
        <w:rPr>
          <w:sz w:val="28"/>
          <w:szCs w:val="32"/>
        </w:rPr>
        <w:t>拟设矿区范围内建筑用玄武岩矿矿石</w:t>
      </w:r>
      <w:r>
        <w:rPr>
          <w:bCs/>
          <w:sz w:val="28"/>
          <w:szCs w:val="32"/>
        </w:rPr>
        <w:t>查明资源量</w:t>
      </w:r>
      <w:r>
        <w:rPr>
          <w:rFonts w:hint="eastAsia"/>
          <w:kern w:val="0"/>
          <w:sz w:val="28"/>
          <w:szCs w:val="32"/>
        </w:rPr>
        <w:t>92.88</w:t>
      </w:r>
      <w:r>
        <w:rPr>
          <w:sz w:val="28"/>
          <w:szCs w:val="32"/>
        </w:rPr>
        <w:t>×10</w:t>
      </w:r>
      <w:r>
        <w:rPr>
          <w:sz w:val="28"/>
          <w:szCs w:val="32"/>
          <w:vertAlign w:val="superscript"/>
        </w:rPr>
        <w:t>4</w:t>
      </w:r>
      <w:r>
        <w:rPr>
          <w:sz w:val="28"/>
          <w:szCs w:val="32"/>
        </w:rPr>
        <w:t>m</w:t>
      </w:r>
      <w:r>
        <w:rPr>
          <w:sz w:val="28"/>
          <w:szCs w:val="32"/>
          <w:vertAlign w:val="superscript"/>
        </w:rPr>
        <w:t>3</w:t>
      </w:r>
      <w:r>
        <w:rPr>
          <w:sz w:val="28"/>
          <w:szCs w:val="32"/>
        </w:rPr>
        <w:t>，</w:t>
      </w:r>
      <w:r>
        <w:rPr>
          <w:bCs/>
          <w:sz w:val="28"/>
          <w:szCs w:val="32"/>
        </w:rPr>
        <w:t>其中：控制资源量</w:t>
      </w:r>
      <w:r>
        <w:rPr>
          <w:rFonts w:hint="eastAsia"/>
          <w:sz w:val="28"/>
          <w:szCs w:val="32"/>
        </w:rPr>
        <w:t>69.59</w:t>
      </w:r>
      <w:r>
        <w:rPr>
          <w:sz w:val="28"/>
          <w:szCs w:val="32"/>
        </w:rPr>
        <w:t>×10</w:t>
      </w:r>
      <w:r>
        <w:rPr>
          <w:sz w:val="28"/>
          <w:szCs w:val="32"/>
          <w:vertAlign w:val="superscript"/>
        </w:rPr>
        <w:t>4</w:t>
      </w:r>
      <w:r>
        <w:rPr>
          <w:sz w:val="28"/>
          <w:szCs w:val="32"/>
        </w:rPr>
        <w:t>m</w:t>
      </w:r>
      <w:r>
        <w:rPr>
          <w:sz w:val="28"/>
          <w:szCs w:val="32"/>
          <w:vertAlign w:val="superscript"/>
        </w:rPr>
        <w:t>3</w:t>
      </w:r>
      <w:r>
        <w:rPr>
          <w:sz w:val="28"/>
          <w:szCs w:val="32"/>
        </w:rPr>
        <w:t>，</w:t>
      </w:r>
      <w:r>
        <w:rPr>
          <w:bCs/>
          <w:sz w:val="28"/>
          <w:szCs w:val="32"/>
        </w:rPr>
        <w:t>推断资源量</w:t>
      </w:r>
      <w:r>
        <w:rPr>
          <w:rFonts w:hint="eastAsia"/>
          <w:sz w:val="28"/>
          <w:szCs w:val="32"/>
        </w:rPr>
        <w:t>23.29</w:t>
      </w:r>
      <w:r>
        <w:rPr>
          <w:sz w:val="28"/>
          <w:szCs w:val="32"/>
        </w:rPr>
        <w:t>×10</w:t>
      </w:r>
      <w:r>
        <w:rPr>
          <w:sz w:val="28"/>
          <w:szCs w:val="32"/>
          <w:vertAlign w:val="superscript"/>
        </w:rPr>
        <w:t>4</w:t>
      </w:r>
      <w:r>
        <w:rPr>
          <w:sz w:val="28"/>
          <w:szCs w:val="32"/>
        </w:rPr>
        <w:t>m</w:t>
      </w:r>
      <w:r>
        <w:rPr>
          <w:sz w:val="28"/>
          <w:szCs w:val="32"/>
          <w:vertAlign w:val="superscript"/>
        </w:rPr>
        <w:t>3</w:t>
      </w:r>
      <w:r>
        <w:rPr>
          <w:rFonts w:hint="eastAsia"/>
          <w:sz w:val="28"/>
          <w:szCs w:val="32"/>
          <w:vertAlign w:val="baseline"/>
          <w:lang w:eastAsia="zh-CN"/>
        </w:rPr>
        <w:t>。</w:t>
      </w:r>
      <w:r>
        <w:rPr>
          <w:rFonts w:hint="eastAsia"/>
          <w:sz w:val="28"/>
          <w:szCs w:val="28"/>
        </w:rPr>
        <w:t>根据核实报告确定拟开采标高+59m～+30m。</w:t>
      </w:r>
      <w:r>
        <w:rPr>
          <w:sz w:val="28"/>
          <w:szCs w:val="28"/>
        </w:rPr>
        <w:t>拟设矿区由</w:t>
      </w:r>
      <w:r>
        <w:rPr>
          <w:rFonts w:hint="eastAsia"/>
          <w:sz w:val="28"/>
          <w:szCs w:val="28"/>
        </w:rPr>
        <w:t>1</w:t>
      </w:r>
      <w:r>
        <w:rPr>
          <w:rFonts w:hint="eastAsia"/>
          <w:sz w:val="28"/>
          <w:szCs w:val="28"/>
          <w:lang w:val="en-US" w:eastAsia="zh-CN"/>
        </w:rPr>
        <w:t>0</w:t>
      </w:r>
      <w:r>
        <w:rPr>
          <w:sz w:val="28"/>
          <w:szCs w:val="28"/>
        </w:rPr>
        <w:t>个拐点坐标圈定</w:t>
      </w:r>
      <w:r>
        <w:rPr>
          <w:rFonts w:hint="eastAsia"/>
          <w:sz w:val="28"/>
          <w:szCs w:val="28"/>
          <w:lang w:eastAsia="zh-CN"/>
        </w:rPr>
        <w:t>，</w:t>
      </w:r>
      <w:r>
        <w:rPr>
          <w:rFonts w:hint="eastAsia"/>
          <w:sz w:val="28"/>
          <w:szCs w:val="28"/>
          <w:lang w:val="en-US" w:eastAsia="zh-CN"/>
        </w:rPr>
        <w:t>坐标系统为2000国家大地坐标系，1985国家高程基准，矿区范围拐点坐标见表</w:t>
      </w:r>
      <w:r>
        <w:rPr>
          <w:sz w:val="28"/>
          <w:szCs w:val="28"/>
        </w:rPr>
        <w:t>1-1</w:t>
      </w:r>
      <w:r>
        <w:rPr>
          <w:rFonts w:hint="eastAsia"/>
          <w:sz w:val="28"/>
          <w:szCs w:val="28"/>
        </w:rPr>
        <w:t>。</w:t>
      </w:r>
    </w:p>
    <w:p w14:paraId="32B3DFB9">
      <w:pPr>
        <w:spacing w:line="360" w:lineRule="auto"/>
        <w:ind w:firstLine="480"/>
        <w:rPr>
          <w:rFonts w:hint="eastAsia"/>
          <w:sz w:val="28"/>
          <w:szCs w:val="28"/>
          <w:highlight w:val="none"/>
          <w:lang w:val="en-US" w:eastAsia="zh-CN"/>
        </w:rPr>
      </w:pPr>
      <w:r>
        <w:rPr>
          <w:rFonts w:hint="eastAsia"/>
          <w:sz w:val="28"/>
          <w:szCs w:val="28"/>
          <w:highlight w:val="none"/>
        </w:rPr>
        <w:t>2022年</w:t>
      </w:r>
      <w:r>
        <w:rPr>
          <w:rFonts w:hint="eastAsia"/>
          <w:sz w:val="28"/>
          <w:szCs w:val="28"/>
          <w:highlight w:val="none"/>
          <w:lang w:val="en-US" w:eastAsia="zh-CN"/>
        </w:rPr>
        <w:t>7</w:t>
      </w:r>
      <w:r>
        <w:rPr>
          <w:rFonts w:hint="eastAsia"/>
          <w:sz w:val="28"/>
          <w:szCs w:val="28"/>
          <w:highlight w:val="none"/>
        </w:rPr>
        <w:t>月</w:t>
      </w:r>
      <w:r>
        <w:rPr>
          <w:rFonts w:hint="eastAsia"/>
          <w:sz w:val="28"/>
          <w:szCs w:val="28"/>
        </w:rPr>
        <w:t>广东省地质局第四地质大队（广东省湛江地质灾害应急抢险技术中心）</w:t>
      </w:r>
      <w:r>
        <w:rPr>
          <w:rFonts w:hint="eastAsia"/>
          <w:sz w:val="28"/>
          <w:szCs w:val="28"/>
          <w:lang w:val="en-US" w:eastAsia="zh-CN"/>
        </w:rPr>
        <w:t>编制完成了</w:t>
      </w:r>
      <w:r>
        <w:rPr>
          <w:rFonts w:hint="eastAsia"/>
          <w:sz w:val="28"/>
          <w:szCs w:val="28"/>
          <w:lang w:eastAsia="zh-CN"/>
        </w:rPr>
        <w:t>《广东省徐闻县城北乡迈报(西山坑)矿区建筑用玄武岩矿矿产资源开发利用方案》</w:t>
      </w:r>
      <w:r>
        <w:rPr>
          <w:rFonts w:hint="eastAsia"/>
          <w:sz w:val="28"/>
          <w:szCs w:val="28"/>
          <w:lang w:val="en-US" w:eastAsia="zh-CN"/>
        </w:rPr>
        <w:t>，经湛江市矿业与地质环境监测中心评审</w:t>
      </w:r>
      <w:r>
        <w:rPr>
          <w:rFonts w:hint="eastAsia"/>
          <w:sz w:val="28"/>
          <w:szCs w:val="28"/>
        </w:rPr>
        <w:t>通过并出具了</w:t>
      </w:r>
      <w:r>
        <w:rPr>
          <w:sz w:val="28"/>
          <w:szCs w:val="28"/>
        </w:rPr>
        <w:t>《</w:t>
      </w:r>
      <w:r>
        <w:rPr>
          <w:rFonts w:hint="eastAsia"/>
          <w:sz w:val="28"/>
          <w:szCs w:val="28"/>
        </w:rPr>
        <w:t>〈广东省徐闻县城北乡迈报(西山坑)矿区建筑用玄武岩矿</w:t>
      </w:r>
      <w:r>
        <w:rPr>
          <w:rFonts w:hint="eastAsia"/>
          <w:sz w:val="28"/>
          <w:szCs w:val="28"/>
          <w:lang w:val="en-US" w:eastAsia="zh-CN"/>
        </w:rPr>
        <w:t>矿产资源开发利用方案</w:t>
      </w:r>
      <w:r>
        <w:rPr>
          <w:rFonts w:hint="eastAsia"/>
          <w:sz w:val="28"/>
          <w:szCs w:val="28"/>
        </w:rPr>
        <w:t>〉评审意见书</w:t>
      </w:r>
      <w:r>
        <w:rPr>
          <w:sz w:val="28"/>
          <w:szCs w:val="28"/>
        </w:rPr>
        <w:t>》（</w:t>
      </w:r>
      <w:r>
        <w:rPr>
          <w:rFonts w:hint="eastAsia"/>
          <w:sz w:val="28"/>
          <w:szCs w:val="28"/>
          <w:lang w:val="en-US" w:eastAsia="zh-CN"/>
        </w:rPr>
        <w:t>湛矿开</w:t>
      </w:r>
      <w:r>
        <w:rPr>
          <w:sz w:val="28"/>
          <w:szCs w:val="28"/>
        </w:rPr>
        <w:t>审字[202</w:t>
      </w:r>
      <w:r>
        <w:rPr>
          <w:rFonts w:hint="eastAsia"/>
          <w:sz w:val="28"/>
          <w:szCs w:val="28"/>
        </w:rPr>
        <w:t>2</w:t>
      </w:r>
      <w:r>
        <w:rPr>
          <w:sz w:val="28"/>
          <w:szCs w:val="28"/>
        </w:rPr>
        <w:t>]</w:t>
      </w:r>
      <w:r>
        <w:rPr>
          <w:rFonts w:hint="eastAsia"/>
          <w:sz w:val="28"/>
          <w:szCs w:val="28"/>
        </w:rPr>
        <w:t>4</w:t>
      </w:r>
      <w:r>
        <w:rPr>
          <w:sz w:val="28"/>
          <w:szCs w:val="28"/>
        </w:rPr>
        <w:t>号</w:t>
      </w:r>
      <w:r>
        <w:rPr>
          <w:rFonts w:hint="eastAsia"/>
          <w:sz w:val="28"/>
          <w:szCs w:val="28"/>
        </w:rPr>
        <w:t>）</w:t>
      </w:r>
      <w:r>
        <w:rPr>
          <w:rFonts w:hint="eastAsia"/>
          <w:sz w:val="28"/>
          <w:szCs w:val="28"/>
          <w:highlight w:val="none"/>
          <w:lang w:eastAsia="zh-CN"/>
        </w:rPr>
        <w:t>（</w:t>
      </w:r>
      <w:r>
        <w:rPr>
          <w:rFonts w:hint="eastAsia"/>
          <w:sz w:val="28"/>
          <w:szCs w:val="28"/>
          <w:highlight w:val="none"/>
          <w:lang w:val="en-US" w:eastAsia="zh-CN"/>
        </w:rPr>
        <w:t>附件2</w:t>
      </w:r>
      <w:r>
        <w:rPr>
          <w:rFonts w:hint="eastAsia"/>
          <w:sz w:val="28"/>
          <w:szCs w:val="28"/>
          <w:highlight w:val="none"/>
          <w:lang w:eastAsia="zh-CN"/>
        </w:rPr>
        <w:t>）</w:t>
      </w:r>
      <w:r>
        <w:rPr>
          <w:rFonts w:hint="eastAsia"/>
          <w:sz w:val="28"/>
          <w:szCs w:val="28"/>
          <w:highlight w:val="none"/>
          <w:lang w:val="en-US" w:eastAsia="zh-CN"/>
        </w:rPr>
        <w:t>。开发利用方案概述如下：</w:t>
      </w:r>
    </w:p>
    <w:p w14:paraId="7E354CDB">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outlineLvl w:val="9"/>
        <w:rPr>
          <w:rFonts w:hint="default" w:cs="宋体"/>
          <w:sz w:val="28"/>
          <w:szCs w:val="28"/>
          <w:lang w:val="en-US" w:eastAsia="zh-CN" w:bidi="ar-SA"/>
        </w:rPr>
      </w:pPr>
      <w:r>
        <w:rPr>
          <w:rFonts w:hint="eastAsia" w:cs="宋体"/>
          <w:sz w:val="28"/>
          <w:szCs w:val="28"/>
          <w:lang w:val="en-US" w:eastAsia="zh-CN" w:bidi="ar-SA"/>
        </w:rPr>
        <w:t>1、开采资源储量确定的合理性</w:t>
      </w:r>
    </w:p>
    <w:p w14:paraId="4E33A787">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outlineLvl w:val="9"/>
        <w:rPr>
          <w:rFonts w:hint="eastAsia"/>
          <w:sz w:val="28"/>
          <w:szCs w:val="28"/>
          <w:highlight w:val="none"/>
          <w:lang w:val="en-US" w:eastAsia="zh-CN"/>
        </w:rPr>
      </w:pPr>
      <w:r>
        <w:rPr>
          <w:rFonts w:hint="eastAsia" w:cs="宋体"/>
          <w:sz w:val="28"/>
          <w:szCs w:val="28"/>
          <w:lang w:val="en-US" w:eastAsia="zh-CN" w:bidi="ar-SA"/>
        </w:rPr>
        <w:t>（1）</w:t>
      </w:r>
      <w:r>
        <w:rPr>
          <w:rFonts w:hint="eastAsia"/>
          <w:sz w:val="28"/>
          <w:szCs w:val="28"/>
          <w:highlight w:val="none"/>
          <w:lang w:val="en-US" w:eastAsia="zh-CN"/>
        </w:rPr>
        <w:t>评审的矿产资源储量</w:t>
      </w:r>
    </w:p>
    <w:p w14:paraId="2D70C9D7">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outlineLvl w:val="9"/>
        <w:rPr>
          <w:rFonts w:hint="default"/>
          <w:sz w:val="28"/>
          <w:szCs w:val="28"/>
          <w:lang w:val="en-US" w:eastAsia="zh-CN"/>
        </w:rPr>
      </w:pPr>
      <w:r>
        <w:rPr>
          <w:rFonts w:hint="default"/>
          <w:sz w:val="28"/>
          <w:szCs w:val="28"/>
          <w:lang w:val="en-US" w:eastAsia="zh-CN"/>
        </w:rPr>
        <w:t>截至2022年3月14日，经评审，拟设矿区范围内保有建筑用玄武岩矿控制资源量矿石量为69.59×10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eastAsia"/>
          <w:sz w:val="28"/>
          <w:szCs w:val="28"/>
          <w:lang w:val="en-US" w:eastAsia="zh-CN"/>
        </w:rPr>
        <w:t>，</w:t>
      </w:r>
      <w:r>
        <w:rPr>
          <w:rFonts w:hint="default"/>
          <w:sz w:val="28"/>
          <w:szCs w:val="28"/>
          <w:lang w:val="en-US" w:eastAsia="zh-CN"/>
        </w:rPr>
        <w:t>推断资源量矿石量为23.29×10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default"/>
          <w:sz w:val="28"/>
          <w:szCs w:val="28"/>
          <w:lang w:val="en-US" w:eastAsia="zh-CN"/>
        </w:rPr>
        <w:t>。</w:t>
      </w:r>
    </w:p>
    <w:p w14:paraId="250161A1">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outlineLvl w:val="9"/>
        <w:rPr>
          <w:rFonts w:hint="default"/>
          <w:sz w:val="28"/>
          <w:szCs w:val="28"/>
          <w:lang w:val="en-US" w:eastAsia="zh-CN"/>
        </w:rPr>
      </w:pPr>
      <w:r>
        <w:rPr>
          <w:rFonts w:hint="default"/>
          <w:sz w:val="28"/>
          <w:szCs w:val="28"/>
          <w:lang w:val="en-US" w:eastAsia="zh-CN"/>
        </w:rPr>
        <w:t>剥离总量52.08×10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eastAsia"/>
          <w:sz w:val="28"/>
          <w:szCs w:val="28"/>
          <w:lang w:val="en-US" w:eastAsia="zh-CN"/>
        </w:rPr>
        <w:t>，</w:t>
      </w:r>
      <w:r>
        <w:rPr>
          <w:rFonts w:hint="default"/>
          <w:sz w:val="28"/>
          <w:szCs w:val="28"/>
          <w:lang w:val="en-US" w:eastAsia="zh-CN"/>
        </w:rPr>
        <w:t>其中残坡积层8.14×10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eastAsia"/>
          <w:sz w:val="28"/>
          <w:szCs w:val="28"/>
          <w:lang w:val="en-US" w:eastAsia="zh-CN"/>
        </w:rPr>
        <w:t>，</w:t>
      </w:r>
      <w:r>
        <w:rPr>
          <w:rFonts w:hint="default"/>
          <w:sz w:val="28"/>
          <w:szCs w:val="28"/>
          <w:lang w:val="en-US" w:eastAsia="zh-CN"/>
        </w:rPr>
        <w:t>全风化层4.48×10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eastAsia"/>
          <w:sz w:val="28"/>
          <w:szCs w:val="28"/>
          <w:lang w:val="en-US" w:eastAsia="zh-CN"/>
        </w:rPr>
        <w:t>，</w:t>
      </w:r>
      <w:r>
        <w:rPr>
          <w:rFonts w:hint="default"/>
          <w:sz w:val="28"/>
          <w:szCs w:val="28"/>
          <w:lang w:val="en-US" w:eastAsia="zh-CN"/>
        </w:rPr>
        <w:t>夹石2.82×10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eastAsia"/>
          <w:sz w:val="28"/>
          <w:szCs w:val="28"/>
          <w:lang w:val="en-US" w:eastAsia="zh-CN"/>
        </w:rPr>
        <w:t>，</w:t>
      </w:r>
      <w:r>
        <w:rPr>
          <w:rFonts w:hint="default"/>
          <w:sz w:val="28"/>
          <w:szCs w:val="28"/>
          <w:lang w:val="en-US" w:eastAsia="zh-CN"/>
        </w:rPr>
        <w:t>中风化玄武岩36.64×10</w:t>
      </w:r>
      <w:r>
        <w:rPr>
          <w:rFonts w:hint="eastAsia"/>
          <w:sz w:val="28"/>
          <w:szCs w:val="28"/>
          <w:vertAlign w:val="superscript"/>
          <w:lang w:val="en-US" w:eastAsia="zh-CN"/>
        </w:rPr>
        <w:t>4</w:t>
      </w:r>
      <w:r>
        <w:rPr>
          <w:rFonts w:hint="default"/>
          <w:sz w:val="28"/>
          <w:szCs w:val="28"/>
          <w:lang w:val="en-US" w:eastAsia="zh-CN"/>
        </w:rPr>
        <w:t>m</w:t>
      </w:r>
      <w:r>
        <w:rPr>
          <w:rFonts w:hint="eastAsia"/>
          <w:sz w:val="28"/>
          <w:szCs w:val="28"/>
          <w:vertAlign w:val="superscript"/>
          <w:lang w:val="en-US" w:eastAsia="zh-CN"/>
        </w:rPr>
        <w:t>3</w:t>
      </w:r>
      <w:r>
        <w:rPr>
          <w:rFonts w:hint="default"/>
          <w:sz w:val="28"/>
          <w:szCs w:val="28"/>
          <w:lang w:val="en-US" w:eastAsia="zh-CN"/>
        </w:rPr>
        <w:t>。</w:t>
      </w:r>
    </w:p>
    <w:p w14:paraId="60AD729B">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outlineLvl w:val="9"/>
        <w:rPr>
          <w:rFonts w:hint="default"/>
          <w:sz w:val="28"/>
          <w:szCs w:val="28"/>
          <w:lang w:val="en-US" w:eastAsia="zh-CN"/>
        </w:rPr>
      </w:pPr>
      <w:r>
        <w:rPr>
          <w:rFonts w:hint="eastAsia"/>
          <w:sz w:val="28"/>
          <w:szCs w:val="28"/>
          <w:lang w:val="en-US" w:eastAsia="zh-CN"/>
        </w:rPr>
        <w:t>（2）设计利用的矿产资源储量</w:t>
      </w:r>
    </w:p>
    <w:p w14:paraId="3E57F38B">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outlineLvl w:val="9"/>
        <w:rPr>
          <w:rFonts w:hint="default"/>
          <w:sz w:val="28"/>
          <w:szCs w:val="28"/>
          <w:lang w:val="en-US" w:eastAsia="zh-CN"/>
        </w:rPr>
      </w:pPr>
      <w:r>
        <w:rPr>
          <w:rFonts w:hint="default"/>
          <w:sz w:val="28"/>
          <w:szCs w:val="28"/>
          <w:lang w:val="en-US" w:eastAsia="zh-CN"/>
        </w:rPr>
        <w:t>设计利用的建筑用玄武岩矿石量92.88万m³。</w:t>
      </w:r>
    </w:p>
    <w:p w14:paraId="6F6DA51B">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outlineLvl w:val="9"/>
        <w:rPr>
          <w:rFonts w:hint="default"/>
          <w:sz w:val="28"/>
          <w:szCs w:val="28"/>
          <w:lang w:val="en-US" w:eastAsia="zh-CN"/>
        </w:rPr>
      </w:pPr>
      <w:r>
        <w:rPr>
          <w:rFonts w:hint="eastAsia"/>
          <w:sz w:val="28"/>
          <w:szCs w:val="28"/>
          <w:lang w:val="en-US" w:eastAsia="zh-CN"/>
        </w:rPr>
        <w:t>（3）</w:t>
      </w:r>
      <w:r>
        <w:rPr>
          <w:rFonts w:hint="default"/>
          <w:sz w:val="28"/>
          <w:szCs w:val="28"/>
          <w:lang w:val="en-US" w:eastAsia="zh-CN"/>
        </w:rPr>
        <w:t>确定开采的矿产资源储量</w:t>
      </w:r>
    </w:p>
    <w:p w14:paraId="48AF2F79">
      <w:pPr>
        <w:spacing w:line="360" w:lineRule="auto"/>
        <w:outlineLvl w:val="9"/>
        <w:rPr>
          <w:rFonts w:hint="eastAsia"/>
          <w:sz w:val="28"/>
          <w:szCs w:val="28"/>
          <w:lang w:eastAsia="zh-CN"/>
        </w:rPr>
      </w:pPr>
      <w:r>
        <w:rPr>
          <w:rFonts w:hint="eastAsia"/>
          <w:sz w:val="28"/>
          <w:szCs w:val="28"/>
          <w:lang w:eastAsia="zh-CN"/>
        </w:rPr>
        <w:t>按台阶开采圈定终了境界后，最终矿区开采境界范围内采剥总量为128.94万m</w:t>
      </w:r>
      <w:r>
        <w:rPr>
          <w:rFonts w:hint="eastAsia"/>
          <w:sz w:val="28"/>
          <w:szCs w:val="28"/>
          <w:vertAlign w:val="superscript"/>
          <w:lang w:val="en-US" w:eastAsia="zh-CN"/>
        </w:rPr>
        <w:t>3</w:t>
      </w:r>
      <w:r>
        <w:rPr>
          <w:rFonts w:hint="eastAsia"/>
          <w:sz w:val="28"/>
          <w:szCs w:val="28"/>
          <w:lang w:eastAsia="zh-CN"/>
        </w:rPr>
        <w:t>，确定开采的建筑用玄武岩矿为78.90万m</w:t>
      </w:r>
      <w:r>
        <w:rPr>
          <w:rFonts w:hint="eastAsia"/>
          <w:sz w:val="28"/>
          <w:szCs w:val="28"/>
          <w:vertAlign w:val="superscript"/>
          <w:lang w:val="en-US" w:eastAsia="zh-CN"/>
        </w:rPr>
        <w:t>3</w:t>
      </w:r>
      <w:r>
        <w:rPr>
          <w:rFonts w:hint="eastAsia"/>
          <w:sz w:val="28"/>
          <w:szCs w:val="28"/>
          <w:lang w:eastAsia="zh-CN"/>
        </w:rPr>
        <w:t>。</w:t>
      </w:r>
    </w:p>
    <w:p w14:paraId="124D5D33">
      <w:pPr>
        <w:spacing w:line="360" w:lineRule="auto"/>
        <w:outlineLvl w:val="9"/>
        <w:rPr>
          <w:rFonts w:hint="eastAsia"/>
          <w:sz w:val="28"/>
          <w:szCs w:val="28"/>
          <w:lang w:eastAsia="zh-CN"/>
        </w:rPr>
      </w:pPr>
      <w:r>
        <w:rPr>
          <w:rFonts w:hint="eastAsia"/>
          <w:sz w:val="28"/>
          <w:szCs w:val="28"/>
          <w:lang w:val="en-US" w:eastAsia="zh-CN"/>
        </w:rPr>
        <w:t>（4）</w:t>
      </w:r>
      <w:r>
        <w:rPr>
          <w:rFonts w:hint="eastAsia"/>
          <w:sz w:val="28"/>
          <w:szCs w:val="28"/>
          <w:lang w:eastAsia="zh-CN"/>
        </w:rPr>
        <w:t>开采境界范围内剥离层：自身复垦用或排至排土场的残坡积层8.07万m</w:t>
      </w:r>
      <w:r>
        <w:rPr>
          <w:rFonts w:hint="eastAsia"/>
          <w:sz w:val="28"/>
          <w:szCs w:val="28"/>
          <w:vertAlign w:val="superscript"/>
          <w:lang w:val="en-US" w:eastAsia="zh-CN"/>
        </w:rPr>
        <w:t>3</w:t>
      </w:r>
      <w:r>
        <w:rPr>
          <w:rFonts w:hint="eastAsia"/>
          <w:sz w:val="28"/>
          <w:szCs w:val="28"/>
          <w:lang w:eastAsia="zh-CN"/>
        </w:rPr>
        <w:t>；排至排土场的全风化层4.48万m</w:t>
      </w:r>
      <w:r>
        <w:rPr>
          <w:rFonts w:hint="eastAsia"/>
          <w:sz w:val="28"/>
          <w:szCs w:val="28"/>
          <w:vertAlign w:val="superscript"/>
          <w:lang w:val="en-US" w:eastAsia="zh-CN"/>
        </w:rPr>
        <w:t>3</w:t>
      </w:r>
      <w:r>
        <w:rPr>
          <w:rFonts w:hint="eastAsia"/>
          <w:sz w:val="28"/>
          <w:szCs w:val="28"/>
          <w:lang w:eastAsia="zh-CN"/>
        </w:rPr>
        <w:t>、夹石2.41万m</w:t>
      </w:r>
      <w:r>
        <w:rPr>
          <w:rFonts w:hint="eastAsia"/>
          <w:sz w:val="28"/>
          <w:szCs w:val="28"/>
          <w:vertAlign w:val="superscript"/>
          <w:lang w:val="en-US" w:eastAsia="zh-CN"/>
        </w:rPr>
        <w:t>3</w:t>
      </w:r>
      <w:r>
        <w:rPr>
          <w:rFonts w:hint="eastAsia"/>
          <w:sz w:val="28"/>
          <w:szCs w:val="28"/>
          <w:lang w:eastAsia="zh-CN"/>
        </w:rPr>
        <w:t>、中风化玄武岩35.08万m</w:t>
      </w:r>
      <w:r>
        <w:rPr>
          <w:rFonts w:hint="eastAsia"/>
          <w:sz w:val="28"/>
          <w:szCs w:val="28"/>
          <w:vertAlign w:val="superscript"/>
          <w:lang w:val="en-US" w:eastAsia="zh-CN"/>
        </w:rPr>
        <w:t>3</w:t>
      </w:r>
      <w:r>
        <w:rPr>
          <w:rFonts w:hint="eastAsia"/>
          <w:sz w:val="28"/>
          <w:szCs w:val="28"/>
          <w:lang w:eastAsia="zh-CN"/>
        </w:rPr>
        <w:t>。</w:t>
      </w:r>
    </w:p>
    <w:p w14:paraId="4F0D1759">
      <w:pPr>
        <w:spacing w:line="360" w:lineRule="auto"/>
        <w:outlineLvl w:val="9"/>
        <w:rPr>
          <w:rFonts w:hint="eastAsia"/>
          <w:sz w:val="28"/>
          <w:szCs w:val="28"/>
          <w:lang w:eastAsia="zh-CN"/>
        </w:rPr>
      </w:pPr>
      <w:r>
        <w:rPr>
          <w:rFonts w:hint="eastAsia"/>
          <w:sz w:val="28"/>
          <w:szCs w:val="28"/>
          <w:lang w:val="en-US" w:eastAsia="zh-CN"/>
        </w:rPr>
        <w:t>（5）</w:t>
      </w:r>
      <w:r>
        <w:rPr>
          <w:rFonts w:hint="eastAsia"/>
          <w:sz w:val="28"/>
          <w:szCs w:val="28"/>
          <w:lang w:eastAsia="zh-CN"/>
        </w:rPr>
        <w:t>建筑用玄武岩矿设计矿产资源利用率为85%。采矿回采率为98%，废石混入率为1%，计算采出建筑用玄武岩矿石量为78.10万m³。</w:t>
      </w:r>
    </w:p>
    <w:p w14:paraId="1853051C">
      <w:pPr>
        <w:spacing w:line="360" w:lineRule="auto"/>
        <w:outlineLvl w:val="9"/>
        <w:rPr>
          <w:rFonts w:hint="eastAsia"/>
          <w:sz w:val="28"/>
          <w:szCs w:val="28"/>
          <w:lang w:eastAsia="zh-CN"/>
        </w:rPr>
      </w:pPr>
      <w:r>
        <w:rPr>
          <w:rFonts w:hint="eastAsia" w:cs="宋体"/>
          <w:sz w:val="28"/>
          <w:szCs w:val="28"/>
          <w:lang w:val="en-US" w:eastAsia="zh-CN" w:bidi="ar-SA"/>
        </w:rPr>
        <w:t>2、矿山建设规模</w:t>
      </w:r>
    </w:p>
    <w:p w14:paraId="7B54EA81">
      <w:pPr>
        <w:spacing w:line="360" w:lineRule="auto"/>
        <w:outlineLvl w:val="9"/>
        <w:rPr>
          <w:rFonts w:hint="eastAsia"/>
          <w:color w:val="000000" w:themeColor="text1"/>
          <w:sz w:val="28"/>
          <w:szCs w:val="28"/>
          <w14:textFill>
            <w14:solidFill>
              <w14:schemeClr w14:val="tx1"/>
            </w14:solidFill>
          </w14:textFill>
        </w:rPr>
      </w:pPr>
      <w:r>
        <w:rPr>
          <w:rFonts w:hint="eastAsia"/>
          <w:sz w:val="28"/>
          <w:szCs w:val="28"/>
          <w:lang w:eastAsia="zh-CN"/>
        </w:rPr>
        <w:t>广东省徐闻县城北乡迈报(西山坑)矿区建筑用玄武岩矿</w:t>
      </w:r>
      <w:r>
        <w:rPr>
          <w:rFonts w:hint="eastAsia"/>
          <w:color w:val="000000" w:themeColor="text1"/>
          <w:sz w:val="28"/>
          <w:szCs w:val="28"/>
          <w14:textFill>
            <w14:solidFill>
              <w14:schemeClr w14:val="tx1"/>
            </w14:solidFill>
          </w14:textFill>
        </w:rPr>
        <w:t>，开采矿种为建筑</w:t>
      </w:r>
      <w:r>
        <w:rPr>
          <w:rFonts w:hint="eastAsia"/>
          <w:color w:val="000000" w:themeColor="text1"/>
          <w:sz w:val="28"/>
          <w:szCs w:val="28"/>
          <w:lang w:val="en-US" w:eastAsia="zh-CN"/>
          <w14:textFill>
            <w14:solidFill>
              <w14:schemeClr w14:val="tx1"/>
            </w14:solidFill>
          </w14:textFill>
        </w:rPr>
        <w:t>用玄武岩</w:t>
      </w:r>
      <w:r>
        <w:rPr>
          <w:rFonts w:hint="eastAsia"/>
          <w:color w:val="000000" w:themeColor="text1"/>
          <w:sz w:val="28"/>
          <w:szCs w:val="28"/>
          <w14:textFill>
            <w14:solidFill>
              <w14:schemeClr w14:val="tx1"/>
            </w14:solidFill>
          </w14:textFill>
        </w:rPr>
        <w:t>，</w:t>
      </w:r>
      <w:r>
        <w:rPr>
          <w:rFonts w:hint="eastAsia"/>
          <w:sz w:val="28"/>
          <w:szCs w:val="28"/>
        </w:rPr>
        <w:t>拟申请的采矿权</w:t>
      </w:r>
      <w:r>
        <w:rPr>
          <w:rFonts w:hint="eastAsia"/>
          <w:sz w:val="28"/>
          <w:szCs w:val="28"/>
          <w:lang w:val="en-US" w:eastAsia="zh-CN"/>
        </w:rPr>
        <w:t>计算</w:t>
      </w:r>
      <w:r>
        <w:rPr>
          <w:sz w:val="28"/>
          <w:szCs w:val="28"/>
        </w:rPr>
        <w:t>生产服务年限约</w:t>
      </w:r>
      <w:r>
        <w:rPr>
          <w:rFonts w:hint="eastAsia"/>
          <w:sz w:val="28"/>
          <w:szCs w:val="28"/>
          <w:lang w:val="en-US" w:eastAsia="zh-CN"/>
        </w:rPr>
        <w:t>5.2</w:t>
      </w:r>
      <w:r>
        <w:rPr>
          <w:sz w:val="28"/>
          <w:szCs w:val="28"/>
        </w:rPr>
        <w:t>年</w:t>
      </w:r>
      <w:r>
        <w:rPr>
          <w:rFonts w:hint="eastAsia"/>
          <w:sz w:val="28"/>
          <w:szCs w:val="28"/>
          <w:lang w:eastAsia="zh-CN"/>
        </w:rPr>
        <w:t>，</w:t>
      </w:r>
      <w:r>
        <w:rPr>
          <w:sz w:val="28"/>
          <w:szCs w:val="28"/>
        </w:rPr>
        <w:t>基建期</w:t>
      </w:r>
      <w:r>
        <w:rPr>
          <w:rFonts w:hint="eastAsia"/>
          <w:sz w:val="28"/>
          <w:szCs w:val="28"/>
          <w:lang w:val="en-US" w:eastAsia="zh-CN"/>
        </w:rPr>
        <w:t>0.5</w:t>
      </w:r>
      <w:r>
        <w:rPr>
          <w:sz w:val="28"/>
          <w:szCs w:val="28"/>
        </w:rPr>
        <w:t>年，</w:t>
      </w:r>
      <w:r>
        <w:rPr>
          <w:rFonts w:hint="eastAsia"/>
          <w:sz w:val="28"/>
          <w:szCs w:val="28"/>
          <w:lang w:val="en-US" w:eastAsia="zh-CN"/>
        </w:rPr>
        <w:t>生产期5.5年，</w:t>
      </w:r>
      <w:r>
        <w:rPr>
          <w:sz w:val="28"/>
          <w:szCs w:val="28"/>
        </w:rPr>
        <w:t>闭坑治理1</w:t>
      </w:r>
      <w:r>
        <w:rPr>
          <w:rFonts w:hint="eastAsia"/>
          <w:sz w:val="28"/>
          <w:szCs w:val="28"/>
          <w:lang w:val="en-US" w:eastAsia="zh-CN"/>
        </w:rPr>
        <w:t>.0</w:t>
      </w:r>
      <w:r>
        <w:rPr>
          <w:sz w:val="28"/>
          <w:szCs w:val="28"/>
        </w:rPr>
        <w:t>年</w:t>
      </w:r>
      <w:r>
        <w:rPr>
          <w:rFonts w:hint="eastAsia"/>
          <w:sz w:val="28"/>
          <w:szCs w:val="28"/>
          <w:lang w:eastAsia="zh-CN"/>
        </w:rPr>
        <w:t>，</w:t>
      </w:r>
      <w:r>
        <w:rPr>
          <w:rFonts w:hint="eastAsia"/>
          <w:sz w:val="28"/>
          <w:szCs w:val="28"/>
          <w:lang w:val="en-US" w:eastAsia="zh-CN"/>
        </w:rPr>
        <w:t>总服务年限7年。</w:t>
      </w:r>
      <w:r>
        <w:rPr>
          <w:rFonts w:hint="eastAsia"/>
          <w:color w:val="000000" w:themeColor="text1"/>
          <w:sz w:val="28"/>
          <w:szCs w:val="28"/>
          <w:lang w:val="en-US" w:eastAsia="zh-CN"/>
          <w14:textFill>
            <w14:solidFill>
              <w14:schemeClr w14:val="tx1"/>
            </w14:solidFill>
          </w14:textFill>
        </w:rPr>
        <w:t>确定</w:t>
      </w:r>
      <w:r>
        <w:rPr>
          <w:rFonts w:hint="eastAsia"/>
          <w:color w:val="000000" w:themeColor="text1"/>
          <w:sz w:val="28"/>
          <w:szCs w:val="28"/>
          <w14:textFill>
            <w14:solidFill>
              <w14:schemeClr w14:val="tx1"/>
            </w14:solidFill>
          </w14:textFill>
        </w:rPr>
        <w:t>生产规模</w:t>
      </w:r>
      <w:r>
        <w:rPr>
          <w:rFonts w:hint="eastAsia"/>
          <w:sz w:val="28"/>
          <w:szCs w:val="28"/>
          <w:lang w:val="en-US" w:eastAsia="zh-CN"/>
        </w:rPr>
        <w:t>为15</w:t>
      </w:r>
      <w:r>
        <w:rPr>
          <w:rFonts w:hint="eastAsia"/>
          <w:sz w:val="28"/>
          <w:szCs w:val="28"/>
        </w:rPr>
        <w:t>万</w:t>
      </w:r>
      <w:r>
        <w:rPr>
          <w:sz w:val="28"/>
          <w:szCs w:val="28"/>
        </w:rPr>
        <w:t>m</w:t>
      </w:r>
      <w:r>
        <w:rPr>
          <w:sz w:val="28"/>
          <w:szCs w:val="28"/>
          <w:vertAlign w:val="superscript"/>
        </w:rPr>
        <w:t>3</w:t>
      </w:r>
      <w:r>
        <w:rPr>
          <w:sz w:val="28"/>
          <w:szCs w:val="28"/>
        </w:rPr>
        <w:t>/a</w:t>
      </w:r>
      <w:r>
        <w:rPr>
          <w:rFonts w:hint="eastAsia"/>
          <w:color w:val="000000" w:themeColor="text1"/>
          <w:sz w:val="28"/>
          <w:szCs w:val="28"/>
          <w14:textFill>
            <w14:solidFill>
              <w14:schemeClr w14:val="tx1"/>
            </w14:solidFill>
          </w14:textFill>
        </w:rPr>
        <w:t>，矿区面积0.1012km</w:t>
      </w:r>
      <w:r>
        <w:rPr>
          <w:rFonts w:hint="eastAsia"/>
          <w:color w:val="000000" w:themeColor="text1"/>
          <w:sz w:val="28"/>
          <w:szCs w:val="28"/>
          <w:vertAlign w:val="superscript"/>
          <w14:textFill>
            <w14:solidFill>
              <w14:schemeClr w14:val="tx1"/>
            </w14:solidFill>
          </w14:textFill>
        </w:rPr>
        <w:t>2</w:t>
      </w:r>
      <w:r>
        <w:rPr>
          <w:rFonts w:hint="eastAsia"/>
          <w:color w:val="000000" w:themeColor="text1"/>
          <w:sz w:val="28"/>
          <w:szCs w:val="28"/>
          <w14:textFill>
            <w14:solidFill>
              <w14:schemeClr w14:val="tx1"/>
            </w14:solidFill>
          </w14:textFill>
        </w:rPr>
        <w:t>，开采标高+59m～+30m。</w:t>
      </w:r>
    </w:p>
    <w:p w14:paraId="54C47AC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firstLine="560" w:firstLineChars="200"/>
        <w:outlineLvl w:val="9"/>
        <w:rPr>
          <w:rFonts w:hint="eastAsia" w:cs="宋体"/>
          <w:sz w:val="28"/>
          <w:szCs w:val="28"/>
          <w:lang w:val="en-US" w:eastAsia="zh-CN" w:bidi="ar-SA"/>
        </w:rPr>
      </w:pPr>
      <w:r>
        <w:rPr>
          <w:rFonts w:hint="eastAsia" w:cs="宋体"/>
          <w:sz w:val="28"/>
          <w:szCs w:val="28"/>
          <w:lang w:val="en-US" w:eastAsia="zh-CN" w:bidi="ar-SA"/>
        </w:rPr>
        <w:t>开采方案</w:t>
      </w:r>
    </w:p>
    <w:p w14:paraId="4F5897A2">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rPr>
          <w:rFonts w:hint="eastAsia"/>
          <w:sz w:val="28"/>
          <w:szCs w:val="28"/>
          <w:lang w:val="en-US" w:eastAsia="zh-CN"/>
        </w:rPr>
      </w:pPr>
      <w:r>
        <w:rPr>
          <w:rFonts w:hint="eastAsia" w:ascii="宋体" w:hAnsi="宋体" w:eastAsia="宋体" w:cs="宋体"/>
          <w:sz w:val="28"/>
          <w:szCs w:val="28"/>
          <w:lang w:val="en-US" w:eastAsia="zh-CN" w:bidi="ar-SA"/>
        </w:rPr>
        <w:t>（1）</w:t>
      </w:r>
      <w:r>
        <w:rPr>
          <w:rFonts w:hint="eastAsia"/>
          <w:sz w:val="28"/>
          <w:szCs w:val="28"/>
          <w:lang w:val="en-US" w:eastAsia="zh-CN"/>
        </w:rPr>
        <w:t>开采方式</w:t>
      </w:r>
    </w:p>
    <w:p w14:paraId="7D696D24">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rPr>
          <w:rFonts w:hint="default"/>
          <w:sz w:val="28"/>
          <w:szCs w:val="28"/>
          <w:lang w:val="en-US" w:eastAsia="zh-CN"/>
        </w:rPr>
      </w:pPr>
      <w:r>
        <w:rPr>
          <w:rFonts w:hint="default"/>
          <w:sz w:val="28"/>
          <w:szCs w:val="28"/>
          <w:lang w:val="en-US" w:eastAsia="zh-CN"/>
        </w:rPr>
        <w:t>确定矿山采用露天开采方式、自上而下分水平台阶式开采。</w:t>
      </w:r>
    </w:p>
    <w:p w14:paraId="0BFD52BE">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0" w:firstLineChars="200"/>
        <w:rPr>
          <w:rFonts w:hint="eastAsia"/>
          <w:sz w:val="28"/>
          <w:szCs w:val="28"/>
          <w:lang w:val="en-US" w:eastAsia="zh-CN"/>
        </w:rPr>
      </w:pPr>
      <w:r>
        <w:rPr>
          <w:rFonts w:hint="eastAsia" w:ascii="Times New Roman" w:hAnsi="Times New Roman" w:eastAsia="宋体" w:cs="Times New Roman"/>
          <w:sz w:val="28"/>
          <w:szCs w:val="28"/>
          <w:lang w:val="en-US" w:eastAsia="zh-CN" w:bidi="ar-SA"/>
        </w:rPr>
        <w:t>（2）</w:t>
      </w:r>
      <w:r>
        <w:rPr>
          <w:rFonts w:hint="eastAsia"/>
          <w:sz w:val="28"/>
          <w:szCs w:val="28"/>
          <w:lang w:val="en-US" w:eastAsia="zh-CN"/>
        </w:rPr>
        <w:t>开拓运输方案</w:t>
      </w:r>
    </w:p>
    <w:p w14:paraId="5AA043D3">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rPr>
          <w:rFonts w:hint="default"/>
          <w:sz w:val="28"/>
          <w:szCs w:val="28"/>
          <w:lang w:val="en-US" w:eastAsia="zh-CN"/>
        </w:rPr>
      </w:pPr>
      <w:r>
        <w:rPr>
          <w:rFonts w:hint="default"/>
          <w:sz w:val="28"/>
          <w:szCs w:val="28"/>
          <w:lang w:val="en-US" w:eastAsia="zh-CN"/>
        </w:rPr>
        <w:t>确定采用公路开拓</w:t>
      </w:r>
      <w:r>
        <w:rPr>
          <w:rFonts w:hint="eastAsia"/>
          <w:sz w:val="28"/>
          <w:szCs w:val="28"/>
          <w:lang w:val="en-US" w:eastAsia="zh-CN"/>
        </w:rPr>
        <w:t>-</w:t>
      </w:r>
      <w:r>
        <w:rPr>
          <w:rFonts w:hint="default"/>
          <w:sz w:val="28"/>
          <w:szCs w:val="28"/>
          <w:lang w:val="en-US" w:eastAsia="zh-CN"/>
        </w:rPr>
        <w:t>汽车运输方式</w:t>
      </w:r>
      <w:r>
        <w:rPr>
          <w:rFonts w:hint="eastAsia"/>
          <w:sz w:val="28"/>
          <w:szCs w:val="28"/>
          <w:lang w:val="en-US" w:eastAsia="zh-CN"/>
        </w:rPr>
        <w:t>，</w:t>
      </w:r>
      <w:r>
        <w:rPr>
          <w:rFonts w:hint="default"/>
          <w:sz w:val="28"/>
          <w:szCs w:val="28"/>
          <w:lang w:val="en-US" w:eastAsia="zh-CN"/>
        </w:rPr>
        <w:t>运输道路宽度为7m，单车道设置。</w:t>
      </w:r>
    </w:p>
    <w:p w14:paraId="7BA63FA0">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0" w:firstLineChars="200"/>
        <w:rPr>
          <w:rFonts w:hint="eastAsia"/>
          <w:sz w:val="28"/>
          <w:szCs w:val="28"/>
          <w:lang w:val="en-US" w:eastAsia="zh-CN"/>
        </w:rPr>
      </w:pPr>
      <w:r>
        <w:rPr>
          <w:rFonts w:hint="eastAsia" w:ascii="Times New Roman" w:hAnsi="Times New Roman" w:eastAsia="宋体" w:cs="Times New Roman"/>
          <w:sz w:val="28"/>
          <w:szCs w:val="28"/>
          <w:lang w:val="en-US" w:eastAsia="zh-CN" w:bidi="ar-SA"/>
        </w:rPr>
        <w:t>（3）</w:t>
      </w:r>
      <w:r>
        <w:rPr>
          <w:rFonts w:hint="eastAsia"/>
          <w:sz w:val="28"/>
          <w:szCs w:val="28"/>
          <w:lang w:val="en-US" w:eastAsia="zh-CN"/>
        </w:rPr>
        <w:t>开采工艺</w:t>
      </w:r>
    </w:p>
    <w:p w14:paraId="237DD154">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560" w:firstLineChars="200"/>
        <w:rPr>
          <w:rFonts w:hint="default"/>
          <w:sz w:val="28"/>
          <w:szCs w:val="28"/>
          <w:lang w:val="en-US" w:eastAsia="zh-CN"/>
        </w:rPr>
      </w:pPr>
      <w:r>
        <w:rPr>
          <w:rFonts w:hint="default"/>
          <w:sz w:val="28"/>
          <w:szCs w:val="28"/>
          <w:lang w:val="en-US" w:eastAsia="zh-CN"/>
        </w:rPr>
        <w:t>采用自上而下台阶式分层采剥法：矿体及中风化玄武岩（含夹层）较为坚硬，需要使用深孔凿岩爆破，爆破后爆堆采用挖掘机铲装、汽车运输；残坡积层和全风化玄武岩较为松散，可采用挖掘机直接挖掘装车、汽车运输。</w:t>
      </w:r>
    </w:p>
    <w:p w14:paraId="0FDF9786">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rPr>
          <w:rFonts w:hint="default"/>
          <w:sz w:val="28"/>
          <w:szCs w:val="28"/>
          <w:lang w:val="en-US" w:eastAsia="zh-CN"/>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lang w:val="en-US" w:eastAsia="zh-CN"/>
        </w:rPr>
        <w:t>开采境界</w:t>
      </w:r>
    </w:p>
    <w:p w14:paraId="6E62EF07">
      <w:pPr>
        <w:pStyle w:val="2"/>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560" w:firstLineChars="200"/>
        <w:rPr>
          <w:rFonts w:hint="eastAsia"/>
          <w:sz w:val="28"/>
          <w:szCs w:val="28"/>
        </w:rPr>
      </w:pPr>
      <w:r>
        <w:rPr>
          <w:rFonts w:hint="eastAsia"/>
          <w:color w:val="000000" w:themeColor="text1"/>
          <w:sz w:val="28"/>
          <w:szCs w:val="28"/>
          <w:highlight w:val="none"/>
          <w:lang w:val="en-US" w:eastAsia="zh-CN"/>
          <w14:textFill>
            <w14:solidFill>
              <w14:schemeClr w14:val="tx1"/>
            </w14:solidFill>
          </w14:textFill>
        </w:rPr>
        <w:t>依据开发利用</w:t>
      </w:r>
      <w:r>
        <w:rPr>
          <w:rFonts w:hint="eastAsia"/>
          <w:color w:val="000000" w:themeColor="text1"/>
          <w:sz w:val="28"/>
          <w:szCs w:val="28"/>
          <w:highlight w:val="none"/>
          <w14:textFill>
            <w14:solidFill>
              <w14:schemeClr w14:val="tx1"/>
            </w14:solidFill>
          </w14:textFill>
        </w:rPr>
        <w:t>方案，矿山计划自上而下水平台阶开采。</w:t>
      </w:r>
      <w:r>
        <w:rPr>
          <w:rFonts w:hint="eastAsia"/>
          <w:sz w:val="28"/>
          <w:szCs w:val="28"/>
        </w:rPr>
        <w:t>最高</w:t>
      </w:r>
      <w:r>
        <w:rPr>
          <w:rFonts w:hint="eastAsia"/>
          <w:sz w:val="28"/>
          <w:szCs w:val="28"/>
          <w:lang w:val="en-US" w:eastAsia="zh-CN"/>
        </w:rPr>
        <w:t>开采</w:t>
      </w:r>
      <w:r>
        <w:rPr>
          <w:rFonts w:hint="eastAsia"/>
          <w:sz w:val="28"/>
          <w:szCs w:val="28"/>
        </w:rPr>
        <w:t>标高为</w:t>
      </w:r>
      <w:r>
        <w:rPr>
          <w:rFonts w:hint="eastAsia"/>
          <w:sz w:val="28"/>
          <w:szCs w:val="28"/>
          <w:lang w:val="en-US" w:eastAsia="zh-CN"/>
        </w:rPr>
        <w:t>+</w:t>
      </w:r>
      <w:r>
        <w:rPr>
          <w:rFonts w:hint="eastAsia"/>
          <w:sz w:val="28"/>
          <w:szCs w:val="28"/>
        </w:rPr>
        <w:t>59m，</w:t>
      </w:r>
      <w:r>
        <w:rPr>
          <w:rFonts w:hint="eastAsia"/>
          <w:sz w:val="28"/>
          <w:szCs w:val="28"/>
          <w:lang w:val="en-US" w:eastAsia="zh-CN"/>
        </w:rPr>
        <w:t>最低开采</w:t>
      </w:r>
      <w:r>
        <w:rPr>
          <w:rFonts w:hint="eastAsia"/>
          <w:sz w:val="28"/>
          <w:szCs w:val="28"/>
        </w:rPr>
        <w:t>标高为</w:t>
      </w:r>
      <w:r>
        <w:rPr>
          <w:rFonts w:hint="eastAsia"/>
          <w:sz w:val="28"/>
          <w:szCs w:val="28"/>
          <w:lang w:val="en-US" w:eastAsia="zh-CN"/>
        </w:rPr>
        <w:t>+</w:t>
      </w:r>
      <w:r>
        <w:rPr>
          <w:rFonts w:hint="eastAsia"/>
          <w:sz w:val="28"/>
          <w:szCs w:val="28"/>
        </w:rPr>
        <w:t>30m</w:t>
      </w:r>
      <w:r>
        <w:rPr>
          <w:rFonts w:hint="eastAsia"/>
          <w:sz w:val="28"/>
          <w:szCs w:val="28"/>
          <w:lang w:eastAsia="zh-CN"/>
        </w:rPr>
        <w:t>。</w:t>
      </w:r>
      <w:r>
        <w:rPr>
          <w:rFonts w:hint="eastAsia"/>
          <w:color w:val="000000" w:themeColor="text1"/>
          <w:sz w:val="28"/>
          <w:szCs w:val="28"/>
          <w:highlight w:val="none"/>
          <w14:textFill>
            <w14:solidFill>
              <w14:schemeClr w14:val="tx1"/>
            </w14:solidFill>
          </w14:textFill>
        </w:rPr>
        <w:t>残破积层台阶及全风化岩台阶高度≤10m，终了台阶坡面角45°；半风化层台阶高度≤10m，终了台阶坡面角45°；微-未风化岩台阶高度≤12m，终了台阶坡面角60°。</w:t>
      </w:r>
      <w:r>
        <w:rPr>
          <w:rFonts w:hint="eastAsia"/>
          <w:sz w:val="28"/>
          <w:szCs w:val="28"/>
        </w:rPr>
        <w:t>安全平台宽度4m</w:t>
      </w:r>
      <w:r>
        <w:rPr>
          <w:rFonts w:hint="eastAsia"/>
          <w:sz w:val="28"/>
          <w:szCs w:val="28"/>
          <w:lang w:eastAsia="zh-CN"/>
        </w:rPr>
        <w:t>，</w:t>
      </w:r>
      <w:r>
        <w:rPr>
          <w:rFonts w:hint="eastAsia"/>
          <w:sz w:val="28"/>
          <w:szCs w:val="28"/>
        </w:rPr>
        <w:t>最小工作平台宽度40m。以矿区的资源储量</w:t>
      </w:r>
      <w:r>
        <w:rPr>
          <w:rFonts w:hint="eastAsia"/>
          <w:sz w:val="28"/>
          <w:szCs w:val="28"/>
          <w:lang w:val="en-US" w:eastAsia="zh-CN"/>
        </w:rPr>
        <w:t>核实报告</w:t>
      </w:r>
      <w:r>
        <w:rPr>
          <w:rFonts w:hint="eastAsia"/>
          <w:sz w:val="28"/>
          <w:szCs w:val="28"/>
        </w:rPr>
        <w:t>最低标高</w:t>
      </w:r>
      <w:r>
        <w:rPr>
          <w:rFonts w:hint="eastAsia"/>
          <w:sz w:val="28"/>
          <w:szCs w:val="28"/>
          <w:lang w:val="en-US" w:eastAsia="zh-CN"/>
        </w:rPr>
        <w:t>+</w:t>
      </w:r>
      <w:r>
        <w:rPr>
          <w:rFonts w:hint="eastAsia"/>
          <w:sz w:val="28"/>
          <w:szCs w:val="28"/>
        </w:rPr>
        <w:t>30m作为采场底标高，最终采场境界面积2</w:t>
      </w:r>
      <w:r>
        <w:rPr>
          <w:sz w:val="28"/>
          <w:szCs w:val="28"/>
        </w:rPr>
        <w:t>68675</w:t>
      </w:r>
      <w:r>
        <w:rPr>
          <w:rFonts w:hint="eastAsia"/>
          <w:sz w:val="28"/>
          <w:szCs w:val="28"/>
        </w:rPr>
        <w:t>m</w:t>
      </w:r>
      <w:r>
        <w:rPr>
          <w:rFonts w:hint="eastAsia"/>
          <w:sz w:val="28"/>
          <w:szCs w:val="28"/>
          <w:vertAlign w:val="superscript"/>
        </w:rPr>
        <w:t>2</w:t>
      </w:r>
      <w:r>
        <w:rPr>
          <w:rFonts w:hint="eastAsia"/>
          <w:sz w:val="28"/>
          <w:szCs w:val="28"/>
        </w:rPr>
        <w:t>。采场底部平台宽度35～300m。</w:t>
      </w:r>
    </w:p>
    <w:p w14:paraId="0ABA1B5B">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rPr>
          <w:rFonts w:hint="default" w:eastAsia="宋体"/>
          <w:sz w:val="28"/>
          <w:szCs w:val="28"/>
          <w:lang w:val="en-US" w:eastAsia="zh-CN"/>
        </w:rPr>
      </w:pPr>
      <w:r>
        <w:rPr>
          <w:rFonts w:hint="eastAsia"/>
          <w:sz w:val="28"/>
          <w:szCs w:val="28"/>
          <w:lang w:val="en-US" w:eastAsia="zh-CN"/>
        </w:rPr>
        <w:t>4、矿山总平面布置</w:t>
      </w:r>
    </w:p>
    <w:p w14:paraId="457315C1">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ascii="宋体" w:hAnsi="宋体"/>
          <w:sz w:val="28"/>
          <w:szCs w:val="28"/>
        </w:rPr>
      </w:pPr>
      <w:r>
        <w:rPr>
          <w:rFonts w:hint="eastAsia" w:ascii="宋体" w:hAnsi="宋体"/>
          <w:sz w:val="28"/>
          <w:szCs w:val="28"/>
        </w:rPr>
        <w:t>矿山总平面布置主要</w:t>
      </w:r>
      <w:r>
        <w:rPr>
          <w:rFonts w:hint="eastAsia" w:ascii="宋体" w:hAnsi="宋体"/>
          <w:sz w:val="28"/>
          <w:szCs w:val="28"/>
          <w:lang w:eastAsia="zh-CN"/>
        </w:rPr>
        <w:t>有</w:t>
      </w:r>
      <w:r>
        <w:rPr>
          <w:rFonts w:hint="eastAsia" w:ascii="宋体" w:hAnsi="宋体"/>
          <w:sz w:val="28"/>
          <w:szCs w:val="28"/>
        </w:rPr>
        <w:t>露天采场、复垦用土临时堆场</w:t>
      </w:r>
      <w:r>
        <w:rPr>
          <w:rFonts w:hint="eastAsia" w:ascii="宋体" w:hAnsi="宋体"/>
          <w:sz w:val="28"/>
          <w:szCs w:val="28"/>
          <w:lang w:eastAsia="zh-CN"/>
        </w:rPr>
        <w:t>、排土场、破碎站、办公生活区</w:t>
      </w:r>
      <w:r>
        <w:rPr>
          <w:rFonts w:hint="eastAsia" w:ascii="宋体" w:hAnsi="宋体"/>
          <w:sz w:val="28"/>
          <w:szCs w:val="28"/>
          <w:lang w:val="en-US" w:eastAsia="zh-CN"/>
        </w:rPr>
        <w:t>等（见图1-3）</w:t>
      </w:r>
      <w:r>
        <w:rPr>
          <w:rFonts w:hint="eastAsia" w:ascii="宋体" w:hAnsi="宋体"/>
          <w:sz w:val="28"/>
          <w:szCs w:val="28"/>
        </w:rPr>
        <w:t>。</w:t>
      </w:r>
    </w:p>
    <w:p w14:paraId="30BC73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cs="宋体"/>
          <w:kern w:val="0"/>
          <w:sz w:val="28"/>
          <w:szCs w:val="28"/>
        </w:rPr>
      </w:pPr>
      <w:r>
        <w:rPr>
          <w:rFonts w:hint="eastAsia" w:ascii="宋体" w:hAnsi="宋体" w:eastAsia="宋体" w:cs="宋体"/>
          <w:kern w:val="0"/>
          <w:sz w:val="28"/>
          <w:szCs w:val="28"/>
          <w:lang w:val="en-US" w:eastAsia="zh-CN" w:bidi="ar-SA"/>
        </w:rPr>
        <w:t>（1）</w:t>
      </w:r>
      <w:r>
        <w:rPr>
          <w:rFonts w:hint="eastAsia" w:ascii="宋体" w:hAnsi="宋体" w:cs="宋体"/>
          <w:kern w:val="0"/>
          <w:sz w:val="28"/>
          <w:szCs w:val="28"/>
        </w:rPr>
        <w:t>露天采场</w:t>
      </w:r>
    </w:p>
    <w:p w14:paraId="0BBFE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sz w:val="28"/>
          <w:szCs w:val="28"/>
          <w:lang w:eastAsia="zh-CN"/>
        </w:rPr>
      </w:pPr>
      <w:r>
        <w:rPr>
          <w:rFonts w:hint="eastAsia"/>
          <w:color w:val="000000" w:themeColor="text1"/>
          <w:sz w:val="28"/>
          <w:szCs w:val="28"/>
          <w:lang w:val="en-US" w:eastAsia="zh-CN"/>
          <w14:textFill>
            <w14:solidFill>
              <w14:schemeClr w14:val="tx1"/>
            </w14:solidFill>
          </w14:textFill>
        </w:rPr>
        <w:t>露天</w:t>
      </w:r>
      <w:r>
        <w:rPr>
          <w:rFonts w:hint="eastAsia"/>
          <w:color w:val="000000" w:themeColor="text1"/>
          <w:sz w:val="28"/>
          <w:szCs w:val="28"/>
          <w14:textFill>
            <w14:solidFill>
              <w14:schemeClr w14:val="tx1"/>
            </w14:solidFill>
          </w14:textFill>
        </w:rPr>
        <w:t>采场占地</w:t>
      </w:r>
      <w:r>
        <w:rPr>
          <w:rFonts w:hint="eastAsia"/>
          <w:color w:val="000000" w:themeColor="text1"/>
          <w:sz w:val="28"/>
          <w:szCs w:val="28"/>
          <w:lang w:val="en-US" w:eastAsia="zh-CN"/>
          <w14:textFill>
            <w14:solidFill>
              <w14:schemeClr w14:val="tx1"/>
            </w14:solidFill>
          </w14:textFill>
        </w:rPr>
        <w:t>0.1012k</w:t>
      </w:r>
      <w:r>
        <w:rPr>
          <w:rFonts w:hint="eastAsia"/>
          <w:color w:val="000000" w:themeColor="text1"/>
          <w:sz w:val="28"/>
          <w:szCs w:val="28"/>
          <w14:textFill>
            <w14:solidFill>
              <w14:schemeClr w14:val="tx1"/>
            </w14:solidFill>
          </w14:textFill>
        </w:rPr>
        <w:t>m²，</w:t>
      </w:r>
      <w:r>
        <w:rPr>
          <w:rFonts w:hint="eastAsia" w:ascii="宋体" w:hAnsi="宋体" w:cs="宋体"/>
          <w:kern w:val="0"/>
          <w:sz w:val="28"/>
          <w:szCs w:val="28"/>
        </w:rPr>
        <w:t>拟定开采深度为标高</w:t>
      </w:r>
      <w:r>
        <w:rPr>
          <w:rFonts w:hint="eastAsia"/>
          <w:sz w:val="28"/>
          <w:szCs w:val="28"/>
        </w:rPr>
        <w:t>+59</w:t>
      </w:r>
      <w:r>
        <w:rPr>
          <w:sz w:val="28"/>
          <w:szCs w:val="28"/>
        </w:rPr>
        <w:t>m～</w:t>
      </w:r>
      <w:r>
        <w:rPr>
          <w:rFonts w:hint="eastAsia"/>
          <w:sz w:val="28"/>
          <w:szCs w:val="28"/>
        </w:rPr>
        <w:t>+30</w:t>
      </w:r>
      <w:r>
        <w:rPr>
          <w:sz w:val="28"/>
          <w:szCs w:val="28"/>
        </w:rPr>
        <w:t>m</w:t>
      </w:r>
      <w:r>
        <w:rPr>
          <w:rFonts w:hint="eastAsia" w:ascii="宋体" w:hAnsi="宋体"/>
          <w:sz w:val="28"/>
          <w:szCs w:val="28"/>
          <w:lang w:eastAsia="zh-CN"/>
        </w:rPr>
        <w:t>。</w:t>
      </w:r>
    </w:p>
    <w:p w14:paraId="4A7C82FD">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rPr>
          <w:rFonts w:hint="eastAsia" w:ascii="宋体" w:hAnsi="宋体"/>
          <w:sz w:val="28"/>
          <w:szCs w:val="28"/>
        </w:rPr>
      </w:pPr>
      <w:r>
        <w:rPr>
          <w:rFonts w:hint="eastAsia" w:ascii="宋体" w:hAnsi="宋体" w:eastAsia="宋体" w:cs="宋体"/>
          <w:sz w:val="28"/>
          <w:szCs w:val="28"/>
          <w:lang w:val="en-US" w:eastAsia="zh-CN" w:bidi="ar-SA"/>
        </w:rPr>
        <w:t>（2）</w:t>
      </w:r>
      <w:r>
        <w:rPr>
          <w:rFonts w:hint="eastAsia" w:ascii="宋体" w:hAnsi="宋体"/>
          <w:sz w:val="28"/>
          <w:szCs w:val="28"/>
        </w:rPr>
        <w:t>复垦用土临时堆场</w:t>
      </w:r>
    </w:p>
    <w:p w14:paraId="4F874487">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560" w:firstLineChars="200"/>
        <w:jc w:val="left"/>
        <w:textAlignment w:val="baseline"/>
        <w:rPr>
          <w:rFonts w:hint="eastAsia" w:ascii="宋体" w:hAnsi="宋体"/>
          <w:sz w:val="28"/>
          <w:szCs w:val="28"/>
        </w:rPr>
      </w:pPr>
      <w:r>
        <w:rPr>
          <w:rFonts w:hint="eastAsia" w:ascii="宋体" w:hAnsi="宋体"/>
          <w:sz w:val="28"/>
          <w:szCs w:val="28"/>
        </w:rPr>
        <w:t>复垦用土临时堆场设置于矿区南侧、破碎站北侧，地势平坦，设计最大堆放场地面积</w:t>
      </w:r>
      <w:r>
        <w:rPr>
          <w:rFonts w:hint="default" w:ascii="Times New Roman" w:hAnsi="Times New Roman" w:cs="Times New Roman"/>
          <w:sz w:val="28"/>
          <w:szCs w:val="28"/>
        </w:rPr>
        <w:t>14921m</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w:t>
      </w:r>
      <w:r>
        <w:rPr>
          <w:rFonts w:hint="eastAsia" w:ascii="宋体" w:hAnsi="宋体" w:cs="宋体"/>
          <w:sz w:val="28"/>
          <w:szCs w:val="28"/>
        </w:rPr>
        <w:t>包括料堆面积、汽车装运场地、拦挡设施及截排水设施）</w:t>
      </w:r>
      <w:r>
        <w:rPr>
          <w:rFonts w:hint="eastAsia" w:ascii="宋体" w:hAnsi="宋体"/>
          <w:sz w:val="28"/>
          <w:szCs w:val="28"/>
        </w:rPr>
        <w:t>，</w:t>
      </w:r>
      <w:r>
        <w:rPr>
          <w:rFonts w:hint="eastAsia" w:ascii="宋体" w:hAnsi="宋体" w:cs="宋体"/>
          <w:sz w:val="28"/>
          <w:szCs w:val="28"/>
        </w:rPr>
        <w:t>场地平整后的标高为</w:t>
      </w:r>
      <w:r>
        <w:rPr>
          <w:rFonts w:hint="default" w:ascii="Times New Roman" w:hAnsi="Times New Roman" w:cs="Times New Roman"/>
          <w:sz w:val="28"/>
          <w:szCs w:val="28"/>
        </w:rPr>
        <w:t>59m。</w:t>
      </w:r>
    </w:p>
    <w:p w14:paraId="165183A8">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rPr>
          <w:rFonts w:hint="eastAsia" w:eastAsia="宋体"/>
          <w:sz w:val="28"/>
          <w:szCs w:val="28"/>
          <w:lang w:val="en-US" w:eastAsia="zh-CN"/>
        </w:rPr>
      </w:pPr>
      <w:r>
        <w:rPr>
          <w:rFonts w:hint="eastAsia" w:ascii="宋体" w:hAnsi="宋体"/>
          <w:sz w:val="28"/>
          <w:szCs w:val="28"/>
          <w:lang w:eastAsia="zh-CN"/>
        </w:rPr>
        <w:t>（</w:t>
      </w:r>
      <w:r>
        <w:rPr>
          <w:rFonts w:hint="eastAsia" w:ascii="宋体" w:hAnsi="宋体"/>
          <w:sz w:val="28"/>
          <w:szCs w:val="28"/>
          <w:lang w:val="en-US" w:eastAsia="zh-CN"/>
        </w:rPr>
        <w:t>3</w:t>
      </w:r>
      <w:r>
        <w:rPr>
          <w:rFonts w:hint="eastAsia" w:ascii="宋体" w:hAnsi="宋体"/>
          <w:sz w:val="28"/>
          <w:szCs w:val="28"/>
          <w:lang w:eastAsia="zh-CN"/>
        </w:rPr>
        <w:t>）</w:t>
      </w:r>
      <w:r>
        <w:rPr>
          <w:rFonts w:hint="eastAsia" w:ascii="宋体" w:hAnsi="宋体"/>
          <w:color w:val="000000"/>
          <w:sz w:val="28"/>
          <w:szCs w:val="28"/>
        </w:rPr>
        <w:t>排土场</w:t>
      </w:r>
    </w:p>
    <w:p w14:paraId="142E5DA2">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rPr>
          <w:rFonts w:hint="eastAsia"/>
          <w:sz w:val="28"/>
          <w:szCs w:val="28"/>
        </w:rPr>
      </w:pPr>
      <w:r>
        <w:rPr>
          <w:rFonts w:hint="eastAsia" w:ascii="宋体" w:hAnsi="宋体"/>
          <w:color w:val="000000"/>
          <w:sz w:val="28"/>
          <w:szCs w:val="28"/>
        </w:rPr>
        <w:t>排土场设置在矿区</w:t>
      </w:r>
      <w:r>
        <w:rPr>
          <w:rFonts w:hint="eastAsia" w:ascii="宋体" w:hAnsi="宋体"/>
          <w:sz w:val="28"/>
          <w:szCs w:val="28"/>
        </w:rPr>
        <w:t>3号拐点西南侧</w:t>
      </w:r>
      <w:r>
        <w:rPr>
          <w:rFonts w:hint="eastAsia"/>
          <w:sz w:val="28"/>
          <w:szCs w:val="28"/>
        </w:rPr>
        <w:t>一旧采坑</w:t>
      </w:r>
      <w:r>
        <w:rPr>
          <w:rFonts w:hint="eastAsia" w:ascii="宋体" w:hAnsi="宋体"/>
          <w:sz w:val="28"/>
          <w:szCs w:val="28"/>
        </w:rPr>
        <w:t>，总占地面积约</w:t>
      </w:r>
      <w:r>
        <w:rPr>
          <w:rFonts w:ascii="宋体" w:hAnsi="宋体"/>
          <w:sz w:val="28"/>
          <w:szCs w:val="28"/>
        </w:rPr>
        <w:t>24635</w:t>
      </w:r>
      <w:r>
        <w:rPr>
          <w:rFonts w:hint="eastAsia" w:ascii="宋体" w:hAnsi="宋体"/>
          <w:sz w:val="28"/>
          <w:szCs w:val="28"/>
        </w:rPr>
        <w:t>m</w:t>
      </w:r>
      <w:r>
        <w:rPr>
          <w:rFonts w:hint="eastAsia" w:ascii="宋体" w:hAnsi="宋体"/>
          <w:sz w:val="28"/>
          <w:szCs w:val="28"/>
          <w:vertAlign w:val="superscript"/>
        </w:rPr>
        <w:t>2</w:t>
      </w:r>
      <w:r>
        <w:rPr>
          <w:rFonts w:hint="eastAsia" w:ascii="宋体" w:hAnsi="宋体" w:cs="宋体"/>
          <w:sz w:val="28"/>
          <w:szCs w:val="28"/>
        </w:rPr>
        <w:t>（包括料堆面积、汽车装运场地及截排水设施）</w:t>
      </w:r>
      <w:r>
        <w:rPr>
          <w:rFonts w:hint="eastAsia" w:ascii="宋体" w:hAnsi="宋体"/>
          <w:sz w:val="28"/>
          <w:szCs w:val="28"/>
        </w:rPr>
        <w:t>。根据场地情况，</w:t>
      </w:r>
      <w:r>
        <w:rPr>
          <w:rFonts w:hint="eastAsia" w:ascii="宋体" w:hAnsi="宋体" w:cs="宋体"/>
          <w:sz w:val="28"/>
          <w:szCs w:val="28"/>
        </w:rPr>
        <w:t>采用</w:t>
      </w:r>
      <w:r>
        <w:rPr>
          <w:rFonts w:hint="eastAsia"/>
          <w:sz w:val="28"/>
          <w:szCs w:val="28"/>
        </w:rPr>
        <w:t>凹陷地形堆放</w:t>
      </w:r>
      <w:r>
        <w:rPr>
          <w:rFonts w:hint="eastAsia" w:ascii="宋体" w:hAnsi="宋体" w:cs="宋体"/>
          <w:sz w:val="28"/>
          <w:szCs w:val="28"/>
        </w:rPr>
        <w:t>方式堆填</w:t>
      </w:r>
      <w:r>
        <w:rPr>
          <w:rFonts w:hint="eastAsia"/>
          <w:sz w:val="28"/>
          <w:szCs w:val="28"/>
        </w:rPr>
        <w:t>，设计排土场堆土的顶部标高至约53-57m，堆放完成后形成北东平台（标高约57m）南西平台（标高约53m）两个堆填终了平台。</w:t>
      </w:r>
    </w:p>
    <w:p w14:paraId="495BACE1">
      <w:pPr>
        <w:pStyle w:val="2"/>
        <w:keepNext w:val="0"/>
        <w:keepLines w:val="0"/>
        <w:pageBreakBefore w:val="0"/>
        <w:widowControl w:val="0"/>
        <w:kinsoku/>
        <w:wordWrap/>
        <w:overflowPunct/>
        <w:topLinePunct w:val="0"/>
        <w:autoSpaceDE/>
        <w:autoSpaceDN/>
        <w:bidi w:val="0"/>
        <w:adjustRightInd/>
        <w:snapToGrid/>
        <w:spacing w:beforeLines="0" w:afterLines="0" w:line="360" w:lineRule="auto"/>
        <w:textAlignment w:val="baseline"/>
        <w:rPr>
          <w:rFonts w:hint="eastAsia"/>
          <w:sz w:val="28"/>
          <w:szCs w:val="28"/>
          <w:lang w:val="en-US" w:eastAsia="zh-CN"/>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ascii="宋体" w:hAnsi="宋体"/>
          <w:sz w:val="28"/>
          <w:szCs w:val="28"/>
          <w:lang w:eastAsia="zh-CN"/>
        </w:rPr>
        <w:t>破碎站</w:t>
      </w:r>
    </w:p>
    <w:p w14:paraId="358A9995">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sz w:val="28"/>
          <w:szCs w:val="28"/>
          <w:lang w:val="en-US" w:eastAsia="zh-CN"/>
        </w:rPr>
      </w:pPr>
      <w:r>
        <w:rPr>
          <w:rFonts w:hint="eastAsia" w:ascii="宋体" w:hAnsi="宋体"/>
          <w:sz w:val="28"/>
          <w:szCs w:val="28"/>
        </w:rPr>
        <w:t>破碎站设置在矿区</w:t>
      </w:r>
      <w:r>
        <w:rPr>
          <w:rFonts w:hint="eastAsia"/>
          <w:sz w:val="28"/>
          <w:szCs w:val="28"/>
        </w:rPr>
        <w:t>东南部</w:t>
      </w:r>
      <w:r>
        <w:rPr>
          <w:rFonts w:hint="eastAsia" w:ascii="宋体" w:hAnsi="宋体"/>
          <w:sz w:val="28"/>
          <w:szCs w:val="28"/>
        </w:rPr>
        <w:t>，场地原始地形标高约为+</w:t>
      </w:r>
      <w:r>
        <w:rPr>
          <w:rFonts w:ascii="宋体" w:hAnsi="宋体"/>
          <w:sz w:val="28"/>
          <w:szCs w:val="28"/>
        </w:rPr>
        <w:t>59</w:t>
      </w:r>
      <w:r>
        <w:rPr>
          <w:rFonts w:hint="eastAsia" w:ascii="宋体" w:hAnsi="宋体"/>
          <w:sz w:val="28"/>
          <w:szCs w:val="28"/>
        </w:rPr>
        <w:t>m～+</w:t>
      </w:r>
      <w:r>
        <w:rPr>
          <w:rFonts w:ascii="宋体" w:hAnsi="宋体"/>
          <w:sz w:val="28"/>
          <w:szCs w:val="28"/>
        </w:rPr>
        <w:t>69</w:t>
      </w:r>
      <w:r>
        <w:rPr>
          <w:rFonts w:hint="eastAsia" w:ascii="宋体" w:hAnsi="宋体"/>
          <w:sz w:val="28"/>
          <w:szCs w:val="28"/>
        </w:rPr>
        <w:t>m之间，地形平缓、开阔</w:t>
      </w:r>
      <w:r>
        <w:rPr>
          <w:rFonts w:hint="eastAsia" w:ascii="宋体" w:hAnsi="宋体"/>
          <w:sz w:val="28"/>
          <w:szCs w:val="28"/>
          <w:lang w:eastAsia="zh-CN"/>
        </w:rPr>
        <w:t>，</w:t>
      </w:r>
      <w:r>
        <w:rPr>
          <w:rFonts w:hint="eastAsia" w:ascii="宋体" w:hAnsi="宋体"/>
          <w:sz w:val="28"/>
          <w:szCs w:val="28"/>
          <w:lang w:val="en-US" w:eastAsia="zh-CN"/>
        </w:rPr>
        <w:t>总占地面积19368</w:t>
      </w:r>
      <w:r>
        <w:rPr>
          <w:rFonts w:hint="eastAsia" w:ascii="宋体" w:hAnsi="宋体"/>
          <w:sz w:val="28"/>
          <w:szCs w:val="28"/>
        </w:rPr>
        <w:t>m</w:t>
      </w:r>
      <w:r>
        <w:rPr>
          <w:rFonts w:hint="eastAsia" w:ascii="宋体" w:hAnsi="宋体"/>
          <w:sz w:val="28"/>
          <w:szCs w:val="28"/>
          <w:vertAlign w:val="superscript"/>
        </w:rPr>
        <w:t>2</w:t>
      </w:r>
      <w:r>
        <w:rPr>
          <w:rFonts w:hint="eastAsia" w:ascii="宋体" w:hAnsi="宋体"/>
          <w:sz w:val="28"/>
          <w:szCs w:val="28"/>
        </w:rPr>
        <w:t>。整个破碎站场地建设根据矿山成品方案，结合地形条件，共设+</w:t>
      </w:r>
      <w:r>
        <w:rPr>
          <w:rFonts w:ascii="宋体" w:hAnsi="宋体"/>
          <w:sz w:val="28"/>
          <w:szCs w:val="28"/>
        </w:rPr>
        <w:t>65</w:t>
      </w:r>
      <w:r>
        <w:rPr>
          <w:rFonts w:hint="eastAsia" w:ascii="宋体" w:hAnsi="宋体"/>
          <w:sz w:val="28"/>
          <w:szCs w:val="28"/>
        </w:rPr>
        <w:t>m卸矿平台、+</w:t>
      </w:r>
      <w:r>
        <w:rPr>
          <w:rFonts w:ascii="宋体" w:hAnsi="宋体"/>
          <w:sz w:val="28"/>
          <w:szCs w:val="28"/>
        </w:rPr>
        <w:t>60</w:t>
      </w:r>
      <w:r>
        <w:rPr>
          <w:rFonts w:hint="eastAsia" w:ascii="宋体" w:hAnsi="宋体"/>
          <w:sz w:val="28"/>
          <w:szCs w:val="28"/>
        </w:rPr>
        <w:t>m破碎及堆场平台。</w:t>
      </w:r>
    </w:p>
    <w:p w14:paraId="6A9E89A2">
      <w:pPr>
        <w:pStyle w:val="3"/>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sz w:val="28"/>
          <w:szCs w:val="28"/>
          <w:lang w:eastAsia="zh-CN"/>
        </w:rPr>
      </w:pPr>
      <w:r>
        <w:rPr>
          <w:rFonts w:hint="eastAsia" w:ascii="宋体" w:hAnsi="宋体"/>
          <w:sz w:val="28"/>
          <w:szCs w:val="28"/>
          <w:lang w:eastAsia="zh-CN"/>
        </w:rPr>
        <w:t>办公生活区</w:t>
      </w:r>
    </w:p>
    <w:p w14:paraId="4D523D9E">
      <w:pPr>
        <w:pStyle w:val="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0" w:firstLineChars="200"/>
        <w:jc w:val="both"/>
        <w:textAlignment w:val="auto"/>
        <w:rPr>
          <w:rFonts w:hint="eastAsia" w:ascii="宋体" w:hAnsi="宋体" w:cs="宋体"/>
          <w:kern w:val="0"/>
          <w:sz w:val="28"/>
          <w:szCs w:val="28"/>
          <w:lang w:val="en-US" w:eastAsia="zh-CN"/>
        </w:rPr>
      </w:pPr>
      <w:r>
        <w:rPr>
          <w:rFonts w:hint="eastAsia" w:ascii="宋体" w:hAnsi="宋体"/>
          <w:sz w:val="28"/>
          <w:szCs w:val="28"/>
        </w:rPr>
        <w:t>办公生活区设置在矿区</w:t>
      </w:r>
      <w:r>
        <w:rPr>
          <w:rFonts w:hint="eastAsia"/>
          <w:sz w:val="28"/>
          <w:szCs w:val="28"/>
        </w:rPr>
        <w:t>东南部</w:t>
      </w:r>
      <w:r>
        <w:rPr>
          <w:rFonts w:hint="eastAsia" w:ascii="宋体" w:hAnsi="宋体"/>
          <w:sz w:val="28"/>
          <w:szCs w:val="28"/>
        </w:rPr>
        <w:t>，直线距离矿区范围约</w:t>
      </w:r>
      <w:r>
        <w:rPr>
          <w:rFonts w:ascii="宋体" w:hAnsi="宋体"/>
          <w:sz w:val="28"/>
          <w:szCs w:val="28"/>
        </w:rPr>
        <w:t>300</w:t>
      </w:r>
      <w:r>
        <w:rPr>
          <w:rFonts w:hint="eastAsia" w:ascii="宋体" w:hAnsi="宋体"/>
          <w:sz w:val="28"/>
          <w:szCs w:val="28"/>
        </w:rPr>
        <w:t>m</w:t>
      </w:r>
      <w:r>
        <w:rPr>
          <w:rFonts w:hint="eastAsia" w:ascii="宋体" w:hAnsi="宋体" w:cs="宋体"/>
          <w:kern w:val="0"/>
          <w:sz w:val="28"/>
          <w:szCs w:val="28"/>
        </w:rPr>
        <w:t>，包括行政办公楼、员工宿舍、医务室、食堂、文娱设施等</w:t>
      </w:r>
      <w:r>
        <w:rPr>
          <w:rFonts w:hint="eastAsia" w:ascii="宋体" w:hAnsi="宋体" w:cs="宋体"/>
          <w:kern w:val="0"/>
          <w:sz w:val="28"/>
          <w:szCs w:val="28"/>
          <w:lang w:eastAsia="zh-CN"/>
        </w:rPr>
        <w:t>，</w:t>
      </w:r>
      <w:r>
        <w:rPr>
          <w:rFonts w:hint="eastAsia" w:ascii="宋体" w:hAnsi="宋体" w:cs="宋体"/>
          <w:kern w:val="0"/>
          <w:sz w:val="28"/>
          <w:szCs w:val="28"/>
          <w:lang w:val="en-US" w:eastAsia="zh-CN"/>
        </w:rPr>
        <w:t>总占地面积3463m</w:t>
      </w:r>
      <w:r>
        <w:rPr>
          <w:rFonts w:hint="eastAsia" w:ascii="宋体" w:hAnsi="宋体" w:cs="宋体"/>
          <w:kern w:val="0"/>
          <w:sz w:val="28"/>
          <w:szCs w:val="28"/>
          <w:vertAlign w:val="superscript"/>
          <w:lang w:val="en-US" w:eastAsia="zh-CN"/>
        </w:rPr>
        <w:t>2</w:t>
      </w:r>
      <w:r>
        <w:rPr>
          <w:rFonts w:hint="eastAsia" w:ascii="宋体" w:hAnsi="宋体" w:cs="宋体"/>
          <w:kern w:val="0"/>
          <w:sz w:val="28"/>
          <w:szCs w:val="28"/>
          <w:lang w:val="en-US" w:eastAsia="zh-CN"/>
        </w:rPr>
        <w:t>。</w:t>
      </w:r>
    </w:p>
    <w:bookmarkEnd w:id="72"/>
    <w:bookmarkEnd w:id="73"/>
    <w:bookmarkEnd w:id="74"/>
    <w:bookmarkEnd w:id="75"/>
    <w:bookmarkEnd w:id="76"/>
    <w:bookmarkEnd w:id="77"/>
    <w:p w14:paraId="376E07D4">
      <w:pPr>
        <w:sectPr>
          <w:headerReference r:id="rId13" w:type="default"/>
          <w:pgSz w:w="11906" w:h="16838"/>
          <w:pgMar w:top="1701" w:right="1417" w:bottom="1417" w:left="1701" w:header="1134" w:footer="992" w:gutter="0"/>
          <w:pgBorders>
            <w:top w:val="none" w:sz="0" w:space="0"/>
            <w:left w:val="none" w:sz="0" w:space="0"/>
            <w:bottom w:val="none" w:sz="0" w:space="0"/>
            <w:right w:val="none" w:sz="0" w:space="0"/>
          </w:pgBorders>
          <w:pgNumType w:fmt="decimal"/>
          <w:cols w:space="0" w:num="1"/>
          <w:rtlGutter w:val="0"/>
          <w:docGrid w:type="lines" w:linePitch="404" w:charSpace="0"/>
        </w:sectPr>
      </w:pPr>
      <w:bookmarkStart w:id="88" w:name="_Toc502047803"/>
      <w:bookmarkStart w:id="89" w:name="_Toc502684773"/>
      <w:bookmarkStart w:id="90" w:name="_Toc502044986"/>
      <w:bookmarkStart w:id="91" w:name="_Toc502045760"/>
      <w:bookmarkStart w:id="92" w:name="_Toc502063934"/>
      <w:bookmarkStart w:id="93" w:name="_Toc502047599"/>
      <w:bookmarkStart w:id="94" w:name="_Toc510594059"/>
      <w:bookmarkStart w:id="95" w:name="_Toc509345106"/>
      <w:bookmarkStart w:id="96" w:name="_Toc509344818"/>
      <w:bookmarkStart w:id="97" w:name="_Toc509345002"/>
    </w:p>
    <w:p w14:paraId="132F1135">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98" w:name="_Toc1050_WPSOffice_Level1"/>
      <w:bookmarkStart w:id="99" w:name="_Toc24799_WPSOffice_Level1"/>
      <w:bookmarkStart w:id="100" w:name="_Toc514858657"/>
      <w:bookmarkStart w:id="101" w:name="_Toc15554_WPSOffice_Level1"/>
      <w:bookmarkStart w:id="102" w:name="_Toc46047436"/>
      <w:bookmarkStart w:id="103" w:name="_Toc24831"/>
      <w:r>
        <w:t>第</w:t>
      </w:r>
      <w:r>
        <w:rPr>
          <w:rFonts w:hint="eastAsia"/>
        </w:rPr>
        <w:t>二</w:t>
      </w:r>
      <w:r>
        <w:t>章</w:t>
      </w:r>
      <w:bookmarkEnd w:id="88"/>
      <w:bookmarkEnd w:id="89"/>
      <w:bookmarkEnd w:id="90"/>
      <w:bookmarkEnd w:id="91"/>
      <w:bookmarkEnd w:id="92"/>
      <w:bookmarkEnd w:id="93"/>
      <w:r>
        <w:rPr>
          <w:rFonts w:hint="eastAsia"/>
        </w:rPr>
        <w:t xml:space="preserve">  </w:t>
      </w:r>
      <w:r>
        <w:t>矿区基础信息</w:t>
      </w:r>
      <w:bookmarkEnd w:id="94"/>
      <w:bookmarkEnd w:id="95"/>
      <w:bookmarkEnd w:id="96"/>
      <w:bookmarkEnd w:id="97"/>
      <w:bookmarkEnd w:id="98"/>
      <w:bookmarkEnd w:id="99"/>
      <w:bookmarkEnd w:id="100"/>
      <w:bookmarkEnd w:id="101"/>
      <w:bookmarkEnd w:id="102"/>
      <w:bookmarkEnd w:id="103"/>
    </w:p>
    <w:p w14:paraId="0FB3D2C8">
      <w:pPr>
        <w:pStyle w:val="5"/>
        <w:spacing w:before="263" w:after="263"/>
        <w:rPr>
          <w:rFonts w:hint="eastAsia" w:ascii="宋体" w:hAnsi="宋体" w:eastAsia="宋体" w:cs="宋体"/>
          <w:b/>
          <w:bCs w:val="0"/>
        </w:rPr>
      </w:pPr>
      <w:bookmarkStart w:id="104" w:name="_Toc502047804"/>
      <w:bookmarkStart w:id="105" w:name="_Toc502047600"/>
      <w:bookmarkStart w:id="106" w:name="_Toc502044987"/>
      <w:bookmarkStart w:id="107" w:name="_Toc509345107"/>
      <w:bookmarkStart w:id="108" w:name="_Toc509344819"/>
      <w:bookmarkStart w:id="109" w:name="_Toc18204_WPSOffice_Level2"/>
      <w:bookmarkStart w:id="110" w:name="_Toc2819_WPSOffice_Level2"/>
      <w:bookmarkStart w:id="111" w:name="_Toc510594060"/>
      <w:bookmarkStart w:id="112" w:name="_Toc509345003"/>
      <w:bookmarkStart w:id="113" w:name="_Toc502063935"/>
      <w:bookmarkStart w:id="114" w:name="_Toc502045761"/>
      <w:bookmarkStart w:id="115" w:name="_Toc15271_WPSOffice_Level2"/>
      <w:bookmarkStart w:id="116" w:name="_Toc514858658"/>
      <w:bookmarkStart w:id="117" w:name="_Toc502684774"/>
      <w:bookmarkStart w:id="118" w:name="_Toc46047437"/>
      <w:bookmarkStart w:id="119" w:name="_Toc13057"/>
      <w:r>
        <w:rPr>
          <w:rFonts w:hint="eastAsia" w:ascii="宋体" w:hAnsi="宋体" w:eastAsia="宋体" w:cs="宋体"/>
          <w:b/>
          <w:bCs w:val="0"/>
        </w:rPr>
        <w:t>一、矿区自然</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hint="eastAsia" w:ascii="宋体" w:hAnsi="宋体" w:eastAsia="宋体" w:cs="宋体"/>
          <w:b/>
          <w:bCs w:val="0"/>
        </w:rPr>
        <w:t>条件</w:t>
      </w:r>
      <w:bookmarkEnd w:id="119"/>
    </w:p>
    <w:p w14:paraId="00AA02CD">
      <w:pPr>
        <w:pStyle w:val="6"/>
        <w:spacing w:before="131" w:after="131"/>
        <w:rPr>
          <w:rFonts w:hint="eastAsia" w:ascii="宋体" w:hAnsi="宋体" w:eastAsia="宋体" w:cs="宋体"/>
          <w:b/>
          <w:bCs/>
          <w:lang w:val="en-US" w:eastAsia="zh-CN"/>
        </w:rPr>
      </w:pPr>
      <w:bookmarkStart w:id="120" w:name="_Toc502044988"/>
      <w:bookmarkStart w:id="121" w:name="_Toc502045762"/>
      <w:bookmarkStart w:id="122" w:name="_Toc502044823"/>
      <w:bookmarkStart w:id="123" w:name="_Toc502047805"/>
      <w:bookmarkStart w:id="124" w:name="_Toc502047601"/>
      <w:r>
        <w:rPr>
          <w:rFonts w:hint="eastAsia" w:ascii="宋体" w:hAnsi="宋体" w:eastAsia="宋体" w:cs="宋体"/>
          <w:b/>
          <w:bCs/>
          <w:lang w:val="en-US" w:eastAsia="zh-CN"/>
        </w:rPr>
        <w:t>（一）地形地貌</w:t>
      </w:r>
    </w:p>
    <w:p w14:paraId="39BC32C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8"/>
          <w:szCs w:val="28"/>
        </w:rPr>
      </w:pPr>
      <w:r>
        <w:rPr>
          <w:rFonts w:hint="eastAsia"/>
          <w:sz w:val="28"/>
          <w:szCs w:val="28"/>
        </w:rPr>
        <w:t>徐闻县地处雷州半岛南端，</w:t>
      </w:r>
      <w:r>
        <w:rPr>
          <w:sz w:val="28"/>
          <w:szCs w:val="28"/>
        </w:rPr>
        <w:t>属于华夏台背斜、雷州台凸的一部分</w:t>
      </w:r>
      <w:r>
        <w:rPr>
          <w:rFonts w:hint="eastAsia"/>
          <w:sz w:val="28"/>
          <w:szCs w:val="28"/>
        </w:rPr>
        <w:t>。</w:t>
      </w:r>
      <w:r>
        <w:rPr>
          <w:sz w:val="28"/>
          <w:szCs w:val="28"/>
        </w:rPr>
        <w:t>地形单一，起伏和缓，以台地为主，次为海积平原。地面坡度一般仅3～5度</w:t>
      </w:r>
      <w:r>
        <w:rPr>
          <w:rFonts w:hint="eastAsia"/>
          <w:sz w:val="28"/>
          <w:szCs w:val="28"/>
        </w:rPr>
        <w:t>。</w:t>
      </w:r>
    </w:p>
    <w:p w14:paraId="6BDD06DA">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000000"/>
          <w:kern w:val="2"/>
          <w:sz w:val="28"/>
          <w:szCs w:val="32"/>
        </w:rPr>
      </w:pPr>
      <w:r>
        <w:rPr>
          <w:rFonts w:hint="eastAsia"/>
          <w:sz w:val="28"/>
          <w:szCs w:val="28"/>
        </w:rPr>
        <w:t>矿区地势平坦，无明显山丘，矿区南部最高标高59.00m，北部最低标高53.10m，相对高差5.90m，整体地势</w:t>
      </w:r>
      <w:r>
        <w:rPr>
          <w:rFonts w:hAnsi="宋体"/>
          <w:sz w:val="28"/>
          <w:szCs w:val="28"/>
        </w:rPr>
        <w:t>南</w:t>
      </w:r>
      <w:r>
        <w:rPr>
          <w:rFonts w:hint="eastAsia"/>
          <w:sz w:val="28"/>
          <w:szCs w:val="28"/>
        </w:rPr>
        <w:t>高</w:t>
      </w:r>
      <w:r>
        <w:rPr>
          <w:rFonts w:hAnsi="宋体"/>
          <w:sz w:val="28"/>
          <w:szCs w:val="28"/>
        </w:rPr>
        <w:t>北</w:t>
      </w:r>
      <w:r>
        <w:rPr>
          <w:rFonts w:hint="eastAsia"/>
          <w:sz w:val="28"/>
          <w:szCs w:val="28"/>
        </w:rPr>
        <w:t>低，地形坡度约1</w:t>
      </w:r>
      <w:r>
        <w:rPr>
          <w:sz w:val="28"/>
          <w:szCs w:val="28"/>
        </w:rPr>
        <w:t>°</w:t>
      </w:r>
      <w:r>
        <w:rPr>
          <w:rFonts w:hint="eastAsia"/>
          <w:sz w:val="28"/>
          <w:szCs w:val="28"/>
        </w:rPr>
        <w:t>。</w:t>
      </w:r>
    </w:p>
    <w:p w14:paraId="790354FB">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（二）气象</w:t>
      </w:r>
      <w:bookmarkEnd w:id="120"/>
      <w:bookmarkEnd w:id="121"/>
      <w:bookmarkEnd w:id="122"/>
      <w:bookmarkEnd w:id="123"/>
      <w:bookmarkEnd w:id="124"/>
      <w:r>
        <w:rPr>
          <w:rFonts w:hint="eastAsia" w:ascii="宋体" w:hAnsi="宋体" w:eastAsia="宋体" w:cs="宋体"/>
          <w:b/>
          <w:bCs/>
          <w:lang w:val="en-US" w:eastAsia="zh-CN"/>
        </w:rPr>
        <w:t>水文</w:t>
      </w:r>
    </w:p>
    <w:p w14:paraId="78F2C3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8"/>
          <w:szCs w:val="28"/>
        </w:rPr>
      </w:pPr>
      <w:r>
        <w:rPr>
          <w:sz w:val="28"/>
          <w:szCs w:val="28"/>
        </w:rPr>
        <w:t>矿区处于北回归线以南的低纬度地区，属热带季风湿润气候区，阳光充足，热量丰富，全年温暖，大致终年无霜</w:t>
      </w:r>
      <w:r>
        <w:rPr>
          <w:rFonts w:hint="eastAsia"/>
          <w:sz w:val="28"/>
          <w:szCs w:val="28"/>
        </w:rPr>
        <w:t>。</w:t>
      </w:r>
      <w:r>
        <w:rPr>
          <w:sz w:val="28"/>
          <w:szCs w:val="28"/>
        </w:rPr>
        <w:t>终年受海洋气候调节，气候特征表现为风害多、雷暴频、雨量集中、旱季长，夏季长冬季短，温和潮湿，偶有霜冻。年平均气温22</w:t>
      </w:r>
      <w:r>
        <w:rPr>
          <w:rFonts w:hint="eastAsia" w:ascii="宋体" w:hAnsi="宋体" w:cs="宋体"/>
          <w:sz w:val="28"/>
          <w:szCs w:val="28"/>
        </w:rPr>
        <w:t>℃</w:t>
      </w:r>
      <w:r>
        <w:rPr>
          <w:sz w:val="28"/>
          <w:szCs w:val="28"/>
        </w:rPr>
        <w:t>，7月平均气温28.4</w:t>
      </w:r>
      <w:r>
        <w:rPr>
          <w:rFonts w:hint="eastAsia" w:ascii="宋体" w:hAnsi="宋体" w:cs="宋体"/>
          <w:sz w:val="28"/>
          <w:szCs w:val="28"/>
        </w:rPr>
        <w:t>℃</w:t>
      </w:r>
      <w:r>
        <w:rPr>
          <w:sz w:val="28"/>
          <w:szCs w:val="28"/>
        </w:rPr>
        <w:t>，极端最高气温38.5</w:t>
      </w:r>
      <w:r>
        <w:rPr>
          <w:rFonts w:hint="eastAsia" w:ascii="宋体" w:hAnsi="宋体" w:cs="宋体"/>
          <w:sz w:val="28"/>
          <w:szCs w:val="28"/>
        </w:rPr>
        <w:t>℃</w:t>
      </w:r>
      <w:r>
        <w:rPr>
          <w:sz w:val="28"/>
          <w:szCs w:val="28"/>
        </w:rPr>
        <w:t>（出现于1977年6月8日）</w:t>
      </w:r>
      <w:r>
        <w:rPr>
          <w:rFonts w:hint="eastAsia"/>
          <w:sz w:val="28"/>
          <w:szCs w:val="28"/>
        </w:rPr>
        <w:t>，</w:t>
      </w:r>
      <w:r>
        <w:rPr>
          <w:sz w:val="28"/>
          <w:szCs w:val="28"/>
        </w:rPr>
        <w:t>极端最低气温0</w:t>
      </w:r>
      <w:r>
        <w:rPr>
          <w:rFonts w:hint="eastAsia" w:ascii="宋体" w:hAnsi="宋体" w:cs="宋体"/>
          <w:sz w:val="28"/>
          <w:szCs w:val="28"/>
        </w:rPr>
        <w:t>℃</w:t>
      </w:r>
      <w:r>
        <w:rPr>
          <w:sz w:val="28"/>
          <w:szCs w:val="28"/>
        </w:rPr>
        <w:t>（出现于1975年12月2日和29日）；1月平均气温15.5</w:t>
      </w:r>
      <w:r>
        <w:rPr>
          <w:rFonts w:hint="eastAsia" w:ascii="宋体" w:hAnsi="宋体" w:cs="宋体"/>
          <w:sz w:val="28"/>
          <w:szCs w:val="28"/>
        </w:rPr>
        <w:t>℃</w:t>
      </w:r>
      <w:r>
        <w:rPr>
          <w:sz w:val="28"/>
          <w:szCs w:val="28"/>
        </w:rPr>
        <w:t>。年温差明显，为12.9</w:t>
      </w:r>
      <w:r>
        <w:rPr>
          <w:rFonts w:hint="eastAsia" w:ascii="宋体" w:hAnsi="宋体" w:cs="宋体"/>
          <w:sz w:val="28"/>
          <w:szCs w:val="28"/>
        </w:rPr>
        <w:t>℃</w:t>
      </w:r>
      <w:r>
        <w:rPr>
          <w:sz w:val="28"/>
          <w:szCs w:val="28"/>
        </w:rPr>
        <w:t>；雨量充沛，年平均降水量1711.6mm，年平均降水</w:t>
      </w:r>
      <w:r>
        <w:rPr>
          <w:rFonts w:hint="eastAsia"/>
          <w:sz w:val="28"/>
          <w:szCs w:val="28"/>
        </w:rPr>
        <w:t>日113天，</w:t>
      </w:r>
      <w:r>
        <w:rPr>
          <w:sz w:val="28"/>
          <w:szCs w:val="28"/>
        </w:rPr>
        <w:t>6～9月为雨季，占年降雨量的91%；秋夏间雷暴雨较多，最大日暴雨量为300.1mm（</w:t>
      </w:r>
      <w:r>
        <w:rPr>
          <w:rFonts w:hint="eastAsia"/>
          <w:sz w:val="28"/>
          <w:szCs w:val="28"/>
          <w:lang w:val="en-US" w:eastAsia="zh-CN"/>
        </w:rPr>
        <w:t>出现于</w:t>
      </w:r>
      <w:r>
        <w:rPr>
          <w:sz w:val="28"/>
          <w:szCs w:val="28"/>
        </w:rPr>
        <w:t>1980年7月22日）。年平均相对湿度84%。年平均蒸发量1712.8～1946.3mm，大于降雨量，雨季降雨量大于蒸发量，而旱季蒸气量大大超过降雨量</w:t>
      </w:r>
      <w:r>
        <w:rPr>
          <w:rFonts w:hint="eastAsia"/>
          <w:sz w:val="28"/>
          <w:szCs w:val="28"/>
        </w:rPr>
        <w:t>。</w:t>
      </w:r>
    </w:p>
    <w:p w14:paraId="41E7EFF0">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eastAsia="宋体"/>
          <w:sz w:val="28"/>
          <w:szCs w:val="28"/>
          <w:lang w:eastAsia="zh-CN"/>
        </w:rPr>
      </w:pPr>
      <w:r>
        <w:rPr>
          <w:rFonts w:hint="default" w:ascii="Times New Roman" w:hAnsi="Times New Roman" w:cs="Times New Roman"/>
          <w:bCs/>
          <w:color w:val="000000"/>
          <w:sz w:val="28"/>
          <w:szCs w:val="28"/>
        </w:rPr>
        <w:t>根据现状调查，</w:t>
      </w:r>
      <w:r>
        <w:rPr>
          <w:rFonts w:hint="default" w:ascii="Times New Roman" w:hAnsi="Times New Roman" w:cs="Times New Roman"/>
          <w:sz w:val="28"/>
          <w:szCs w:val="28"/>
        </w:rPr>
        <w:t>区内地表水系不发育。</w:t>
      </w:r>
      <w:r>
        <w:rPr>
          <w:rFonts w:hint="default" w:ascii="Times New Roman" w:hAnsi="Times New Roman" w:cs="Times New Roman"/>
          <w:bCs/>
          <w:color w:val="000000"/>
          <w:sz w:val="28"/>
          <w:szCs w:val="28"/>
        </w:rPr>
        <w:t>矿山最低开采标高为+</w:t>
      </w:r>
      <w:r>
        <w:rPr>
          <w:rFonts w:hint="default" w:ascii="Times New Roman" w:hAnsi="Times New Roman" w:cs="Times New Roman"/>
          <w:bCs/>
          <w:color w:val="000000"/>
          <w:sz w:val="28"/>
          <w:szCs w:val="28"/>
          <w:lang w:val="en-US" w:eastAsia="zh-CN"/>
        </w:rPr>
        <w:t>30</w:t>
      </w:r>
      <w:r>
        <w:rPr>
          <w:rFonts w:hint="default" w:ascii="Times New Roman" w:hAnsi="Times New Roman" w:cs="Times New Roman"/>
          <w:bCs/>
          <w:color w:val="000000"/>
          <w:sz w:val="28"/>
          <w:szCs w:val="28"/>
        </w:rPr>
        <w:t>米，开采底界标高高于当地侵蚀基准面（+20米）</w:t>
      </w:r>
      <w:r>
        <w:rPr>
          <w:rFonts w:hint="eastAsia" w:cs="Times New Roman"/>
          <w:bCs/>
          <w:color w:val="000000"/>
          <w:sz w:val="28"/>
          <w:szCs w:val="28"/>
          <w:lang w:eastAsia="zh-CN"/>
        </w:rPr>
        <w:t>。</w:t>
      </w:r>
    </w:p>
    <w:p w14:paraId="79830251">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（三）土壤植被</w:t>
      </w:r>
    </w:p>
    <w:p w14:paraId="07997C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sz w:val="28"/>
          <w:szCs w:val="28"/>
          <w:highlight w:val="none"/>
        </w:rPr>
      </w:pPr>
      <w:r>
        <w:rPr>
          <w:rFonts w:hAnsi="宋体"/>
          <w:color w:val="000000"/>
          <w:sz w:val="28"/>
          <w:szCs w:val="28"/>
          <w:highlight w:val="none"/>
        </w:rPr>
        <w:t>矿区内植被发育</w:t>
      </w:r>
      <w:r>
        <w:rPr>
          <w:rFonts w:hint="eastAsia" w:hAnsi="宋体"/>
          <w:color w:val="000000"/>
          <w:sz w:val="28"/>
          <w:szCs w:val="28"/>
          <w:highlight w:val="none"/>
          <w:lang w:val="en-US" w:eastAsia="zh-CN"/>
        </w:rPr>
        <w:t>较好</w:t>
      </w:r>
      <w:r>
        <w:rPr>
          <w:rFonts w:hint="eastAsia" w:hAnsi="宋体"/>
          <w:color w:val="000000"/>
          <w:sz w:val="28"/>
          <w:szCs w:val="28"/>
          <w:highlight w:val="none"/>
        </w:rPr>
        <w:t>，</w:t>
      </w:r>
      <w:r>
        <w:rPr>
          <w:rFonts w:hAnsi="宋体"/>
          <w:color w:val="000000"/>
          <w:sz w:val="28"/>
          <w:szCs w:val="28"/>
          <w:highlight w:val="none"/>
        </w:rPr>
        <w:t>矿区内</w:t>
      </w:r>
      <w:r>
        <w:rPr>
          <w:rFonts w:hint="eastAsia" w:hAnsi="宋体"/>
          <w:color w:val="000000"/>
          <w:sz w:val="28"/>
          <w:szCs w:val="28"/>
          <w:highlight w:val="none"/>
        </w:rPr>
        <w:t>未损毁区域</w:t>
      </w:r>
      <w:r>
        <w:rPr>
          <w:rFonts w:hAnsi="宋体"/>
          <w:color w:val="000000"/>
          <w:sz w:val="28"/>
          <w:szCs w:val="28"/>
          <w:highlight w:val="none"/>
        </w:rPr>
        <w:t>多见杂草、低矮灌木</w:t>
      </w:r>
      <w:r>
        <w:rPr>
          <w:rFonts w:hint="eastAsia" w:hAnsi="宋体"/>
          <w:color w:val="000000"/>
          <w:sz w:val="28"/>
          <w:szCs w:val="28"/>
          <w:highlight w:val="none"/>
        </w:rPr>
        <w:t>，</w:t>
      </w:r>
      <w:r>
        <w:rPr>
          <w:rFonts w:hAnsi="宋体"/>
          <w:color w:val="000000"/>
          <w:sz w:val="28"/>
          <w:szCs w:val="28"/>
          <w:highlight w:val="none"/>
        </w:rPr>
        <w:t>矿区内</w:t>
      </w:r>
      <w:r>
        <w:rPr>
          <w:rFonts w:hint="eastAsia" w:hAnsi="宋体"/>
          <w:color w:val="000000"/>
          <w:sz w:val="28"/>
          <w:szCs w:val="28"/>
          <w:highlight w:val="none"/>
          <w:lang w:val="en-US" w:eastAsia="zh-CN"/>
        </w:rPr>
        <w:t>部分</w:t>
      </w:r>
      <w:r>
        <w:rPr>
          <w:rFonts w:hint="eastAsia" w:hAnsi="宋体"/>
          <w:color w:val="000000"/>
          <w:sz w:val="28"/>
          <w:szCs w:val="28"/>
          <w:highlight w:val="none"/>
        </w:rPr>
        <w:t>为果园，种植有</w:t>
      </w:r>
      <w:r>
        <w:rPr>
          <w:rFonts w:hint="eastAsia" w:hAnsi="宋体"/>
          <w:color w:val="000000"/>
          <w:sz w:val="28"/>
          <w:szCs w:val="28"/>
          <w:highlight w:val="none"/>
          <w:lang w:val="en-US" w:eastAsia="zh-CN"/>
        </w:rPr>
        <w:t>芒果</w:t>
      </w:r>
      <w:r>
        <w:rPr>
          <w:rFonts w:hint="eastAsia" w:hAnsi="宋体"/>
          <w:color w:val="000000"/>
          <w:sz w:val="28"/>
          <w:szCs w:val="28"/>
          <w:highlight w:val="none"/>
        </w:rPr>
        <w:t>，香蕉</w:t>
      </w:r>
      <w:r>
        <w:rPr>
          <w:rFonts w:hint="eastAsia" w:hAnsi="宋体"/>
          <w:color w:val="000000"/>
          <w:sz w:val="28"/>
          <w:szCs w:val="28"/>
          <w:highlight w:val="none"/>
          <w:lang w:val="en-US" w:eastAsia="zh-CN"/>
        </w:rPr>
        <w:t>等</w:t>
      </w:r>
      <w:r>
        <w:rPr>
          <w:rFonts w:hAnsi="宋体"/>
          <w:color w:val="000000"/>
          <w:sz w:val="28"/>
          <w:szCs w:val="28"/>
          <w:highlight w:val="none"/>
        </w:rPr>
        <w:t>，所在区域植被覆盖率约</w:t>
      </w:r>
      <w:r>
        <w:rPr>
          <w:color w:val="000000"/>
          <w:sz w:val="28"/>
          <w:szCs w:val="28"/>
          <w:highlight w:val="none"/>
        </w:rPr>
        <w:t>85%</w:t>
      </w:r>
      <w:r>
        <w:rPr>
          <w:rFonts w:hAnsi="宋体"/>
          <w:color w:val="000000"/>
          <w:sz w:val="28"/>
          <w:szCs w:val="28"/>
          <w:highlight w:val="none"/>
        </w:rPr>
        <w:t>。</w:t>
      </w:r>
      <w:bookmarkStart w:id="125" w:name="_Toc86725145"/>
      <w:r>
        <w:rPr>
          <w:rFonts w:hint="eastAsia"/>
          <w:sz w:val="28"/>
          <w:szCs w:val="28"/>
          <w:highlight w:val="none"/>
        </w:rPr>
        <w:t>矿区</w:t>
      </w:r>
      <w:r>
        <w:rPr>
          <w:sz w:val="28"/>
          <w:szCs w:val="28"/>
          <w:highlight w:val="none"/>
        </w:rPr>
        <w:t>土壤以砖红壤为主，</w:t>
      </w:r>
      <w:r>
        <w:rPr>
          <w:rFonts w:hint="eastAsia"/>
          <w:sz w:val="28"/>
          <w:szCs w:val="28"/>
          <w:highlight w:val="none"/>
        </w:rPr>
        <w:t>周边</w:t>
      </w:r>
      <w:r>
        <w:rPr>
          <w:sz w:val="28"/>
          <w:szCs w:val="28"/>
          <w:highlight w:val="none"/>
        </w:rPr>
        <w:t>以农业经济为主，农作物以水稻、番薯、玉米、高粱等粮食作物</w:t>
      </w:r>
      <w:r>
        <w:rPr>
          <w:rFonts w:hint="eastAsia"/>
          <w:sz w:val="28"/>
          <w:szCs w:val="28"/>
          <w:highlight w:val="none"/>
        </w:rPr>
        <w:t>为主</w:t>
      </w:r>
      <w:r>
        <w:rPr>
          <w:sz w:val="28"/>
          <w:szCs w:val="28"/>
          <w:highlight w:val="none"/>
        </w:rPr>
        <w:t>，</w:t>
      </w:r>
      <w:r>
        <w:rPr>
          <w:rFonts w:hint="eastAsia"/>
          <w:sz w:val="28"/>
          <w:szCs w:val="28"/>
          <w:highlight w:val="none"/>
        </w:rPr>
        <w:t>其次为</w:t>
      </w:r>
      <w:r>
        <w:rPr>
          <w:sz w:val="28"/>
          <w:szCs w:val="28"/>
          <w:highlight w:val="none"/>
        </w:rPr>
        <w:t>甘蔗、菠萝、芒果、香蕉和北运疏菜等经济作物</w:t>
      </w:r>
      <w:r>
        <w:rPr>
          <w:rFonts w:hAnsi="宋体"/>
          <w:color w:val="000000"/>
          <w:sz w:val="28"/>
          <w:szCs w:val="28"/>
          <w:highlight w:val="none"/>
        </w:rPr>
        <w:t>（见图</w:t>
      </w:r>
      <w:r>
        <w:rPr>
          <w:color w:val="000000"/>
          <w:sz w:val="28"/>
          <w:szCs w:val="28"/>
          <w:highlight w:val="none"/>
        </w:rPr>
        <w:t>2-</w:t>
      </w:r>
      <w:r>
        <w:rPr>
          <w:rFonts w:hint="eastAsia"/>
          <w:color w:val="000000"/>
          <w:sz w:val="28"/>
          <w:szCs w:val="28"/>
          <w:highlight w:val="none"/>
          <w:lang w:val="en-US" w:eastAsia="zh-CN"/>
        </w:rPr>
        <w:t>1</w:t>
      </w:r>
      <w:r>
        <w:rPr>
          <w:rFonts w:hAnsi="宋体"/>
          <w:color w:val="000000"/>
          <w:sz w:val="28"/>
          <w:szCs w:val="28"/>
          <w:highlight w:val="none"/>
        </w:rPr>
        <w:t>）</w:t>
      </w:r>
      <w:r>
        <w:rPr>
          <w:sz w:val="28"/>
          <w:szCs w:val="28"/>
          <w:highlight w:val="none"/>
        </w:rPr>
        <w:t>。</w:t>
      </w:r>
      <w:bookmarkEnd w:id="125"/>
      <w:r>
        <w:rPr>
          <w:rFonts w:hint="eastAsia"/>
          <w:sz w:val="28"/>
          <w:szCs w:val="28"/>
          <w:highlight w:val="none"/>
        </w:rPr>
        <w:t>本次野外调查工作，分别在果园</w:t>
      </w:r>
      <w:r>
        <w:rPr>
          <w:rFonts w:hint="eastAsia"/>
          <w:sz w:val="28"/>
          <w:szCs w:val="28"/>
          <w:highlight w:val="none"/>
          <w:lang w:eastAsia="zh-CN"/>
        </w:rPr>
        <w:t>、</w:t>
      </w:r>
      <w:r>
        <w:rPr>
          <w:rFonts w:hint="eastAsia"/>
          <w:sz w:val="28"/>
          <w:szCs w:val="28"/>
          <w:highlight w:val="none"/>
          <w:lang w:val="en-US" w:eastAsia="zh-CN"/>
        </w:rPr>
        <w:t>其他林地、其他草地和采矿用地</w:t>
      </w:r>
      <w:r>
        <w:rPr>
          <w:rFonts w:hint="eastAsia"/>
          <w:sz w:val="28"/>
          <w:szCs w:val="28"/>
          <w:highlight w:val="none"/>
        </w:rPr>
        <w:t>各采取1组土壤样品。检测结果显示，</w:t>
      </w:r>
      <w:r>
        <w:rPr>
          <w:sz w:val="28"/>
          <w:szCs w:val="28"/>
          <w:highlight w:val="none"/>
        </w:rPr>
        <w:t>pH</w:t>
      </w:r>
      <w:r>
        <w:rPr>
          <w:rFonts w:hint="eastAsia"/>
          <w:sz w:val="28"/>
          <w:szCs w:val="28"/>
          <w:highlight w:val="none"/>
        </w:rPr>
        <w:t>值为5.</w:t>
      </w:r>
      <w:r>
        <w:rPr>
          <w:rFonts w:hint="eastAsia"/>
          <w:sz w:val="28"/>
          <w:szCs w:val="28"/>
          <w:highlight w:val="none"/>
          <w:lang w:val="en-US" w:eastAsia="zh-CN"/>
        </w:rPr>
        <w:t>26</w:t>
      </w:r>
      <w:r>
        <w:rPr>
          <w:rFonts w:hint="eastAsia"/>
          <w:sz w:val="28"/>
          <w:szCs w:val="28"/>
          <w:highlight w:val="none"/>
        </w:rPr>
        <w:t>～</w:t>
      </w:r>
      <w:r>
        <w:rPr>
          <w:rFonts w:hint="eastAsia"/>
          <w:sz w:val="28"/>
          <w:szCs w:val="28"/>
          <w:highlight w:val="none"/>
          <w:lang w:val="en-US" w:eastAsia="zh-CN"/>
        </w:rPr>
        <w:t>8.74</w:t>
      </w:r>
      <w:r>
        <w:rPr>
          <w:rFonts w:hint="eastAsia"/>
          <w:sz w:val="28"/>
          <w:szCs w:val="28"/>
          <w:highlight w:val="none"/>
        </w:rPr>
        <w:t>(附件</w:t>
      </w:r>
      <w:r>
        <w:rPr>
          <w:rFonts w:hint="eastAsia"/>
          <w:sz w:val="28"/>
          <w:szCs w:val="28"/>
          <w:highlight w:val="none"/>
          <w:lang w:val="en-US" w:eastAsia="zh-CN"/>
        </w:rPr>
        <w:t>6</w:t>
      </w:r>
      <w:r>
        <w:rPr>
          <w:rFonts w:hint="eastAsia"/>
          <w:sz w:val="28"/>
          <w:szCs w:val="28"/>
          <w:highlight w:val="none"/>
        </w:rPr>
        <w:t>)，有机质含量</w:t>
      </w:r>
      <w:r>
        <w:rPr>
          <w:rFonts w:hint="eastAsia"/>
          <w:sz w:val="28"/>
          <w:szCs w:val="28"/>
          <w:highlight w:val="none"/>
          <w:lang w:val="en-US" w:eastAsia="zh-CN"/>
        </w:rPr>
        <w:t>0.42</w:t>
      </w:r>
      <w:r>
        <w:rPr>
          <w:rFonts w:hint="eastAsia"/>
          <w:sz w:val="28"/>
          <w:szCs w:val="28"/>
          <w:highlight w:val="none"/>
        </w:rPr>
        <w:t>～</w:t>
      </w:r>
      <w:r>
        <w:rPr>
          <w:rFonts w:hint="eastAsia"/>
          <w:sz w:val="28"/>
          <w:szCs w:val="28"/>
          <w:highlight w:val="none"/>
          <w:lang w:val="en-US" w:eastAsia="zh-CN"/>
        </w:rPr>
        <w:t>4.18%</w:t>
      </w:r>
      <w:r>
        <w:rPr>
          <w:rFonts w:hint="eastAsia"/>
          <w:sz w:val="28"/>
          <w:szCs w:val="28"/>
          <w:highlight w:val="none"/>
        </w:rPr>
        <w:t>，适宜种植各类经济作物，特别是热带作物。</w:t>
      </w:r>
    </w:p>
    <w:p w14:paraId="777EB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lang w:eastAsia="zh-CN"/>
        </w:rPr>
      </w:pPr>
    </w:p>
    <w:p w14:paraId="34B130E7">
      <w:pPr>
        <w:pStyle w:val="5"/>
        <w:spacing w:before="263" w:after="263"/>
        <w:rPr>
          <w:rFonts w:hint="eastAsia" w:ascii="宋体" w:hAnsi="宋体" w:eastAsia="宋体" w:cs="宋体"/>
          <w:b/>
          <w:bCs w:val="0"/>
        </w:rPr>
      </w:pPr>
      <w:bookmarkStart w:id="126" w:name="_Toc502045773"/>
      <w:bookmarkStart w:id="127" w:name="_Toc514858660"/>
      <w:bookmarkStart w:id="128" w:name="_Toc502063937"/>
      <w:bookmarkStart w:id="129" w:name="_Toc502047816"/>
      <w:bookmarkStart w:id="130" w:name="_Toc510594062"/>
      <w:bookmarkStart w:id="131" w:name="_Toc24576_WPSOffice_Level2"/>
      <w:bookmarkStart w:id="132" w:name="_Toc502047612"/>
      <w:bookmarkStart w:id="133" w:name="_Toc509345005"/>
      <w:bookmarkStart w:id="134" w:name="_Toc509345109"/>
      <w:bookmarkStart w:id="135" w:name="_Toc46047439"/>
      <w:bookmarkStart w:id="136" w:name="_Toc502684776"/>
      <w:bookmarkStart w:id="137" w:name="_Toc9608"/>
      <w:bookmarkStart w:id="138" w:name="_Toc31535_WPSOffice_Level2"/>
      <w:bookmarkStart w:id="139" w:name="_Toc22449_WPSOffice_Level2"/>
      <w:bookmarkStart w:id="140" w:name="_Toc502044999"/>
      <w:bookmarkStart w:id="141" w:name="_Toc509344821"/>
      <w:bookmarkStart w:id="142" w:name="_Toc17472_WPSOffice_Level2"/>
      <w:bookmarkStart w:id="143" w:name="_Toc502047606"/>
      <w:bookmarkStart w:id="144" w:name="_Toc510594061"/>
      <w:bookmarkStart w:id="145" w:name="_Toc509345108"/>
      <w:bookmarkStart w:id="146" w:name="_Toc509345004"/>
      <w:bookmarkStart w:id="147" w:name="_Toc502044993"/>
      <w:bookmarkStart w:id="148" w:name="_Toc502047810"/>
      <w:bookmarkStart w:id="149" w:name="_Toc22215_WPSOffice_Level2"/>
      <w:bookmarkStart w:id="150" w:name="_Toc514858659"/>
      <w:bookmarkStart w:id="151" w:name="_Toc502063936"/>
      <w:bookmarkStart w:id="152" w:name="_Toc502045767"/>
      <w:bookmarkStart w:id="153" w:name="_Toc502684775"/>
      <w:bookmarkStart w:id="154" w:name="_Toc18499_WPSOffice_Level2"/>
      <w:bookmarkStart w:id="155" w:name="_Toc46047438"/>
      <w:bookmarkStart w:id="156" w:name="_Toc509344820"/>
      <w:r>
        <w:rPr>
          <w:rFonts w:hint="eastAsia" w:ascii="宋体" w:hAnsi="宋体" w:eastAsia="宋体" w:cs="宋体"/>
          <w:b/>
          <w:bCs w:val="0"/>
        </w:rPr>
        <w:t>二、社会经济概况</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1E0420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rPr>
      </w:pPr>
      <w:r>
        <w:rPr>
          <w:rFonts w:hint="eastAsia"/>
          <w:sz w:val="28"/>
          <w:szCs w:val="28"/>
        </w:rPr>
        <w:t>徐闻县土地总面积1979.6平方千米(包含东方红农场在徐闻县区划内面积25.2平方千米)，其中农垦土地总面积371.4平方千米。</w:t>
      </w:r>
      <w:r>
        <w:rPr>
          <w:rFonts w:hint="default" w:ascii="Times New Roman" w:hAnsi="Times New Roman" w:eastAsia="宋体" w:cs="Times New Roman"/>
          <w:sz w:val="28"/>
          <w:szCs w:val="28"/>
        </w:rPr>
        <w:t>2024年全县地区生产总值2631436万元，同比增长2.0%；第一产业增加值1204140万元；同比增长1.7%；第二产业增加值347526万元；同比增长6.1%；第三产业增加值1079770万元；同比增长1.0%；规模以上工业总产值330987万元，同比增长6.3%；固定资产投资606607万元，同比负31.0%；社会消费品零售总额816337万元，同比增长1.9%；一般公共预算收入85249万元，同比负2.8%；港口货物吞吐量9667万吨，同比增长3.5%。</w:t>
      </w:r>
    </w:p>
    <w:p w14:paraId="414865E1">
      <w:pPr>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2024年全县户籍总人口795226人，总户数180236户；其中：城镇人口230341人，乡村人口564885人；男性人口423458人，女性人口371768人。全县土地面积1979.6平方公里，其中五个国营农场土地面积为304.7平方公里。</w:t>
      </w:r>
    </w:p>
    <w:p w14:paraId="05BA6C07">
      <w:pPr>
        <w:spacing w:line="360" w:lineRule="auto"/>
        <w:rPr>
          <w:rFonts w:hint="eastAsia"/>
          <w:sz w:val="28"/>
          <w:szCs w:val="28"/>
        </w:rPr>
      </w:pPr>
      <w:r>
        <w:rPr>
          <w:rFonts w:hint="eastAsia"/>
          <w:sz w:val="28"/>
          <w:szCs w:val="28"/>
        </w:rPr>
        <w:t>该县土地资源丰富，耕地土层深厚，疏松肥沃，利于耕种。全县土壤分为7个土类，12个亚类，32个土属，72个土种，其中以砖红壤土类、水稻土类和滨海沙土类为主。</w:t>
      </w:r>
    </w:p>
    <w:p w14:paraId="56D6C709">
      <w:pPr>
        <w:pStyle w:val="5"/>
        <w:spacing w:before="263" w:after="263"/>
        <w:rPr>
          <w:rFonts w:hint="eastAsia" w:ascii="宋体" w:hAnsi="宋体" w:eastAsia="宋体" w:cs="宋体"/>
          <w:b/>
          <w:bCs w:val="0"/>
        </w:rPr>
      </w:pPr>
      <w:bookmarkStart w:id="157" w:name="_Toc30847"/>
      <w:r>
        <w:rPr>
          <w:rFonts w:hint="eastAsia" w:ascii="宋体" w:hAnsi="宋体" w:eastAsia="宋体" w:cs="宋体"/>
          <w:b/>
          <w:bCs w:val="0"/>
        </w:rPr>
        <w:t>三、矿区地质环境背景</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089E756C">
      <w:pPr>
        <w:pStyle w:val="6"/>
        <w:spacing w:before="131" w:after="131"/>
        <w:rPr>
          <w:rFonts w:hint="eastAsia" w:ascii="宋体" w:hAnsi="宋体" w:eastAsia="宋体" w:cs="宋体"/>
          <w:b/>
          <w:bCs/>
          <w:lang w:val="en-US" w:eastAsia="zh-CN"/>
        </w:rPr>
      </w:pPr>
      <w:bookmarkStart w:id="158" w:name="_Toc502044828"/>
      <w:bookmarkStart w:id="159" w:name="_Toc502045768"/>
      <w:bookmarkStart w:id="160" w:name="_Toc502044994"/>
      <w:bookmarkStart w:id="161" w:name="_Toc502047811"/>
      <w:bookmarkStart w:id="162" w:name="_Toc502047607"/>
      <w:r>
        <w:rPr>
          <w:rFonts w:hint="eastAsia" w:ascii="宋体" w:hAnsi="宋体" w:eastAsia="宋体" w:cs="宋体"/>
          <w:b/>
          <w:bCs/>
          <w:lang w:val="en-US" w:eastAsia="zh-CN"/>
        </w:rPr>
        <w:t>（一）地层</w:t>
      </w:r>
      <w:bookmarkEnd w:id="158"/>
      <w:bookmarkEnd w:id="159"/>
      <w:bookmarkEnd w:id="160"/>
      <w:bookmarkEnd w:id="161"/>
      <w:bookmarkEnd w:id="162"/>
      <w:r>
        <w:rPr>
          <w:rFonts w:hint="eastAsia" w:ascii="宋体" w:hAnsi="宋体" w:eastAsia="宋体" w:cs="宋体"/>
          <w:b/>
          <w:bCs/>
          <w:lang w:val="en-US" w:eastAsia="zh-CN"/>
        </w:rPr>
        <w:t>岩性</w:t>
      </w:r>
    </w:p>
    <w:p w14:paraId="1F7CE90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sz w:val="28"/>
          <w:szCs w:val="28"/>
        </w:rPr>
      </w:pPr>
      <w:bookmarkStart w:id="163" w:name="_Toc395798154"/>
      <w:r>
        <w:rPr>
          <w:rFonts w:hint="eastAsia"/>
          <w:sz w:val="28"/>
          <w:szCs w:val="28"/>
        </w:rPr>
        <w:t>矿区内地层简单，第四系残坡积层</w:t>
      </w:r>
      <w:r>
        <w:rPr>
          <w:sz w:val="28"/>
          <w:szCs w:val="28"/>
        </w:rPr>
        <w:t>(</w:t>
      </w:r>
      <w:r>
        <w:rPr>
          <w:snapToGrid w:val="0"/>
          <w:sz w:val="28"/>
          <w:szCs w:val="28"/>
        </w:rPr>
        <w:t>Q</w:t>
      </w:r>
      <w:r>
        <w:rPr>
          <w:i/>
          <w:snapToGrid w:val="0"/>
          <w:sz w:val="28"/>
          <w:szCs w:val="28"/>
          <w:vertAlign w:val="superscript"/>
        </w:rPr>
        <w:t>del</w:t>
      </w:r>
      <w:r>
        <w:rPr>
          <w:sz w:val="28"/>
          <w:szCs w:val="28"/>
        </w:rPr>
        <w:t>)</w:t>
      </w:r>
      <w:r>
        <w:rPr>
          <w:rFonts w:hint="eastAsia"/>
          <w:sz w:val="28"/>
          <w:szCs w:val="28"/>
        </w:rPr>
        <w:t>。</w:t>
      </w:r>
    </w:p>
    <w:p w14:paraId="7AC650A5">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r>
        <w:rPr>
          <w:rFonts w:hint="eastAsia"/>
          <w:sz w:val="28"/>
          <w:szCs w:val="28"/>
        </w:rPr>
        <w:t>分布于全矿区，为玄武岩古风化壳红土层的残积层，呈红色，岩性主要为砖红壤、砂、砾砂等，厚度6～8m，覆盖于玄武岩之上。</w:t>
      </w:r>
    </w:p>
    <w:p w14:paraId="143A31A7">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（二）地质构造</w:t>
      </w:r>
    </w:p>
    <w:p w14:paraId="5562C19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snapToGrid w:val="0"/>
          <w:sz w:val="28"/>
          <w:szCs w:val="28"/>
        </w:rPr>
      </w:pPr>
      <w:r>
        <w:rPr>
          <w:rFonts w:hint="eastAsia"/>
          <w:snapToGrid w:val="0"/>
          <w:sz w:val="28"/>
          <w:szCs w:val="28"/>
        </w:rPr>
        <w:t>矿区内未发现构造形迹，地质</w:t>
      </w:r>
      <w:r>
        <w:rPr>
          <w:snapToGrid w:val="0"/>
          <w:sz w:val="28"/>
          <w:szCs w:val="28"/>
        </w:rPr>
        <w:t>构造</w:t>
      </w:r>
      <w:r>
        <w:rPr>
          <w:rFonts w:hint="eastAsia"/>
          <w:snapToGrid w:val="0"/>
          <w:sz w:val="28"/>
          <w:szCs w:val="28"/>
        </w:rPr>
        <w:t>对矿区的影响较小；根据</w:t>
      </w:r>
      <w:r>
        <w:rPr>
          <w:rFonts w:hint="eastAsia"/>
          <w:snapToGrid w:val="0"/>
          <w:sz w:val="28"/>
          <w:szCs w:val="28"/>
          <w:lang w:val="en-US" w:eastAsia="zh-CN"/>
        </w:rPr>
        <w:t>以往</w:t>
      </w:r>
      <w:r>
        <w:rPr>
          <w:rFonts w:hint="eastAsia"/>
          <w:snapToGrid w:val="0"/>
          <w:sz w:val="28"/>
          <w:szCs w:val="28"/>
        </w:rPr>
        <w:t>水工环地质调查及钻探揭露，矿区节理裂隙较发育，其中</w:t>
      </w:r>
      <w:r>
        <w:rPr>
          <w:snapToGrid w:val="0"/>
          <w:sz w:val="28"/>
          <w:szCs w:val="28"/>
        </w:rPr>
        <w:t>以两组交叉裂隙尤为发育，与轴线</w:t>
      </w:r>
      <w:r>
        <w:rPr>
          <w:rFonts w:hint="eastAsia"/>
          <w:snapToGrid w:val="0"/>
          <w:sz w:val="28"/>
          <w:szCs w:val="28"/>
        </w:rPr>
        <w:t>夹角</w:t>
      </w:r>
      <w:r>
        <w:rPr>
          <w:snapToGrid w:val="0"/>
          <w:sz w:val="28"/>
          <w:szCs w:val="28"/>
        </w:rPr>
        <w:t>为</w:t>
      </w:r>
      <w:r>
        <w:rPr>
          <w:rFonts w:hint="eastAsia"/>
          <w:snapToGrid w:val="0"/>
          <w:sz w:val="28"/>
          <w:szCs w:val="28"/>
        </w:rPr>
        <w:t>2</w:t>
      </w:r>
      <w:r>
        <w:rPr>
          <w:snapToGrid w:val="0"/>
          <w:sz w:val="28"/>
          <w:szCs w:val="28"/>
        </w:rPr>
        <w:t>0°-40°之间</w:t>
      </w:r>
      <w:r>
        <w:rPr>
          <w:rFonts w:hint="eastAsia"/>
          <w:snapToGrid w:val="0"/>
          <w:sz w:val="28"/>
          <w:szCs w:val="28"/>
        </w:rPr>
        <w:t>，</w:t>
      </w:r>
      <w:r>
        <w:rPr>
          <w:snapToGrid w:val="0"/>
          <w:sz w:val="28"/>
          <w:szCs w:val="28"/>
        </w:rPr>
        <w:t>裂隙一般为闭合状</w:t>
      </w:r>
      <w:r>
        <w:rPr>
          <w:rFonts w:hint="eastAsia"/>
          <w:snapToGrid w:val="0"/>
          <w:sz w:val="28"/>
          <w:szCs w:val="28"/>
        </w:rPr>
        <w:t>，矿</w:t>
      </w:r>
      <w:r>
        <w:rPr>
          <w:snapToGrid w:val="0"/>
          <w:sz w:val="28"/>
          <w:szCs w:val="28"/>
        </w:rPr>
        <w:t>区地质构造</w:t>
      </w:r>
      <w:r>
        <w:rPr>
          <w:rFonts w:hint="eastAsia"/>
          <w:snapToGrid w:val="0"/>
          <w:sz w:val="28"/>
          <w:szCs w:val="28"/>
        </w:rPr>
        <w:t>条件</w:t>
      </w:r>
      <w:r>
        <w:rPr>
          <w:snapToGrid w:val="0"/>
          <w:sz w:val="28"/>
          <w:szCs w:val="28"/>
        </w:rPr>
        <w:t>简单。</w:t>
      </w:r>
    </w:p>
    <w:bookmarkEnd w:id="163"/>
    <w:p w14:paraId="34E6009F">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（三）岩浆岩</w:t>
      </w:r>
    </w:p>
    <w:p w14:paraId="76B2988B">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r>
        <w:rPr>
          <w:rFonts w:hint="eastAsia"/>
          <w:sz w:val="28"/>
          <w:szCs w:val="28"/>
        </w:rPr>
        <w:t>矿区为第四系中更新世石茆岭组火山岩出露区，区内火山活动以裂隙式—中心喷溢为主，可划分为两个喷发旋回、6个喷发韵律，每个喷发韵律的顶部发育一层古风化壳，可作为标志层。矿区为第5韵律喷发形成的玄武岩被，上部为玄武岩，下部为凝灰岩。</w:t>
      </w:r>
    </w:p>
    <w:p w14:paraId="3C930E76">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（四）水文地质</w:t>
      </w:r>
    </w:p>
    <w:p w14:paraId="42CC6DCF">
      <w:pPr>
        <w:pStyle w:val="98"/>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snapToGrid w:val="0"/>
          <w:sz w:val="28"/>
          <w:szCs w:val="28"/>
        </w:rPr>
      </w:pPr>
      <w:r>
        <w:rPr>
          <w:rFonts w:hint="eastAsia"/>
          <w:snapToGrid w:val="0"/>
          <w:sz w:val="28"/>
          <w:szCs w:val="28"/>
        </w:rPr>
        <w:t>（1）地形地貌</w:t>
      </w:r>
    </w:p>
    <w:p w14:paraId="22DAED15">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sz w:val="28"/>
          <w:szCs w:val="28"/>
        </w:rPr>
      </w:pPr>
      <w:r>
        <w:rPr>
          <w:sz w:val="28"/>
          <w:szCs w:val="28"/>
        </w:rPr>
        <w:t>矿区地势平坦，无明显山丘，</w:t>
      </w:r>
      <w:r>
        <w:rPr>
          <w:rFonts w:hint="eastAsia"/>
          <w:sz w:val="28"/>
          <w:szCs w:val="28"/>
        </w:rPr>
        <w:t>矿区南部最高标高59.00m，北部最低标高53.10m，相对高差5.90m，整体地势</w:t>
      </w:r>
      <w:r>
        <w:rPr>
          <w:rFonts w:hAnsi="宋体"/>
          <w:sz w:val="28"/>
          <w:szCs w:val="28"/>
        </w:rPr>
        <w:t>南</w:t>
      </w:r>
      <w:r>
        <w:rPr>
          <w:rFonts w:hint="eastAsia"/>
          <w:sz w:val="28"/>
          <w:szCs w:val="28"/>
        </w:rPr>
        <w:t>高</w:t>
      </w:r>
      <w:r>
        <w:rPr>
          <w:rFonts w:hAnsi="宋体"/>
          <w:sz w:val="28"/>
          <w:szCs w:val="28"/>
        </w:rPr>
        <w:t>北</w:t>
      </w:r>
      <w:r>
        <w:rPr>
          <w:rFonts w:hint="eastAsia"/>
          <w:sz w:val="28"/>
          <w:szCs w:val="28"/>
        </w:rPr>
        <w:t>低，地形坡度约1</w:t>
      </w:r>
      <w:r>
        <w:rPr>
          <w:sz w:val="28"/>
          <w:szCs w:val="28"/>
        </w:rPr>
        <w:t>°</w:t>
      </w:r>
      <w:r>
        <w:rPr>
          <w:rFonts w:hint="eastAsia"/>
          <w:sz w:val="28"/>
          <w:szCs w:val="28"/>
        </w:rPr>
        <w:t>。</w:t>
      </w:r>
      <w:r>
        <w:rPr>
          <w:sz w:val="28"/>
          <w:szCs w:val="28"/>
        </w:rPr>
        <w:t>矿区处于北回归线以南的低纬度地区，属热带季风湿润气候区。雨量充沛，年平均降水量1711.6mm，年平均蒸发量1712.8～1946.3mm，大于降雨量。</w:t>
      </w:r>
    </w:p>
    <w:p w14:paraId="02129236">
      <w:pPr>
        <w:pStyle w:val="98"/>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sz w:val="28"/>
          <w:szCs w:val="28"/>
        </w:rPr>
      </w:pPr>
      <w:r>
        <w:rPr>
          <w:rFonts w:hint="eastAsia"/>
          <w:snapToGrid w:val="0"/>
          <w:sz w:val="28"/>
          <w:szCs w:val="28"/>
        </w:rPr>
        <w:t>（2）</w:t>
      </w:r>
      <w:r>
        <w:rPr>
          <w:snapToGrid w:val="0"/>
          <w:sz w:val="28"/>
          <w:szCs w:val="28"/>
        </w:rPr>
        <w:t>地表水</w:t>
      </w:r>
    </w:p>
    <w:p w14:paraId="0A21712F">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sz w:val="28"/>
          <w:szCs w:val="28"/>
        </w:rPr>
      </w:pPr>
      <w:r>
        <w:rPr>
          <w:sz w:val="28"/>
          <w:szCs w:val="28"/>
        </w:rPr>
        <w:t>矿区地表水系不发育，周边无地表水系流入矿区。矿区最低侵蚀基准面标高20m。</w:t>
      </w:r>
    </w:p>
    <w:p w14:paraId="31EC2913">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sz w:val="28"/>
          <w:szCs w:val="28"/>
        </w:rPr>
      </w:pPr>
      <w:r>
        <w:rPr>
          <w:rFonts w:hint="eastAsia"/>
          <w:sz w:val="28"/>
          <w:szCs w:val="28"/>
        </w:rPr>
        <w:t>矿区内偏南面有历史遗留采空区，面积约为</w:t>
      </w:r>
      <w:r>
        <w:rPr>
          <w:rFonts w:hint="eastAsia"/>
          <w:sz w:val="28"/>
          <w:szCs w:val="28"/>
          <w:lang w:val="en-US" w:eastAsia="zh-CN"/>
        </w:rPr>
        <w:t>20378</w:t>
      </w:r>
      <w:r>
        <w:rPr>
          <w:rFonts w:hint="eastAsia"/>
          <w:sz w:val="28"/>
          <w:szCs w:val="28"/>
        </w:rPr>
        <w:t>m</w:t>
      </w:r>
      <w:r>
        <w:rPr>
          <w:rFonts w:hint="eastAsia"/>
          <w:sz w:val="28"/>
          <w:szCs w:val="28"/>
          <w:vertAlign w:val="superscript"/>
        </w:rPr>
        <w:t>2</w:t>
      </w:r>
      <w:r>
        <w:rPr>
          <w:rFonts w:hint="eastAsia"/>
          <w:sz w:val="28"/>
          <w:szCs w:val="28"/>
        </w:rPr>
        <w:t>，最低处标高20.43m，坑内有积水</w:t>
      </w:r>
      <w:r>
        <w:rPr>
          <w:rFonts w:hint="eastAsia"/>
          <w:sz w:val="28"/>
          <w:szCs w:val="28"/>
          <w:lang w:val="en-US" w:eastAsia="zh-CN"/>
        </w:rPr>
        <w:t>平均</w:t>
      </w:r>
      <w:r>
        <w:rPr>
          <w:rFonts w:hint="eastAsia"/>
          <w:sz w:val="28"/>
          <w:szCs w:val="28"/>
        </w:rPr>
        <w:t>约23m深，水面标高约</w:t>
      </w:r>
      <w:r>
        <w:rPr>
          <w:rFonts w:hint="eastAsia"/>
          <w:sz w:val="28"/>
          <w:szCs w:val="28"/>
          <w:lang w:val="en-US" w:eastAsia="zh-CN"/>
        </w:rPr>
        <w:t>53.87</w:t>
      </w:r>
      <w:r>
        <w:rPr>
          <w:rFonts w:hint="eastAsia"/>
          <w:sz w:val="28"/>
          <w:szCs w:val="28"/>
        </w:rPr>
        <w:t>m，积水来源多为大气降水及浅层</w:t>
      </w:r>
      <w:r>
        <w:rPr>
          <w:rFonts w:hint="eastAsia" w:ascii="宋体" w:hAnsi="宋体"/>
          <w:sz w:val="28"/>
          <w:szCs w:val="28"/>
        </w:rPr>
        <w:t>火山岩孔洞裂隙水</w:t>
      </w:r>
      <w:r>
        <w:rPr>
          <w:rFonts w:hint="eastAsia"/>
          <w:sz w:val="28"/>
          <w:szCs w:val="28"/>
        </w:rPr>
        <w:t>。坑壁可见灌溉管供其抽取积水用以灌溉周边农作物。</w:t>
      </w:r>
    </w:p>
    <w:p w14:paraId="4CE7945B">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sz w:val="28"/>
          <w:szCs w:val="28"/>
        </w:rPr>
      </w:pPr>
      <w:r>
        <w:rPr>
          <w:rFonts w:hint="eastAsia"/>
          <w:sz w:val="28"/>
          <w:szCs w:val="28"/>
        </w:rPr>
        <w:t>矿区范围外西南面约20m处有原</w:t>
      </w:r>
      <w:r>
        <w:rPr>
          <w:sz w:val="28"/>
          <w:szCs w:val="28"/>
        </w:rPr>
        <w:t>徐闻县城北乡迈报矿区建筑用玄武岩矿</w:t>
      </w:r>
      <w:r>
        <w:rPr>
          <w:rFonts w:hint="eastAsia"/>
          <w:sz w:val="28"/>
          <w:szCs w:val="28"/>
        </w:rPr>
        <w:t>（现已闭坑）采坑采空区，面积约为</w:t>
      </w:r>
      <w:r>
        <w:rPr>
          <w:rFonts w:hint="eastAsia"/>
          <w:sz w:val="28"/>
          <w:szCs w:val="28"/>
          <w:lang w:val="en-US" w:eastAsia="zh-CN"/>
        </w:rPr>
        <w:t>24635</w:t>
      </w:r>
      <w:r>
        <w:rPr>
          <w:rFonts w:hint="eastAsia"/>
          <w:sz w:val="28"/>
          <w:szCs w:val="28"/>
        </w:rPr>
        <w:t>m</w:t>
      </w:r>
      <w:r>
        <w:rPr>
          <w:rFonts w:hint="eastAsia"/>
          <w:sz w:val="28"/>
          <w:szCs w:val="28"/>
          <w:vertAlign w:val="superscript"/>
        </w:rPr>
        <w:t>2</w:t>
      </w:r>
      <w:r>
        <w:rPr>
          <w:rFonts w:hint="eastAsia"/>
          <w:sz w:val="28"/>
          <w:szCs w:val="28"/>
        </w:rPr>
        <w:t>，最低处标高</w:t>
      </w:r>
      <w:r>
        <w:rPr>
          <w:sz w:val="28"/>
          <w:szCs w:val="28"/>
        </w:rPr>
        <w:t>35.65</w:t>
      </w:r>
      <w:r>
        <w:rPr>
          <w:rFonts w:hint="eastAsia"/>
          <w:sz w:val="28"/>
          <w:szCs w:val="28"/>
        </w:rPr>
        <w:t>m，坑内有积水约5m深，水面标高约</w:t>
      </w:r>
      <w:r>
        <w:rPr>
          <w:rFonts w:hint="eastAsia"/>
          <w:sz w:val="28"/>
          <w:szCs w:val="28"/>
          <w:lang w:val="en-US" w:eastAsia="zh-CN"/>
        </w:rPr>
        <w:t>51.33</w:t>
      </w:r>
      <w:r>
        <w:rPr>
          <w:rFonts w:hint="eastAsia"/>
          <w:sz w:val="28"/>
          <w:szCs w:val="28"/>
        </w:rPr>
        <w:t>m。</w:t>
      </w:r>
    </w:p>
    <w:p w14:paraId="42981899">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snapToGrid w:val="0"/>
          <w:sz w:val="28"/>
          <w:szCs w:val="28"/>
        </w:rPr>
      </w:pPr>
      <w:r>
        <w:rPr>
          <w:sz w:val="28"/>
          <w:szCs w:val="28"/>
        </w:rPr>
        <w:t>依矿区地形，采集雨区面积约为</w:t>
      </w:r>
      <w:r>
        <w:rPr>
          <w:rFonts w:hint="eastAsia"/>
          <w:sz w:val="28"/>
          <w:szCs w:val="28"/>
        </w:rPr>
        <w:t>0.</w:t>
      </w:r>
      <w:r>
        <w:rPr>
          <w:sz w:val="28"/>
          <w:szCs w:val="28"/>
        </w:rPr>
        <w:t>1</w:t>
      </w:r>
      <w:r>
        <w:rPr>
          <w:rFonts w:hint="eastAsia"/>
          <w:sz w:val="28"/>
          <w:szCs w:val="28"/>
        </w:rPr>
        <w:t xml:space="preserve">081 </w:t>
      </w:r>
      <w:r>
        <w:rPr>
          <w:sz w:val="28"/>
          <w:szCs w:val="28"/>
        </w:rPr>
        <w:t>km</w:t>
      </w:r>
      <w:r>
        <w:rPr>
          <w:sz w:val="28"/>
          <w:szCs w:val="28"/>
          <w:vertAlign w:val="superscript"/>
        </w:rPr>
        <w:t>2</w:t>
      </w:r>
      <w:r>
        <w:rPr>
          <w:sz w:val="28"/>
          <w:szCs w:val="28"/>
        </w:rPr>
        <w:t>，</w:t>
      </w:r>
      <w:r>
        <w:rPr>
          <w:rFonts w:hint="eastAsia"/>
          <w:snapToGrid w:val="0"/>
          <w:sz w:val="28"/>
          <w:szCs w:val="28"/>
        </w:rPr>
        <w:t>实际</w:t>
      </w:r>
      <w:r>
        <w:rPr>
          <w:snapToGrid w:val="0"/>
          <w:sz w:val="28"/>
          <w:szCs w:val="28"/>
        </w:rPr>
        <w:t>汇水面积不大</w:t>
      </w:r>
      <w:r>
        <w:rPr>
          <w:rFonts w:hint="eastAsia"/>
          <w:snapToGrid w:val="0"/>
          <w:sz w:val="28"/>
          <w:szCs w:val="28"/>
        </w:rPr>
        <w:t>，未来矿山开采，可在矿区外围修建截（排）水系统，同时在矿坑底部设置抽排水设施。</w:t>
      </w:r>
    </w:p>
    <w:p w14:paraId="7043AECF">
      <w:pPr>
        <w:pStyle w:val="98"/>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sz w:val="28"/>
          <w:szCs w:val="28"/>
        </w:rPr>
      </w:pPr>
      <w:r>
        <w:rPr>
          <w:rFonts w:hint="eastAsia"/>
          <w:sz w:val="28"/>
          <w:szCs w:val="28"/>
        </w:rPr>
        <w:t>（3）</w:t>
      </w:r>
      <w:r>
        <w:rPr>
          <w:sz w:val="28"/>
          <w:szCs w:val="28"/>
        </w:rPr>
        <w:t>地下水类型及富水性</w:t>
      </w:r>
    </w:p>
    <w:p w14:paraId="03F2D9CF">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sz w:val="28"/>
          <w:szCs w:val="28"/>
        </w:rPr>
      </w:pPr>
      <w:r>
        <w:rPr>
          <w:rFonts w:hint="eastAsia"/>
          <w:sz w:val="28"/>
          <w:szCs w:val="28"/>
        </w:rPr>
        <w:t>根据</w:t>
      </w:r>
      <w:r>
        <w:rPr>
          <w:rFonts w:hint="eastAsia"/>
          <w:sz w:val="28"/>
          <w:szCs w:val="28"/>
          <w:lang w:val="en-GB"/>
        </w:rPr>
        <w:t>区内地下水赋存条件及含水层岩组特征，将其划分为</w:t>
      </w:r>
      <w:r>
        <w:rPr>
          <w:rFonts w:hint="eastAsia" w:ascii="宋体" w:hAnsi="宋体"/>
          <w:sz w:val="28"/>
          <w:szCs w:val="28"/>
        </w:rPr>
        <w:t>松散岩类孔隙水、火山岩孔洞裂隙水。</w:t>
      </w:r>
    </w:p>
    <w:p w14:paraId="43A342F6">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sz w:val="28"/>
          <w:szCs w:val="28"/>
        </w:rPr>
      </w:pPr>
      <w:r>
        <w:rPr>
          <w:rFonts w:hint="eastAsia"/>
          <w:sz w:val="28"/>
          <w:szCs w:val="28"/>
        </w:rPr>
        <w:t>1）</w:t>
      </w:r>
      <w:r>
        <w:rPr>
          <w:sz w:val="28"/>
          <w:szCs w:val="28"/>
        </w:rPr>
        <w:t>松散岩类孔隙水</w:t>
      </w:r>
    </w:p>
    <w:p w14:paraId="301FC547">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sz w:val="28"/>
          <w:szCs w:val="28"/>
        </w:rPr>
      </w:pPr>
      <w:r>
        <w:rPr>
          <w:sz w:val="28"/>
          <w:szCs w:val="28"/>
        </w:rPr>
        <w:t>松散岩类孔隙水含水层</w:t>
      </w:r>
      <w:r>
        <w:rPr>
          <w:rFonts w:hint="eastAsia"/>
          <w:sz w:val="28"/>
          <w:szCs w:val="28"/>
        </w:rPr>
        <w:t>为第四系残坡积层，岩性主要为</w:t>
      </w:r>
      <w:r>
        <w:rPr>
          <w:rFonts w:hint="eastAsia"/>
          <w:snapToGrid w:val="0"/>
          <w:sz w:val="28"/>
          <w:szCs w:val="28"/>
        </w:rPr>
        <w:t>砂质黏性土</w:t>
      </w:r>
      <w:r>
        <w:rPr>
          <w:rFonts w:hint="eastAsia"/>
          <w:sz w:val="28"/>
          <w:szCs w:val="28"/>
        </w:rPr>
        <w:t>、砂</w:t>
      </w:r>
      <w:r>
        <w:rPr>
          <w:sz w:val="28"/>
          <w:szCs w:val="28"/>
        </w:rPr>
        <w:t>、砾砂</w:t>
      </w:r>
      <w:r>
        <w:rPr>
          <w:rFonts w:hint="eastAsia"/>
          <w:sz w:val="28"/>
          <w:szCs w:val="28"/>
        </w:rPr>
        <w:t>等</w:t>
      </w:r>
      <w:r>
        <w:rPr>
          <w:sz w:val="28"/>
          <w:szCs w:val="28"/>
        </w:rPr>
        <w:t>，</w:t>
      </w:r>
      <w:r>
        <w:rPr>
          <w:rFonts w:hint="eastAsia"/>
          <w:sz w:val="28"/>
          <w:szCs w:val="28"/>
        </w:rPr>
        <w:t>黑色、</w:t>
      </w:r>
      <w:r>
        <w:rPr>
          <w:sz w:val="28"/>
          <w:szCs w:val="28"/>
        </w:rPr>
        <w:t>黄色</w:t>
      </w:r>
      <w:r>
        <w:rPr>
          <w:rFonts w:hint="eastAsia"/>
          <w:sz w:val="28"/>
          <w:szCs w:val="28"/>
        </w:rPr>
        <w:t>、</w:t>
      </w:r>
      <w:r>
        <w:rPr>
          <w:sz w:val="28"/>
          <w:szCs w:val="28"/>
        </w:rPr>
        <w:t>褐黄色</w:t>
      </w:r>
      <w:r>
        <w:rPr>
          <w:rFonts w:hint="eastAsia"/>
          <w:sz w:val="28"/>
          <w:szCs w:val="28"/>
        </w:rPr>
        <w:t>、</w:t>
      </w:r>
      <w:r>
        <w:rPr>
          <w:sz w:val="28"/>
          <w:szCs w:val="28"/>
        </w:rPr>
        <w:t>灰黑色、灰白色</w:t>
      </w:r>
      <w:r>
        <w:rPr>
          <w:rFonts w:hint="eastAsia"/>
          <w:sz w:val="28"/>
          <w:szCs w:val="28"/>
        </w:rPr>
        <w:t>、棕色</w:t>
      </w:r>
      <w:r>
        <w:rPr>
          <w:sz w:val="28"/>
          <w:szCs w:val="28"/>
        </w:rPr>
        <w:t>，厚度</w:t>
      </w:r>
      <w:r>
        <w:rPr>
          <w:rFonts w:hint="eastAsia"/>
          <w:sz w:val="28"/>
          <w:szCs w:val="28"/>
        </w:rPr>
        <w:t>0.2</w:t>
      </w:r>
      <w:r>
        <w:rPr>
          <w:sz w:val="28"/>
          <w:szCs w:val="28"/>
        </w:rPr>
        <w:t>～</w:t>
      </w:r>
      <w:r>
        <w:rPr>
          <w:rFonts w:hint="eastAsia"/>
          <w:sz w:val="28"/>
          <w:szCs w:val="28"/>
        </w:rPr>
        <w:t>2.5</w:t>
      </w:r>
      <w:r>
        <w:rPr>
          <w:sz w:val="28"/>
          <w:szCs w:val="28"/>
        </w:rPr>
        <w:t>m</w:t>
      </w:r>
      <w:r>
        <w:rPr>
          <w:rFonts w:hint="eastAsia"/>
          <w:sz w:val="28"/>
          <w:szCs w:val="28"/>
        </w:rPr>
        <w:t>，覆盖于玄武岩之上</w:t>
      </w:r>
      <w:r>
        <w:rPr>
          <w:sz w:val="28"/>
          <w:szCs w:val="28"/>
        </w:rPr>
        <w:t>。</w:t>
      </w:r>
      <w:r>
        <w:rPr>
          <w:rFonts w:hAnsi="宋体"/>
          <w:sz w:val="28"/>
          <w:szCs w:val="28"/>
        </w:rPr>
        <w:t>属孔隙潜水含水层，富水性弱</w:t>
      </w:r>
      <w:r>
        <w:rPr>
          <w:sz w:val="28"/>
          <w:szCs w:val="28"/>
        </w:rPr>
        <w:t>。</w:t>
      </w:r>
    </w:p>
    <w:p w14:paraId="6CFC84EE">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sz w:val="28"/>
          <w:szCs w:val="28"/>
        </w:rPr>
      </w:pPr>
      <w:r>
        <w:rPr>
          <w:rFonts w:hint="eastAsia"/>
          <w:sz w:val="28"/>
          <w:szCs w:val="28"/>
        </w:rPr>
        <w:t>2）</w:t>
      </w:r>
      <w:r>
        <w:rPr>
          <w:rFonts w:hint="eastAsia" w:ascii="宋体" w:hAnsi="宋体"/>
          <w:sz w:val="28"/>
          <w:szCs w:val="28"/>
        </w:rPr>
        <w:t>火山岩孔洞裂隙水</w:t>
      </w:r>
    </w:p>
    <w:p w14:paraId="2D1826E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sz w:val="28"/>
          <w:szCs w:val="28"/>
        </w:rPr>
      </w:pPr>
      <w:r>
        <w:rPr>
          <w:rFonts w:hint="eastAsia"/>
          <w:sz w:val="28"/>
          <w:szCs w:val="28"/>
        </w:rPr>
        <w:t>火山岩孔洞裂隙水赋存于区内火山岩孔隙、裂隙中。</w:t>
      </w:r>
      <w:r>
        <w:rPr>
          <w:sz w:val="28"/>
          <w:szCs w:val="28"/>
        </w:rPr>
        <w:t>第四系中更新世石茆岭组火山岩(Q</w:t>
      </w:r>
      <w:r>
        <w:rPr>
          <w:i/>
          <w:iCs/>
          <w:spacing w:val="-60"/>
          <w:position w:val="6"/>
          <w:sz w:val="28"/>
          <w:szCs w:val="28"/>
        </w:rPr>
        <w:t>^</w:t>
      </w:r>
      <w:r>
        <w:rPr>
          <w:i/>
          <w:sz w:val="28"/>
          <w:szCs w:val="28"/>
        </w:rPr>
        <w:t>s</w:t>
      </w:r>
      <w:r>
        <w:rPr>
          <w:sz w:val="28"/>
          <w:szCs w:val="28"/>
        </w:rPr>
        <w:t>)分布于全矿区内，为</w:t>
      </w:r>
      <w:r>
        <w:rPr>
          <w:kern w:val="0"/>
          <w:sz w:val="28"/>
          <w:szCs w:val="28"/>
        </w:rPr>
        <w:t>喜马拉雅早期喷出岩，</w:t>
      </w:r>
      <w:r>
        <w:rPr>
          <w:sz w:val="28"/>
          <w:szCs w:val="28"/>
        </w:rPr>
        <w:t>以土黄色玄武质凝灰岩与玄武岩不等厚互层层状产出，上部为玄武岩，下部为玄武质凝灰岩。玄武岩（矿体）气孔构造发育，节理裂隙较发育，其富水性</w:t>
      </w:r>
      <w:r>
        <w:rPr>
          <w:rFonts w:hint="eastAsia"/>
          <w:sz w:val="28"/>
          <w:szCs w:val="28"/>
        </w:rPr>
        <w:t>中等。据位于矿区东南角ZK09地下</w:t>
      </w:r>
      <w:r>
        <w:rPr>
          <w:sz w:val="28"/>
          <w:szCs w:val="28"/>
        </w:rPr>
        <w:t>水</w:t>
      </w:r>
      <w:r>
        <w:rPr>
          <w:rFonts w:hint="eastAsia"/>
          <w:sz w:val="28"/>
          <w:szCs w:val="28"/>
        </w:rPr>
        <w:t>（取水层为深30m处的浅层</w:t>
      </w:r>
      <w:r>
        <w:rPr>
          <w:rFonts w:hint="eastAsia" w:ascii="宋体" w:hAnsi="宋体"/>
          <w:sz w:val="28"/>
          <w:szCs w:val="28"/>
        </w:rPr>
        <w:t>火山岩孔洞裂隙水</w:t>
      </w:r>
      <w:r>
        <w:rPr>
          <w:rFonts w:hint="eastAsia"/>
          <w:sz w:val="28"/>
          <w:szCs w:val="28"/>
        </w:rPr>
        <w:t>）</w:t>
      </w:r>
      <w:r>
        <w:rPr>
          <w:sz w:val="28"/>
          <w:szCs w:val="28"/>
        </w:rPr>
        <w:t>化学样分析结果</w:t>
      </w:r>
      <w:r>
        <w:rPr>
          <w:rFonts w:hint="eastAsia"/>
          <w:sz w:val="28"/>
          <w:szCs w:val="28"/>
        </w:rPr>
        <w:t>（表</w:t>
      </w:r>
      <w:r>
        <w:rPr>
          <w:rFonts w:hint="eastAsia"/>
          <w:sz w:val="28"/>
          <w:szCs w:val="28"/>
          <w:lang w:val="en-US" w:eastAsia="zh-CN"/>
        </w:rPr>
        <w:t>2</w:t>
      </w:r>
      <w:r>
        <w:rPr>
          <w:rFonts w:hint="eastAsia"/>
          <w:sz w:val="28"/>
          <w:szCs w:val="28"/>
        </w:rPr>
        <w:t>-</w:t>
      </w:r>
      <w:r>
        <w:rPr>
          <w:sz w:val="28"/>
          <w:szCs w:val="28"/>
        </w:rPr>
        <w:t>1</w:t>
      </w:r>
      <w:r>
        <w:rPr>
          <w:rFonts w:hint="eastAsia"/>
          <w:sz w:val="28"/>
          <w:szCs w:val="28"/>
        </w:rPr>
        <w:t>），</w:t>
      </w:r>
      <w:r>
        <w:rPr>
          <w:sz w:val="28"/>
          <w:szCs w:val="28"/>
        </w:rPr>
        <w:t>水化学类型为HCO</w:t>
      </w:r>
      <w:r>
        <w:rPr>
          <w:sz w:val="28"/>
          <w:szCs w:val="28"/>
          <w:vertAlign w:val="subscript"/>
        </w:rPr>
        <w:t>3</w:t>
      </w:r>
      <w:r>
        <w:rPr>
          <w:sz w:val="28"/>
          <w:szCs w:val="28"/>
        </w:rPr>
        <w:t>•Cl—Mg•Ca•Na，pH值</w:t>
      </w:r>
      <w:r>
        <w:rPr>
          <w:rFonts w:hint="eastAsia"/>
          <w:sz w:val="28"/>
          <w:szCs w:val="28"/>
        </w:rPr>
        <w:t>8.20</w:t>
      </w:r>
      <w:r>
        <w:rPr>
          <w:sz w:val="28"/>
          <w:szCs w:val="28"/>
        </w:rPr>
        <w:t>，溶解性总固体</w:t>
      </w:r>
      <w:r>
        <w:rPr>
          <w:rFonts w:hint="eastAsia"/>
          <w:sz w:val="28"/>
          <w:szCs w:val="28"/>
        </w:rPr>
        <w:t>323.28 m</w:t>
      </w:r>
      <w:r>
        <w:rPr>
          <w:sz w:val="28"/>
          <w:szCs w:val="28"/>
        </w:rPr>
        <w:t>g/L。</w:t>
      </w:r>
    </w:p>
    <w:p w14:paraId="541B3B79">
      <w:pPr>
        <w:pStyle w:val="99"/>
        <w:spacing w:line="240" w:lineRule="auto"/>
        <w:outlineLvl w:val="9"/>
        <w:rPr>
          <w:rFonts w:hint="eastAsia"/>
          <w:sz w:val="24"/>
          <w:szCs w:val="24"/>
        </w:rPr>
      </w:pPr>
    </w:p>
    <w:p w14:paraId="48BEBE8C">
      <w:pPr>
        <w:pStyle w:val="99"/>
        <w:spacing w:line="240" w:lineRule="auto"/>
        <w:outlineLvl w:val="9"/>
        <w:rPr>
          <w:rFonts w:hint="eastAsia"/>
          <w:sz w:val="24"/>
          <w:szCs w:val="24"/>
        </w:rPr>
      </w:pPr>
      <w:r>
        <w:rPr>
          <w:rFonts w:hint="eastAsia"/>
          <w:sz w:val="24"/>
          <w:szCs w:val="24"/>
        </w:rPr>
        <w:t>表</w:t>
      </w:r>
      <w:r>
        <w:rPr>
          <w:rFonts w:hint="eastAsia"/>
          <w:sz w:val="24"/>
          <w:szCs w:val="24"/>
          <w:lang w:val="en-US" w:eastAsia="zh-CN"/>
        </w:rPr>
        <w:t>2</w:t>
      </w:r>
      <w:r>
        <w:rPr>
          <w:rFonts w:hint="eastAsia"/>
          <w:sz w:val="24"/>
          <w:szCs w:val="24"/>
        </w:rPr>
        <w:t>-</w:t>
      </w:r>
      <w:r>
        <w:rPr>
          <w:sz w:val="24"/>
          <w:szCs w:val="24"/>
        </w:rPr>
        <w:t>1</w:t>
      </w:r>
      <w:r>
        <w:rPr>
          <w:rFonts w:hint="eastAsia"/>
          <w:sz w:val="24"/>
          <w:szCs w:val="24"/>
          <w:lang w:val="en-US" w:eastAsia="zh-CN"/>
        </w:rPr>
        <w:t xml:space="preserve"> </w:t>
      </w:r>
      <w:r>
        <w:rPr>
          <w:rFonts w:hint="eastAsia"/>
          <w:sz w:val="24"/>
          <w:szCs w:val="24"/>
        </w:rPr>
        <w:t xml:space="preserve"> 地下水简分析试验结果一览表</w:t>
      </w:r>
    </w:p>
    <w:tbl>
      <w:tblPr>
        <w:tblStyle w:val="33"/>
        <w:tblW w:w="49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801"/>
        <w:gridCol w:w="2216"/>
        <w:gridCol w:w="1448"/>
        <w:gridCol w:w="2218"/>
      </w:tblGrid>
      <w:tr w14:paraId="0D97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0"/>
            <w:vAlign w:val="center"/>
          </w:tcPr>
          <w:p w14:paraId="26883D7C">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阳离子(B)</w:t>
            </w:r>
          </w:p>
        </w:tc>
        <w:tc>
          <w:tcPr>
            <w:tcW w:w="1005" w:type="pct"/>
            <w:noWrap w:val="0"/>
            <w:vAlign w:val="center"/>
          </w:tcPr>
          <w:p w14:paraId="6F0CAA4A">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i/>
                <w:iCs/>
                <w:kern w:val="0"/>
                <w:sz w:val="24"/>
                <w:szCs w:val="24"/>
              </w:rPr>
            </w:pPr>
            <w:r>
              <w:rPr>
                <w:rFonts w:hint="default" w:ascii="Times New Roman" w:hAnsi="Times New Roman" w:eastAsia="宋体" w:cs="Times New Roman"/>
                <w:i/>
                <w:iCs/>
                <w:kern w:val="0"/>
                <w:sz w:val="24"/>
                <w:szCs w:val="24"/>
              </w:rPr>
              <w:t>ρ(</w:t>
            </w:r>
            <w:r>
              <w:rPr>
                <w:rFonts w:hint="default" w:ascii="Times New Roman" w:hAnsi="Times New Roman" w:eastAsia="宋体" w:cs="Times New Roman"/>
                <w:kern w:val="0"/>
                <w:sz w:val="24"/>
                <w:szCs w:val="24"/>
              </w:rPr>
              <w:t>B)/mgL</w:t>
            </w:r>
            <w:r>
              <w:rPr>
                <w:rFonts w:hint="default" w:ascii="Times New Roman" w:hAnsi="Times New Roman" w:eastAsia="宋体" w:cs="Times New Roman"/>
                <w:kern w:val="0"/>
                <w:sz w:val="24"/>
                <w:szCs w:val="24"/>
                <w:vertAlign w:val="superscript"/>
              </w:rPr>
              <w:t>-1</w:t>
            </w:r>
          </w:p>
        </w:tc>
        <w:tc>
          <w:tcPr>
            <w:tcW w:w="1237" w:type="pct"/>
            <w:noWrap w:val="0"/>
            <w:vAlign w:val="center"/>
          </w:tcPr>
          <w:p w14:paraId="5FA0B377">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i/>
                <w:iCs/>
                <w:kern w:val="0"/>
                <w:sz w:val="24"/>
                <w:szCs w:val="24"/>
              </w:rPr>
            </w:pPr>
            <w:r>
              <w:rPr>
                <w:rFonts w:hint="default" w:ascii="Times New Roman" w:hAnsi="Times New Roman" w:eastAsia="宋体" w:cs="Times New Roman"/>
                <w:i/>
                <w:iCs/>
                <w:kern w:val="0"/>
                <w:sz w:val="24"/>
                <w:szCs w:val="24"/>
              </w:rPr>
              <w:t>с(</w:t>
            </w:r>
            <w:r>
              <w:rPr>
                <w:rFonts w:hint="default" w:ascii="Times New Roman" w:hAnsi="Times New Roman" w:eastAsia="宋体" w:cs="Times New Roman"/>
                <w:kern w:val="0"/>
                <w:sz w:val="24"/>
                <w:szCs w:val="24"/>
              </w:rPr>
              <w:t>1/zB</w:t>
            </w:r>
            <w:r>
              <w:rPr>
                <w:rFonts w:hint="default" w:ascii="Times New Roman" w:hAnsi="Times New Roman" w:eastAsia="宋体" w:cs="Times New Roman"/>
                <w:kern w:val="0"/>
                <w:sz w:val="24"/>
                <w:szCs w:val="24"/>
                <w:vertAlign w:val="superscript"/>
              </w:rPr>
              <w:t>z±</w:t>
            </w:r>
            <w:r>
              <w:rPr>
                <w:rFonts w:hint="default" w:ascii="Times New Roman" w:hAnsi="Times New Roman" w:eastAsia="宋体" w:cs="Times New Roman"/>
                <w:kern w:val="0"/>
                <w:sz w:val="24"/>
                <w:szCs w:val="24"/>
              </w:rPr>
              <w:t>)/mmolL</w:t>
            </w:r>
            <w:r>
              <w:rPr>
                <w:rFonts w:hint="default" w:ascii="Times New Roman" w:hAnsi="Times New Roman" w:eastAsia="宋体" w:cs="Times New Roman"/>
                <w:kern w:val="0"/>
                <w:sz w:val="24"/>
                <w:szCs w:val="24"/>
                <w:vertAlign w:val="superscript"/>
              </w:rPr>
              <w:t>-1</w:t>
            </w:r>
          </w:p>
        </w:tc>
        <w:tc>
          <w:tcPr>
            <w:tcW w:w="808" w:type="pct"/>
            <w:noWrap/>
            <w:vAlign w:val="center"/>
          </w:tcPr>
          <w:p w14:paraId="564CD99C">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项目</w:t>
            </w:r>
          </w:p>
        </w:tc>
        <w:tc>
          <w:tcPr>
            <w:tcW w:w="1238" w:type="pct"/>
            <w:noWrap/>
            <w:vAlign w:val="center"/>
          </w:tcPr>
          <w:p w14:paraId="7295637F">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以CaCO</w:t>
            </w:r>
            <w:r>
              <w:rPr>
                <w:rFonts w:hint="default" w:ascii="Times New Roman" w:hAnsi="Times New Roman" w:eastAsia="宋体" w:cs="Times New Roman"/>
                <w:kern w:val="0"/>
                <w:sz w:val="24"/>
                <w:szCs w:val="24"/>
                <w:vertAlign w:val="subscript"/>
              </w:rPr>
              <w:t>3</w:t>
            </w:r>
            <w:r>
              <w:rPr>
                <w:rFonts w:hint="default" w:ascii="Times New Roman" w:hAnsi="Times New Roman" w:eastAsia="宋体" w:cs="Times New Roman"/>
                <w:kern w:val="0"/>
                <w:sz w:val="24"/>
                <w:szCs w:val="24"/>
              </w:rPr>
              <w:t>计mgL</w:t>
            </w:r>
            <w:r>
              <w:rPr>
                <w:rFonts w:hint="default" w:ascii="Times New Roman" w:hAnsi="Times New Roman" w:eastAsia="宋体" w:cs="Times New Roman"/>
                <w:kern w:val="0"/>
                <w:sz w:val="24"/>
                <w:szCs w:val="24"/>
                <w:vertAlign w:val="superscript"/>
              </w:rPr>
              <w:t>-1</w:t>
            </w:r>
          </w:p>
        </w:tc>
      </w:tr>
      <w:tr w14:paraId="6820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1135F0DE">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Ca</w:t>
            </w:r>
            <w:r>
              <w:rPr>
                <w:rFonts w:hint="default" w:ascii="Times New Roman" w:hAnsi="Times New Roman" w:eastAsia="宋体" w:cs="Times New Roman"/>
                <w:kern w:val="0"/>
                <w:sz w:val="24"/>
                <w:szCs w:val="24"/>
                <w:vertAlign w:val="superscript"/>
              </w:rPr>
              <w:t>2+</w:t>
            </w:r>
          </w:p>
        </w:tc>
        <w:tc>
          <w:tcPr>
            <w:tcW w:w="1005" w:type="pct"/>
            <w:noWrap/>
            <w:vAlign w:val="center"/>
          </w:tcPr>
          <w:p w14:paraId="34DB7639">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35.03</w:t>
            </w:r>
          </w:p>
        </w:tc>
        <w:tc>
          <w:tcPr>
            <w:tcW w:w="1237" w:type="pct"/>
            <w:noWrap/>
            <w:vAlign w:val="center"/>
          </w:tcPr>
          <w:p w14:paraId="4FBD77E6">
            <w:pPr>
              <w:pStyle w:val="97"/>
              <w:keepNext w:val="0"/>
              <w:keepLines w:val="0"/>
              <w:pageBreakBefore w:val="0"/>
              <w:widowControl/>
              <w:kinsoku/>
              <w:wordWrap/>
              <w:overflowPunct/>
              <w:topLinePunct w:val="0"/>
              <w:autoSpaceDE/>
              <w:autoSpaceDN/>
              <w:bidi w:val="0"/>
              <w:snapToGrid/>
              <w:spacing w:beforeLines="0" w:afterLines="0" w:line="24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1.748</w:t>
            </w:r>
          </w:p>
        </w:tc>
        <w:tc>
          <w:tcPr>
            <w:tcW w:w="808" w:type="pct"/>
            <w:noWrap/>
            <w:vAlign w:val="center"/>
          </w:tcPr>
          <w:p w14:paraId="79CA62A3">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总硬度</w:t>
            </w:r>
          </w:p>
        </w:tc>
        <w:tc>
          <w:tcPr>
            <w:tcW w:w="1238" w:type="pct"/>
            <w:noWrap/>
            <w:vAlign w:val="center"/>
          </w:tcPr>
          <w:p w14:paraId="7C89A973">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186.58</w:t>
            </w:r>
          </w:p>
        </w:tc>
      </w:tr>
      <w:tr w14:paraId="2791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575A8C2E">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Mg</w:t>
            </w:r>
            <w:r>
              <w:rPr>
                <w:rFonts w:hint="default" w:ascii="Times New Roman" w:hAnsi="Times New Roman" w:eastAsia="宋体" w:cs="Times New Roman"/>
                <w:kern w:val="0"/>
                <w:sz w:val="24"/>
                <w:szCs w:val="24"/>
                <w:vertAlign w:val="superscript"/>
              </w:rPr>
              <w:t>2+</w:t>
            </w:r>
          </w:p>
        </w:tc>
        <w:tc>
          <w:tcPr>
            <w:tcW w:w="1005" w:type="pct"/>
            <w:noWrap/>
            <w:vAlign w:val="center"/>
          </w:tcPr>
          <w:p w14:paraId="51F828E6">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24.09</w:t>
            </w:r>
          </w:p>
        </w:tc>
        <w:tc>
          <w:tcPr>
            <w:tcW w:w="1237" w:type="pct"/>
            <w:noWrap/>
            <w:vAlign w:val="center"/>
          </w:tcPr>
          <w:p w14:paraId="42FC95FB">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1.981</w:t>
            </w:r>
          </w:p>
        </w:tc>
        <w:tc>
          <w:tcPr>
            <w:tcW w:w="808" w:type="pct"/>
            <w:noWrap/>
            <w:vAlign w:val="center"/>
          </w:tcPr>
          <w:p w14:paraId="0C1AB334">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总碱度</w:t>
            </w:r>
          </w:p>
        </w:tc>
        <w:tc>
          <w:tcPr>
            <w:tcW w:w="1238" w:type="pct"/>
            <w:noWrap/>
            <w:vAlign w:val="center"/>
          </w:tcPr>
          <w:p w14:paraId="007F8291">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181.54</w:t>
            </w:r>
          </w:p>
        </w:tc>
      </w:tr>
      <w:tr w14:paraId="615D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3B317155">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K</w:t>
            </w:r>
            <w:r>
              <w:rPr>
                <w:rFonts w:hint="default" w:ascii="Times New Roman" w:hAnsi="Times New Roman" w:eastAsia="宋体" w:cs="Times New Roman"/>
                <w:kern w:val="0"/>
                <w:sz w:val="24"/>
                <w:szCs w:val="24"/>
                <w:vertAlign w:val="superscript"/>
              </w:rPr>
              <w:t>+</w:t>
            </w:r>
          </w:p>
        </w:tc>
        <w:tc>
          <w:tcPr>
            <w:tcW w:w="1005" w:type="pct"/>
            <w:noWrap/>
            <w:vAlign w:val="center"/>
          </w:tcPr>
          <w:p w14:paraId="09318460">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7.52</w:t>
            </w:r>
          </w:p>
        </w:tc>
        <w:tc>
          <w:tcPr>
            <w:tcW w:w="1237" w:type="pct"/>
            <w:noWrap/>
            <w:vAlign w:val="center"/>
          </w:tcPr>
          <w:p w14:paraId="76A82825">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0.193</w:t>
            </w:r>
          </w:p>
        </w:tc>
        <w:tc>
          <w:tcPr>
            <w:tcW w:w="808" w:type="pct"/>
            <w:noWrap/>
            <w:vAlign w:val="center"/>
          </w:tcPr>
          <w:p w14:paraId="6A039578">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项目</w:t>
            </w:r>
          </w:p>
        </w:tc>
        <w:tc>
          <w:tcPr>
            <w:tcW w:w="1238" w:type="pct"/>
            <w:noWrap/>
            <w:vAlign w:val="center"/>
          </w:tcPr>
          <w:p w14:paraId="16255FAE">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mg/L</w:t>
            </w:r>
          </w:p>
        </w:tc>
      </w:tr>
      <w:tr w14:paraId="2035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5BB5906E">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Na</w:t>
            </w:r>
            <w:r>
              <w:rPr>
                <w:rFonts w:hint="default" w:ascii="Times New Roman" w:hAnsi="Times New Roman" w:eastAsia="宋体" w:cs="Times New Roman"/>
                <w:kern w:val="0"/>
                <w:sz w:val="24"/>
                <w:szCs w:val="24"/>
                <w:vertAlign w:val="superscript"/>
              </w:rPr>
              <w:t>+</w:t>
            </w:r>
          </w:p>
        </w:tc>
        <w:tc>
          <w:tcPr>
            <w:tcW w:w="1005" w:type="pct"/>
            <w:noWrap/>
            <w:vAlign w:val="center"/>
          </w:tcPr>
          <w:p w14:paraId="7033A268">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22.92</w:t>
            </w:r>
          </w:p>
        </w:tc>
        <w:tc>
          <w:tcPr>
            <w:tcW w:w="1237" w:type="pct"/>
            <w:noWrap/>
            <w:vAlign w:val="center"/>
          </w:tcPr>
          <w:p w14:paraId="3E5A4CFA">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0.997</w:t>
            </w:r>
          </w:p>
        </w:tc>
        <w:tc>
          <w:tcPr>
            <w:tcW w:w="808" w:type="pct"/>
            <w:noWrap/>
            <w:vAlign w:val="center"/>
          </w:tcPr>
          <w:p w14:paraId="06C853BD">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游离CO</w:t>
            </w:r>
            <w:r>
              <w:rPr>
                <w:rFonts w:hint="default" w:ascii="Times New Roman" w:hAnsi="Times New Roman" w:eastAsia="宋体" w:cs="Times New Roman"/>
                <w:kern w:val="0"/>
                <w:sz w:val="24"/>
                <w:szCs w:val="24"/>
                <w:vertAlign w:val="subscript"/>
              </w:rPr>
              <w:t>2</w:t>
            </w:r>
          </w:p>
        </w:tc>
        <w:tc>
          <w:tcPr>
            <w:tcW w:w="1238" w:type="pct"/>
            <w:noWrap/>
            <w:vAlign w:val="center"/>
          </w:tcPr>
          <w:p w14:paraId="5D8B92DA">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0.00</w:t>
            </w:r>
          </w:p>
        </w:tc>
      </w:tr>
      <w:tr w14:paraId="21B7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525DFD1F">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TFe</w:t>
            </w:r>
          </w:p>
        </w:tc>
        <w:tc>
          <w:tcPr>
            <w:tcW w:w="1005" w:type="pct"/>
            <w:noWrap/>
            <w:vAlign w:val="center"/>
          </w:tcPr>
          <w:p w14:paraId="1795BC6E">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0.00</w:t>
            </w:r>
          </w:p>
        </w:tc>
        <w:tc>
          <w:tcPr>
            <w:tcW w:w="1237" w:type="pct"/>
            <w:noWrap/>
            <w:vAlign w:val="center"/>
          </w:tcPr>
          <w:p w14:paraId="3382FD04">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0.000</w:t>
            </w:r>
          </w:p>
        </w:tc>
        <w:tc>
          <w:tcPr>
            <w:tcW w:w="808" w:type="pct"/>
            <w:noWrap/>
            <w:vAlign w:val="center"/>
          </w:tcPr>
          <w:p w14:paraId="50104E3B">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侵蚀性CO</w:t>
            </w:r>
            <w:r>
              <w:rPr>
                <w:rFonts w:hint="default" w:ascii="Times New Roman" w:hAnsi="Times New Roman" w:eastAsia="宋体" w:cs="Times New Roman"/>
                <w:kern w:val="0"/>
                <w:sz w:val="24"/>
                <w:szCs w:val="24"/>
                <w:vertAlign w:val="subscript"/>
              </w:rPr>
              <w:t>2</w:t>
            </w:r>
          </w:p>
        </w:tc>
        <w:tc>
          <w:tcPr>
            <w:tcW w:w="1238" w:type="pct"/>
            <w:noWrap/>
            <w:vAlign w:val="center"/>
          </w:tcPr>
          <w:p w14:paraId="22567BE2">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2.16</w:t>
            </w:r>
          </w:p>
        </w:tc>
      </w:tr>
      <w:tr w14:paraId="7367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10" w:type="pct"/>
            <w:noWrap/>
            <w:vAlign w:val="center"/>
          </w:tcPr>
          <w:p w14:paraId="33D20221">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NH</w:t>
            </w:r>
            <w:r>
              <w:rPr>
                <w:rFonts w:hint="default" w:ascii="Times New Roman" w:hAnsi="Times New Roman" w:eastAsia="宋体" w:cs="Times New Roman"/>
                <w:kern w:val="0"/>
                <w:sz w:val="24"/>
                <w:szCs w:val="24"/>
                <w:vertAlign w:val="subscript"/>
              </w:rPr>
              <w:t>4</w:t>
            </w:r>
            <w:r>
              <w:rPr>
                <w:rFonts w:hint="default" w:ascii="Times New Roman" w:hAnsi="Times New Roman" w:eastAsia="宋体" w:cs="Times New Roman"/>
                <w:kern w:val="0"/>
                <w:sz w:val="24"/>
                <w:szCs w:val="24"/>
                <w:vertAlign w:val="superscript"/>
              </w:rPr>
              <w:t>+</w:t>
            </w:r>
          </w:p>
        </w:tc>
        <w:tc>
          <w:tcPr>
            <w:tcW w:w="1005" w:type="pct"/>
            <w:noWrap/>
            <w:vAlign w:val="center"/>
          </w:tcPr>
          <w:p w14:paraId="66ED988F">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0.00</w:t>
            </w:r>
          </w:p>
        </w:tc>
        <w:tc>
          <w:tcPr>
            <w:tcW w:w="1237" w:type="pct"/>
            <w:noWrap/>
            <w:vAlign w:val="center"/>
          </w:tcPr>
          <w:p w14:paraId="282A6F10">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0.000</w:t>
            </w:r>
          </w:p>
        </w:tc>
        <w:tc>
          <w:tcPr>
            <w:tcW w:w="808" w:type="pct"/>
            <w:noWrap/>
            <w:vAlign w:val="center"/>
          </w:tcPr>
          <w:p w14:paraId="3D8BE86B">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偏硅酸</w:t>
            </w:r>
          </w:p>
        </w:tc>
        <w:tc>
          <w:tcPr>
            <w:tcW w:w="1238" w:type="pct"/>
            <w:noWrap/>
            <w:vAlign w:val="center"/>
          </w:tcPr>
          <w:p w14:paraId="1AB776EB">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41.60</w:t>
            </w:r>
          </w:p>
        </w:tc>
      </w:tr>
      <w:tr w14:paraId="309E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10" w:type="pct"/>
            <w:noWrap w:val="0"/>
            <w:vAlign w:val="center"/>
          </w:tcPr>
          <w:p w14:paraId="2AFE5D41">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阴离子(B)</w:t>
            </w:r>
          </w:p>
        </w:tc>
        <w:tc>
          <w:tcPr>
            <w:tcW w:w="1005" w:type="pct"/>
            <w:noWrap w:val="0"/>
            <w:vAlign w:val="center"/>
          </w:tcPr>
          <w:p w14:paraId="62438C56">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i/>
                <w:iCs/>
                <w:kern w:val="0"/>
                <w:sz w:val="24"/>
                <w:szCs w:val="24"/>
              </w:rPr>
            </w:pPr>
            <w:r>
              <w:rPr>
                <w:rFonts w:hint="default" w:ascii="Times New Roman" w:hAnsi="Times New Roman" w:eastAsia="宋体" w:cs="Times New Roman"/>
                <w:i/>
                <w:iCs/>
                <w:kern w:val="0"/>
                <w:sz w:val="24"/>
                <w:szCs w:val="24"/>
              </w:rPr>
              <w:t>ρ</w:t>
            </w:r>
            <w:r>
              <w:rPr>
                <w:rFonts w:hint="default" w:ascii="Times New Roman" w:hAnsi="Times New Roman" w:eastAsia="宋体" w:cs="Times New Roman"/>
                <w:kern w:val="0"/>
                <w:sz w:val="24"/>
                <w:szCs w:val="24"/>
              </w:rPr>
              <w:t>(B)/mgL</w:t>
            </w:r>
            <w:r>
              <w:rPr>
                <w:rFonts w:hint="default" w:ascii="Times New Roman" w:hAnsi="Times New Roman" w:eastAsia="宋体" w:cs="Times New Roman"/>
                <w:kern w:val="0"/>
                <w:sz w:val="24"/>
                <w:szCs w:val="24"/>
                <w:vertAlign w:val="superscript"/>
              </w:rPr>
              <w:t>-1</w:t>
            </w:r>
          </w:p>
        </w:tc>
        <w:tc>
          <w:tcPr>
            <w:tcW w:w="1237" w:type="pct"/>
            <w:noWrap w:val="0"/>
            <w:vAlign w:val="center"/>
          </w:tcPr>
          <w:p w14:paraId="6DA2E54D">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i/>
                <w:iCs/>
                <w:kern w:val="0"/>
                <w:sz w:val="24"/>
                <w:szCs w:val="24"/>
              </w:rPr>
            </w:pPr>
            <w:r>
              <w:rPr>
                <w:rFonts w:hint="default" w:ascii="Times New Roman" w:hAnsi="Times New Roman" w:eastAsia="宋体" w:cs="Times New Roman"/>
                <w:i/>
                <w:iCs/>
                <w:kern w:val="0"/>
                <w:sz w:val="24"/>
                <w:szCs w:val="24"/>
              </w:rPr>
              <w:t>с(</w:t>
            </w:r>
            <w:r>
              <w:rPr>
                <w:rFonts w:hint="default" w:ascii="Times New Roman" w:hAnsi="Times New Roman" w:eastAsia="宋体" w:cs="Times New Roman"/>
                <w:kern w:val="0"/>
                <w:sz w:val="24"/>
                <w:szCs w:val="24"/>
              </w:rPr>
              <w:t>1/zB</w:t>
            </w:r>
            <w:r>
              <w:rPr>
                <w:rFonts w:hint="default" w:ascii="Times New Roman" w:hAnsi="Times New Roman" w:eastAsia="宋体" w:cs="Times New Roman"/>
                <w:kern w:val="0"/>
                <w:sz w:val="24"/>
                <w:szCs w:val="24"/>
                <w:vertAlign w:val="superscript"/>
              </w:rPr>
              <w:t>z±</w:t>
            </w:r>
            <w:r>
              <w:rPr>
                <w:rFonts w:hint="default" w:ascii="Times New Roman" w:hAnsi="Times New Roman" w:eastAsia="宋体" w:cs="Times New Roman"/>
                <w:kern w:val="0"/>
                <w:sz w:val="24"/>
                <w:szCs w:val="24"/>
              </w:rPr>
              <w:t>)/mmolL</w:t>
            </w:r>
            <w:r>
              <w:rPr>
                <w:rFonts w:hint="default" w:ascii="Times New Roman" w:hAnsi="Times New Roman" w:eastAsia="宋体" w:cs="Times New Roman"/>
                <w:kern w:val="0"/>
                <w:sz w:val="24"/>
                <w:szCs w:val="24"/>
                <w:vertAlign w:val="superscript"/>
              </w:rPr>
              <w:t>-1</w:t>
            </w:r>
          </w:p>
        </w:tc>
        <w:tc>
          <w:tcPr>
            <w:tcW w:w="808" w:type="pct"/>
            <w:noWrap w:val="0"/>
            <w:vAlign w:val="center"/>
          </w:tcPr>
          <w:p w14:paraId="4D89FC06">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溶解性总固体</w:t>
            </w:r>
          </w:p>
        </w:tc>
        <w:tc>
          <w:tcPr>
            <w:tcW w:w="1238" w:type="pct"/>
            <w:noWrap/>
            <w:vAlign w:val="center"/>
          </w:tcPr>
          <w:p w14:paraId="324F4586">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323.28</w:t>
            </w:r>
          </w:p>
        </w:tc>
      </w:tr>
      <w:tr w14:paraId="12A9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7A0330CA">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Cl</w:t>
            </w:r>
            <w:r>
              <w:rPr>
                <w:rFonts w:hint="default" w:ascii="Times New Roman" w:hAnsi="Times New Roman" w:eastAsia="宋体" w:cs="Times New Roman"/>
                <w:kern w:val="0"/>
                <w:sz w:val="24"/>
                <w:szCs w:val="24"/>
                <w:vertAlign w:val="superscript"/>
              </w:rPr>
              <w:t>-</w:t>
            </w:r>
          </w:p>
        </w:tc>
        <w:tc>
          <w:tcPr>
            <w:tcW w:w="1005" w:type="pct"/>
            <w:noWrap/>
            <w:vAlign w:val="center"/>
          </w:tcPr>
          <w:p w14:paraId="2CF934F7">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74.75</w:t>
            </w:r>
          </w:p>
        </w:tc>
        <w:tc>
          <w:tcPr>
            <w:tcW w:w="1237" w:type="pct"/>
            <w:noWrap/>
            <w:vAlign w:val="center"/>
          </w:tcPr>
          <w:p w14:paraId="6F7CC2FC">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2.100</w:t>
            </w:r>
          </w:p>
        </w:tc>
        <w:tc>
          <w:tcPr>
            <w:tcW w:w="808" w:type="pct"/>
            <w:noWrap/>
            <w:vAlign w:val="center"/>
          </w:tcPr>
          <w:p w14:paraId="605C977F">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项目</w:t>
            </w:r>
          </w:p>
        </w:tc>
        <w:tc>
          <w:tcPr>
            <w:tcW w:w="1238" w:type="pct"/>
            <w:noWrap/>
            <w:vAlign w:val="center"/>
          </w:tcPr>
          <w:p w14:paraId="6D3BF5F6">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p>
        </w:tc>
      </w:tr>
      <w:tr w14:paraId="6186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28C38757">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SO</w:t>
            </w:r>
            <w:r>
              <w:rPr>
                <w:rFonts w:hint="default" w:ascii="Times New Roman" w:hAnsi="Times New Roman" w:eastAsia="宋体" w:cs="Times New Roman"/>
                <w:kern w:val="0"/>
                <w:sz w:val="24"/>
                <w:szCs w:val="24"/>
                <w:vertAlign w:val="subscript"/>
              </w:rPr>
              <w:t>4</w:t>
            </w:r>
            <w:r>
              <w:rPr>
                <w:rFonts w:hint="default" w:ascii="Times New Roman" w:hAnsi="Times New Roman" w:eastAsia="宋体" w:cs="Times New Roman"/>
                <w:kern w:val="0"/>
                <w:sz w:val="24"/>
                <w:szCs w:val="24"/>
                <w:vertAlign w:val="superscript"/>
              </w:rPr>
              <w:t>2-</w:t>
            </w:r>
          </w:p>
        </w:tc>
        <w:tc>
          <w:tcPr>
            <w:tcW w:w="1005" w:type="pct"/>
            <w:noWrap/>
            <w:vAlign w:val="center"/>
          </w:tcPr>
          <w:p w14:paraId="15CC59B9">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16.79</w:t>
            </w:r>
          </w:p>
        </w:tc>
        <w:tc>
          <w:tcPr>
            <w:tcW w:w="1237" w:type="pct"/>
            <w:noWrap/>
            <w:vAlign w:val="center"/>
          </w:tcPr>
          <w:p w14:paraId="76CF2C27">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0.349</w:t>
            </w:r>
          </w:p>
        </w:tc>
        <w:tc>
          <w:tcPr>
            <w:tcW w:w="808" w:type="pct"/>
            <w:noWrap/>
            <w:vAlign w:val="center"/>
          </w:tcPr>
          <w:p w14:paraId="7C810547">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pH</w:t>
            </w:r>
          </w:p>
        </w:tc>
        <w:tc>
          <w:tcPr>
            <w:tcW w:w="1238" w:type="pct"/>
            <w:noWrap/>
            <w:vAlign w:val="center"/>
          </w:tcPr>
          <w:p w14:paraId="02A66F69">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8.20</w:t>
            </w:r>
          </w:p>
        </w:tc>
      </w:tr>
      <w:tr w14:paraId="0BB5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43F64E6D">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HCO</w:t>
            </w:r>
            <w:r>
              <w:rPr>
                <w:rFonts w:hint="default" w:ascii="Times New Roman" w:hAnsi="Times New Roman" w:eastAsia="宋体" w:cs="Times New Roman"/>
                <w:kern w:val="0"/>
                <w:sz w:val="24"/>
                <w:szCs w:val="24"/>
                <w:vertAlign w:val="subscript"/>
              </w:rPr>
              <w:t>3</w:t>
            </w:r>
            <w:r>
              <w:rPr>
                <w:rFonts w:hint="default" w:ascii="Times New Roman" w:hAnsi="Times New Roman" w:eastAsia="宋体" w:cs="Times New Roman"/>
                <w:kern w:val="0"/>
                <w:sz w:val="24"/>
                <w:szCs w:val="24"/>
                <w:vertAlign w:val="superscript"/>
              </w:rPr>
              <w:t>-</w:t>
            </w:r>
          </w:p>
        </w:tc>
        <w:tc>
          <w:tcPr>
            <w:tcW w:w="1005" w:type="pct"/>
            <w:noWrap/>
            <w:vAlign w:val="center"/>
          </w:tcPr>
          <w:p w14:paraId="7766375E">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185.45</w:t>
            </w:r>
          </w:p>
        </w:tc>
        <w:tc>
          <w:tcPr>
            <w:tcW w:w="1237" w:type="pct"/>
            <w:noWrap/>
            <w:vAlign w:val="center"/>
          </w:tcPr>
          <w:p w14:paraId="67FC03CA">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3.039</w:t>
            </w:r>
          </w:p>
        </w:tc>
        <w:tc>
          <w:tcPr>
            <w:tcW w:w="808" w:type="pct"/>
            <w:noWrap/>
            <w:vAlign w:val="center"/>
          </w:tcPr>
          <w:p w14:paraId="69D2963B">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238" w:type="pct"/>
            <w:noWrap/>
            <w:vAlign w:val="center"/>
          </w:tcPr>
          <w:p w14:paraId="1C669E2F">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r w14:paraId="4BAD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0" w:type="pct"/>
            <w:noWrap/>
            <w:vAlign w:val="center"/>
          </w:tcPr>
          <w:p w14:paraId="70D0D4BC">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CO</w:t>
            </w:r>
            <w:r>
              <w:rPr>
                <w:rFonts w:hint="default" w:ascii="Times New Roman" w:hAnsi="Times New Roman" w:eastAsia="宋体" w:cs="Times New Roman"/>
                <w:kern w:val="0"/>
                <w:sz w:val="24"/>
                <w:szCs w:val="24"/>
                <w:vertAlign w:val="subscript"/>
              </w:rPr>
              <w:t>3</w:t>
            </w:r>
            <w:r>
              <w:rPr>
                <w:rFonts w:hint="default" w:ascii="Times New Roman" w:hAnsi="Times New Roman" w:eastAsia="宋体" w:cs="Times New Roman"/>
                <w:kern w:val="0"/>
                <w:sz w:val="24"/>
                <w:szCs w:val="24"/>
                <w:vertAlign w:val="superscript"/>
              </w:rPr>
              <w:t>2-</w:t>
            </w:r>
          </w:p>
        </w:tc>
        <w:tc>
          <w:tcPr>
            <w:tcW w:w="1005" w:type="pct"/>
            <w:noWrap/>
            <w:vAlign w:val="center"/>
          </w:tcPr>
          <w:p w14:paraId="6A99E9A5">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17.65</w:t>
            </w:r>
          </w:p>
        </w:tc>
        <w:tc>
          <w:tcPr>
            <w:tcW w:w="1237" w:type="pct"/>
            <w:noWrap/>
            <w:vAlign w:val="center"/>
          </w:tcPr>
          <w:p w14:paraId="69081406">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0.588</w:t>
            </w:r>
          </w:p>
        </w:tc>
        <w:tc>
          <w:tcPr>
            <w:tcW w:w="808" w:type="pct"/>
            <w:noWrap/>
            <w:vAlign w:val="center"/>
          </w:tcPr>
          <w:p w14:paraId="09A4EA32">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238" w:type="pct"/>
            <w:noWrap/>
            <w:vAlign w:val="center"/>
          </w:tcPr>
          <w:p w14:paraId="03DB0122">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r w14:paraId="229F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10" w:type="pct"/>
            <w:noWrap/>
            <w:vAlign w:val="center"/>
          </w:tcPr>
          <w:p w14:paraId="375EEAD7">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NO</w:t>
            </w:r>
            <w:r>
              <w:rPr>
                <w:rFonts w:hint="default" w:ascii="Times New Roman" w:hAnsi="Times New Roman" w:eastAsia="宋体" w:cs="Times New Roman"/>
                <w:kern w:val="0"/>
                <w:sz w:val="24"/>
                <w:szCs w:val="24"/>
                <w:vertAlign w:val="subscript"/>
              </w:rPr>
              <w:t>3</w:t>
            </w:r>
            <w:r>
              <w:rPr>
                <w:rFonts w:hint="default" w:ascii="Times New Roman" w:hAnsi="Times New Roman" w:eastAsia="宋体" w:cs="Times New Roman"/>
                <w:kern w:val="0"/>
                <w:sz w:val="24"/>
                <w:szCs w:val="24"/>
                <w:vertAlign w:val="superscript"/>
              </w:rPr>
              <w:t>-</w:t>
            </w:r>
          </w:p>
        </w:tc>
        <w:tc>
          <w:tcPr>
            <w:tcW w:w="1005" w:type="pct"/>
            <w:noWrap/>
            <w:vAlign w:val="center"/>
          </w:tcPr>
          <w:p w14:paraId="7F186619">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0.10</w:t>
            </w:r>
          </w:p>
        </w:tc>
        <w:tc>
          <w:tcPr>
            <w:tcW w:w="1237" w:type="pct"/>
            <w:noWrap/>
            <w:vAlign w:val="center"/>
          </w:tcPr>
          <w:p w14:paraId="64996C68">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0.002</w:t>
            </w:r>
          </w:p>
        </w:tc>
        <w:tc>
          <w:tcPr>
            <w:tcW w:w="808" w:type="pct"/>
            <w:noWrap/>
            <w:vAlign w:val="center"/>
          </w:tcPr>
          <w:p w14:paraId="437D82DF">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238" w:type="pct"/>
            <w:noWrap/>
            <w:vAlign w:val="center"/>
          </w:tcPr>
          <w:p w14:paraId="19CC1D08">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bl>
    <w:p w14:paraId="6AAF8216">
      <w:pPr>
        <w:pStyle w:val="98"/>
        <w:spacing w:line="360" w:lineRule="auto"/>
        <w:ind w:firstLine="480"/>
        <w:rPr>
          <w:rFonts w:hint="eastAsia"/>
          <w:sz w:val="28"/>
          <w:szCs w:val="28"/>
        </w:rPr>
      </w:pPr>
      <w:r>
        <w:rPr>
          <w:rFonts w:hint="eastAsia"/>
          <w:sz w:val="28"/>
          <w:szCs w:val="28"/>
        </w:rPr>
        <w:t>（4）</w:t>
      </w:r>
      <w:r>
        <w:rPr>
          <w:sz w:val="28"/>
          <w:szCs w:val="28"/>
        </w:rPr>
        <w:t>地下水补给及排泄条件</w:t>
      </w:r>
    </w:p>
    <w:p w14:paraId="54AA91A7">
      <w:pPr>
        <w:spacing w:line="360" w:lineRule="auto"/>
        <w:ind w:firstLine="480"/>
        <w:rPr>
          <w:sz w:val="28"/>
          <w:szCs w:val="28"/>
        </w:rPr>
      </w:pPr>
      <w:r>
        <w:rPr>
          <w:sz w:val="28"/>
          <w:szCs w:val="28"/>
        </w:rPr>
        <w:t>矿区内地下水以大气降雨补给为主，其次是水库、沟渠。水平径流以火山锥为中心呈放射状流动，其水力坡度</w:t>
      </w:r>
      <w:r>
        <w:rPr>
          <w:rFonts w:hint="eastAsia"/>
          <w:sz w:val="28"/>
          <w:szCs w:val="28"/>
        </w:rPr>
        <w:t>约</w:t>
      </w:r>
      <w:r>
        <w:rPr>
          <w:sz w:val="28"/>
          <w:szCs w:val="28"/>
        </w:rPr>
        <w:t>1.</w:t>
      </w:r>
      <w:r>
        <w:rPr>
          <w:rFonts w:hint="eastAsia"/>
          <w:sz w:val="28"/>
          <w:szCs w:val="28"/>
        </w:rPr>
        <w:t>1</w:t>
      </w:r>
      <w:r>
        <w:rPr>
          <w:sz w:val="28"/>
          <w:szCs w:val="28"/>
        </w:rPr>
        <w:t>%，径流条件良好。在水平径流的同时，孔洞裂隙水在水头压力差的作用下，垂直</w:t>
      </w:r>
      <w:r>
        <w:rPr>
          <w:rFonts w:hint="eastAsia"/>
          <w:sz w:val="28"/>
          <w:szCs w:val="28"/>
          <w:lang w:eastAsia="zh-CN"/>
        </w:rPr>
        <w:t>径流</w:t>
      </w:r>
      <w:r>
        <w:rPr>
          <w:sz w:val="28"/>
          <w:szCs w:val="28"/>
        </w:rPr>
        <w:t>补给下部承压水。在侵蚀基准面标高（20m）以上，地下水以泉的形式排入沟溪。</w:t>
      </w:r>
    </w:p>
    <w:p w14:paraId="1079CC7D">
      <w:pPr>
        <w:spacing w:line="360" w:lineRule="auto"/>
        <w:ind w:firstLine="480"/>
        <w:rPr>
          <w:sz w:val="28"/>
          <w:szCs w:val="28"/>
        </w:rPr>
      </w:pPr>
      <w:r>
        <w:rPr>
          <w:sz w:val="28"/>
          <w:szCs w:val="28"/>
        </w:rPr>
        <w:t>区内地下水的径流方向总体上由南往北，由冲沟往</w:t>
      </w:r>
      <w:r>
        <w:rPr>
          <w:rFonts w:hint="eastAsia"/>
          <w:sz w:val="28"/>
          <w:szCs w:val="28"/>
        </w:rPr>
        <w:t>外</w:t>
      </w:r>
      <w:r>
        <w:rPr>
          <w:sz w:val="28"/>
          <w:szCs w:val="28"/>
        </w:rPr>
        <w:t>排泄。地下水补给、</w:t>
      </w:r>
      <w:r>
        <w:rPr>
          <w:rFonts w:hint="eastAsia"/>
          <w:sz w:val="28"/>
          <w:szCs w:val="28"/>
        </w:rPr>
        <w:t>径</w:t>
      </w:r>
      <w:r>
        <w:rPr>
          <w:sz w:val="28"/>
          <w:szCs w:val="28"/>
        </w:rPr>
        <w:t>流及排泄条件基本保持自然平衡状态。</w:t>
      </w:r>
    </w:p>
    <w:p w14:paraId="687AEDDA">
      <w:pPr>
        <w:spacing w:line="360" w:lineRule="auto"/>
        <w:ind w:firstLine="480"/>
        <w:rPr>
          <w:sz w:val="28"/>
          <w:szCs w:val="28"/>
        </w:rPr>
      </w:pPr>
      <w:r>
        <w:rPr>
          <w:rFonts w:hint="eastAsia"/>
          <w:sz w:val="28"/>
          <w:szCs w:val="28"/>
        </w:rPr>
        <w:t>《广东省徐闻县城北乡迈报(西山坑)矿区建筑用玄武岩矿资源储量核实报告》的13个钻孔水位标高如表</w:t>
      </w:r>
      <w:r>
        <w:rPr>
          <w:rFonts w:hint="eastAsia"/>
          <w:sz w:val="28"/>
          <w:szCs w:val="28"/>
          <w:lang w:val="en-US" w:eastAsia="zh-CN"/>
        </w:rPr>
        <w:t>2</w:t>
      </w:r>
      <w:r>
        <w:rPr>
          <w:rFonts w:hint="eastAsia"/>
          <w:sz w:val="28"/>
          <w:szCs w:val="28"/>
        </w:rPr>
        <w:t>-</w:t>
      </w:r>
      <w:r>
        <w:rPr>
          <w:rFonts w:hint="eastAsia"/>
          <w:sz w:val="28"/>
          <w:szCs w:val="28"/>
          <w:lang w:val="en-US" w:eastAsia="zh-CN"/>
        </w:rPr>
        <w:t>2</w:t>
      </w:r>
      <w:r>
        <w:rPr>
          <w:rFonts w:hint="eastAsia"/>
          <w:sz w:val="28"/>
          <w:szCs w:val="28"/>
        </w:rPr>
        <w:t>所示，</w:t>
      </w:r>
      <w:r>
        <w:rPr>
          <w:rFonts w:hint="eastAsia"/>
          <w:color w:val="000000"/>
          <w:sz w:val="28"/>
          <w:szCs w:val="28"/>
        </w:rPr>
        <w:t>地下水位埋深</w:t>
      </w:r>
      <w:r>
        <w:rPr>
          <w:rFonts w:hint="eastAsia"/>
          <w:color w:val="000000"/>
          <w:sz w:val="28"/>
          <w:szCs w:val="28"/>
          <w:lang w:val="en-US" w:eastAsia="zh-CN"/>
        </w:rPr>
        <w:t>约8</w:t>
      </w:r>
      <w:r>
        <w:rPr>
          <w:rFonts w:hint="eastAsia"/>
          <w:color w:val="000000"/>
          <w:sz w:val="28"/>
          <w:szCs w:val="28"/>
        </w:rPr>
        <w:t>米，地下水位标高约为＋</w:t>
      </w:r>
      <w:r>
        <w:rPr>
          <w:rFonts w:hint="eastAsia"/>
          <w:color w:val="000000"/>
          <w:sz w:val="28"/>
          <w:szCs w:val="28"/>
          <w:lang w:val="en-US" w:eastAsia="zh-CN"/>
        </w:rPr>
        <w:t>44.8－50.4</w:t>
      </w:r>
      <w:r>
        <w:rPr>
          <w:rFonts w:hint="eastAsia"/>
          <w:color w:val="000000"/>
          <w:sz w:val="28"/>
          <w:szCs w:val="28"/>
        </w:rPr>
        <w:t>米</w:t>
      </w:r>
      <w:r>
        <w:rPr>
          <w:color w:val="000000"/>
          <w:sz w:val="28"/>
          <w:szCs w:val="28"/>
        </w:rPr>
        <w:t>。</w:t>
      </w:r>
    </w:p>
    <w:p w14:paraId="25439CAB">
      <w:pPr>
        <w:pStyle w:val="99"/>
        <w:keepNext w:val="0"/>
        <w:keepLines w:val="0"/>
        <w:pageBreakBefore w:val="0"/>
        <w:widowControl w:val="0"/>
        <w:kinsoku/>
        <w:wordWrap/>
        <w:overflowPunct/>
        <w:topLinePunct w:val="0"/>
        <w:autoSpaceDE/>
        <w:autoSpaceDN/>
        <w:bidi w:val="0"/>
        <w:adjustRightInd/>
        <w:snapToGrid/>
        <w:spacing w:line="240" w:lineRule="auto"/>
        <w:ind w:firstLine="0"/>
        <w:textAlignment w:val="auto"/>
        <w:outlineLvl w:val="9"/>
        <w:rPr>
          <w:sz w:val="24"/>
          <w:szCs w:val="24"/>
        </w:rPr>
      </w:pPr>
      <w:r>
        <w:rPr>
          <w:rFonts w:hint="eastAsia"/>
          <w:sz w:val="24"/>
          <w:szCs w:val="24"/>
        </w:rPr>
        <w:t>表</w:t>
      </w:r>
      <w:r>
        <w:rPr>
          <w:rFonts w:hint="eastAsia"/>
          <w:sz w:val="24"/>
          <w:szCs w:val="24"/>
          <w:lang w:val="en-US" w:eastAsia="zh-CN"/>
        </w:rPr>
        <w:t>2</w:t>
      </w:r>
      <w:r>
        <w:rPr>
          <w:rFonts w:hint="eastAsia"/>
          <w:sz w:val="24"/>
          <w:szCs w:val="24"/>
        </w:rPr>
        <w:t>-</w:t>
      </w:r>
      <w:r>
        <w:rPr>
          <w:rFonts w:hint="eastAsia"/>
          <w:sz w:val="24"/>
          <w:szCs w:val="24"/>
          <w:lang w:val="en-US" w:eastAsia="zh-CN"/>
        </w:rPr>
        <w:t xml:space="preserve">2 </w:t>
      </w:r>
      <w:r>
        <w:rPr>
          <w:rFonts w:hint="eastAsia"/>
          <w:sz w:val="24"/>
          <w:szCs w:val="24"/>
        </w:rPr>
        <w:t xml:space="preserve"> 钻孔水位标高表</w:t>
      </w:r>
    </w:p>
    <w:tbl>
      <w:tblPr>
        <w:tblStyle w:val="33"/>
        <w:tblW w:w="49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1790"/>
        <w:gridCol w:w="1792"/>
        <w:gridCol w:w="1792"/>
        <w:gridCol w:w="1792"/>
      </w:tblGrid>
      <w:tr w14:paraId="0082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blHeader/>
          <w:jc w:val="center"/>
        </w:trPr>
        <w:tc>
          <w:tcPr>
            <w:tcW w:w="999" w:type="pct"/>
            <w:noWrap w:val="0"/>
            <w:vAlign w:val="center"/>
          </w:tcPr>
          <w:p w14:paraId="5CB77B83">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钻孔号</w:t>
            </w:r>
          </w:p>
        </w:tc>
        <w:tc>
          <w:tcPr>
            <w:tcW w:w="999" w:type="pct"/>
            <w:noWrap w:val="0"/>
            <w:vAlign w:val="center"/>
          </w:tcPr>
          <w:p w14:paraId="0789A40B">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孔口高程(m)</w:t>
            </w:r>
          </w:p>
        </w:tc>
        <w:tc>
          <w:tcPr>
            <w:tcW w:w="1000" w:type="pct"/>
            <w:noWrap w:val="0"/>
            <w:vAlign w:val="center"/>
          </w:tcPr>
          <w:p w14:paraId="7CB0FFD9">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孔深(m)</w:t>
            </w:r>
          </w:p>
        </w:tc>
        <w:tc>
          <w:tcPr>
            <w:tcW w:w="1000" w:type="pct"/>
            <w:noWrap w:val="0"/>
            <w:vAlign w:val="center"/>
          </w:tcPr>
          <w:p w14:paraId="6095113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水位埋深(m)</w:t>
            </w:r>
          </w:p>
        </w:tc>
        <w:tc>
          <w:tcPr>
            <w:tcW w:w="1000" w:type="pct"/>
            <w:noWrap w:val="0"/>
            <w:vAlign w:val="center"/>
          </w:tcPr>
          <w:p w14:paraId="088CFF7F">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水位标高(m)</w:t>
            </w:r>
          </w:p>
        </w:tc>
      </w:tr>
      <w:tr w14:paraId="5ED3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5B3635C3">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ZK01</w:t>
            </w:r>
          </w:p>
        </w:tc>
        <w:tc>
          <w:tcPr>
            <w:tcW w:w="999" w:type="pct"/>
            <w:noWrap/>
            <w:vAlign w:val="center"/>
          </w:tcPr>
          <w:p w14:paraId="04E38025">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57.0</w:t>
            </w:r>
          </w:p>
        </w:tc>
        <w:tc>
          <w:tcPr>
            <w:tcW w:w="1000" w:type="pct"/>
            <w:noWrap/>
            <w:vAlign w:val="center"/>
          </w:tcPr>
          <w:p w14:paraId="1DE38B18">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28.0</w:t>
            </w:r>
          </w:p>
        </w:tc>
        <w:tc>
          <w:tcPr>
            <w:tcW w:w="1000" w:type="pct"/>
            <w:noWrap/>
            <w:vAlign w:val="center"/>
          </w:tcPr>
          <w:p w14:paraId="078F8AF4">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8.0</w:t>
            </w:r>
          </w:p>
        </w:tc>
        <w:tc>
          <w:tcPr>
            <w:tcW w:w="1000" w:type="pct"/>
            <w:noWrap/>
            <w:vAlign w:val="center"/>
          </w:tcPr>
          <w:p w14:paraId="5335594E">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49.0 </w:t>
            </w:r>
          </w:p>
        </w:tc>
      </w:tr>
      <w:tr w14:paraId="7621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089C045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ZK02</w:t>
            </w:r>
          </w:p>
        </w:tc>
        <w:tc>
          <w:tcPr>
            <w:tcW w:w="999" w:type="pct"/>
            <w:noWrap/>
            <w:vAlign w:val="center"/>
          </w:tcPr>
          <w:p w14:paraId="33C0073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53.2</w:t>
            </w:r>
          </w:p>
        </w:tc>
        <w:tc>
          <w:tcPr>
            <w:tcW w:w="1000" w:type="pct"/>
            <w:noWrap/>
            <w:vAlign w:val="center"/>
          </w:tcPr>
          <w:p w14:paraId="36DD0DCC">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26.6</w:t>
            </w:r>
          </w:p>
        </w:tc>
        <w:tc>
          <w:tcPr>
            <w:tcW w:w="1000" w:type="pct"/>
            <w:noWrap/>
            <w:vAlign w:val="center"/>
          </w:tcPr>
          <w:p w14:paraId="0D5421BD">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7.4</w:t>
            </w:r>
          </w:p>
        </w:tc>
        <w:tc>
          <w:tcPr>
            <w:tcW w:w="1000" w:type="pct"/>
            <w:noWrap/>
            <w:vAlign w:val="center"/>
          </w:tcPr>
          <w:p w14:paraId="56DAA5C9">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45.8 </w:t>
            </w:r>
          </w:p>
        </w:tc>
      </w:tr>
      <w:tr w14:paraId="031A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2853DDF4">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ZK03</w:t>
            </w:r>
          </w:p>
        </w:tc>
        <w:tc>
          <w:tcPr>
            <w:tcW w:w="999" w:type="pct"/>
            <w:noWrap/>
            <w:vAlign w:val="center"/>
          </w:tcPr>
          <w:p w14:paraId="24455E76">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53.4</w:t>
            </w:r>
          </w:p>
        </w:tc>
        <w:tc>
          <w:tcPr>
            <w:tcW w:w="1000" w:type="pct"/>
            <w:noWrap/>
            <w:vAlign w:val="center"/>
          </w:tcPr>
          <w:p w14:paraId="6D7A1081">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26.1</w:t>
            </w:r>
          </w:p>
        </w:tc>
        <w:tc>
          <w:tcPr>
            <w:tcW w:w="1000" w:type="pct"/>
            <w:noWrap/>
            <w:vAlign w:val="center"/>
          </w:tcPr>
          <w:p w14:paraId="0C735084">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6.8</w:t>
            </w:r>
          </w:p>
        </w:tc>
        <w:tc>
          <w:tcPr>
            <w:tcW w:w="1000" w:type="pct"/>
            <w:noWrap/>
            <w:vAlign w:val="center"/>
          </w:tcPr>
          <w:p w14:paraId="1A230B44">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46.6 </w:t>
            </w:r>
          </w:p>
        </w:tc>
      </w:tr>
      <w:tr w14:paraId="540F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19D6000E">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ZK04</w:t>
            </w:r>
          </w:p>
        </w:tc>
        <w:tc>
          <w:tcPr>
            <w:tcW w:w="999" w:type="pct"/>
            <w:noWrap/>
            <w:vAlign w:val="center"/>
          </w:tcPr>
          <w:p w14:paraId="684B92D6">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55.3</w:t>
            </w:r>
          </w:p>
        </w:tc>
        <w:tc>
          <w:tcPr>
            <w:tcW w:w="1000" w:type="pct"/>
            <w:noWrap/>
            <w:vAlign w:val="center"/>
          </w:tcPr>
          <w:p w14:paraId="090A7CC6">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33.3</w:t>
            </w:r>
          </w:p>
        </w:tc>
        <w:tc>
          <w:tcPr>
            <w:tcW w:w="1000" w:type="pct"/>
            <w:noWrap/>
            <w:vAlign w:val="center"/>
          </w:tcPr>
          <w:p w14:paraId="10B28406">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8.0</w:t>
            </w:r>
          </w:p>
        </w:tc>
        <w:tc>
          <w:tcPr>
            <w:tcW w:w="1000" w:type="pct"/>
            <w:noWrap/>
            <w:vAlign w:val="center"/>
          </w:tcPr>
          <w:p w14:paraId="787D6798">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47.3 </w:t>
            </w:r>
          </w:p>
        </w:tc>
      </w:tr>
      <w:tr w14:paraId="4BC1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3A040E7D">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ZK05</w:t>
            </w:r>
          </w:p>
        </w:tc>
        <w:tc>
          <w:tcPr>
            <w:tcW w:w="999" w:type="pct"/>
            <w:noWrap/>
            <w:vAlign w:val="center"/>
          </w:tcPr>
          <w:p w14:paraId="21297C7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53.6</w:t>
            </w:r>
          </w:p>
        </w:tc>
        <w:tc>
          <w:tcPr>
            <w:tcW w:w="1000" w:type="pct"/>
            <w:noWrap/>
            <w:vAlign w:val="center"/>
          </w:tcPr>
          <w:p w14:paraId="70932573">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28.0</w:t>
            </w:r>
          </w:p>
        </w:tc>
        <w:tc>
          <w:tcPr>
            <w:tcW w:w="1000" w:type="pct"/>
            <w:noWrap/>
            <w:vAlign w:val="center"/>
          </w:tcPr>
          <w:p w14:paraId="0CFB79CB">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7.6</w:t>
            </w:r>
          </w:p>
        </w:tc>
        <w:tc>
          <w:tcPr>
            <w:tcW w:w="1000" w:type="pct"/>
            <w:noWrap/>
            <w:vAlign w:val="center"/>
          </w:tcPr>
          <w:p w14:paraId="58E16D03">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46.0 </w:t>
            </w:r>
          </w:p>
        </w:tc>
      </w:tr>
      <w:tr w14:paraId="5711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081730E7">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ZK06</w:t>
            </w:r>
          </w:p>
        </w:tc>
        <w:tc>
          <w:tcPr>
            <w:tcW w:w="999" w:type="pct"/>
            <w:noWrap/>
            <w:vAlign w:val="center"/>
          </w:tcPr>
          <w:p w14:paraId="054431C8">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53.3</w:t>
            </w:r>
          </w:p>
        </w:tc>
        <w:tc>
          <w:tcPr>
            <w:tcW w:w="1000" w:type="pct"/>
            <w:noWrap/>
            <w:vAlign w:val="center"/>
          </w:tcPr>
          <w:p w14:paraId="419E55E7">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31.0</w:t>
            </w:r>
          </w:p>
        </w:tc>
        <w:tc>
          <w:tcPr>
            <w:tcW w:w="1000" w:type="pct"/>
            <w:noWrap/>
            <w:vAlign w:val="center"/>
          </w:tcPr>
          <w:p w14:paraId="52C87DF5">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7.2</w:t>
            </w:r>
          </w:p>
        </w:tc>
        <w:tc>
          <w:tcPr>
            <w:tcW w:w="1000" w:type="pct"/>
            <w:noWrap/>
            <w:vAlign w:val="center"/>
          </w:tcPr>
          <w:p w14:paraId="62E20CAB">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46.1 </w:t>
            </w:r>
          </w:p>
        </w:tc>
      </w:tr>
      <w:tr w14:paraId="4817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0EED3C4E">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ZK07</w:t>
            </w:r>
          </w:p>
        </w:tc>
        <w:tc>
          <w:tcPr>
            <w:tcW w:w="999" w:type="pct"/>
            <w:noWrap/>
            <w:vAlign w:val="center"/>
          </w:tcPr>
          <w:p w14:paraId="2CFA2E9C">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57.5</w:t>
            </w:r>
          </w:p>
        </w:tc>
        <w:tc>
          <w:tcPr>
            <w:tcW w:w="1000" w:type="pct"/>
            <w:noWrap/>
            <w:vAlign w:val="center"/>
          </w:tcPr>
          <w:p w14:paraId="0CDCE38B">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33.8</w:t>
            </w:r>
          </w:p>
        </w:tc>
        <w:tc>
          <w:tcPr>
            <w:tcW w:w="1000" w:type="pct"/>
            <w:noWrap/>
            <w:vAlign w:val="center"/>
          </w:tcPr>
          <w:p w14:paraId="4EDCC9F1">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8.3</w:t>
            </w:r>
          </w:p>
        </w:tc>
        <w:tc>
          <w:tcPr>
            <w:tcW w:w="1000" w:type="pct"/>
            <w:noWrap/>
            <w:vAlign w:val="center"/>
          </w:tcPr>
          <w:p w14:paraId="3940A6CE">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49.2 </w:t>
            </w:r>
          </w:p>
        </w:tc>
      </w:tr>
      <w:tr w14:paraId="4D82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3D16D027">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ZK08</w:t>
            </w:r>
          </w:p>
        </w:tc>
        <w:tc>
          <w:tcPr>
            <w:tcW w:w="999" w:type="pct"/>
            <w:noWrap/>
            <w:vAlign w:val="center"/>
          </w:tcPr>
          <w:p w14:paraId="3087734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58.2</w:t>
            </w:r>
          </w:p>
        </w:tc>
        <w:tc>
          <w:tcPr>
            <w:tcW w:w="1000" w:type="pct"/>
            <w:noWrap/>
            <w:vAlign w:val="center"/>
          </w:tcPr>
          <w:p w14:paraId="2EBF1829">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35.7</w:t>
            </w:r>
          </w:p>
        </w:tc>
        <w:tc>
          <w:tcPr>
            <w:tcW w:w="1000" w:type="pct"/>
            <w:noWrap/>
            <w:vAlign w:val="center"/>
          </w:tcPr>
          <w:p w14:paraId="5E3A149C">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8.1</w:t>
            </w:r>
          </w:p>
        </w:tc>
        <w:tc>
          <w:tcPr>
            <w:tcW w:w="1000" w:type="pct"/>
            <w:noWrap/>
            <w:vAlign w:val="center"/>
          </w:tcPr>
          <w:p w14:paraId="3972A55D">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50.1 </w:t>
            </w:r>
          </w:p>
        </w:tc>
      </w:tr>
      <w:tr w14:paraId="2FB2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2EE86BE7">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ZK09</w:t>
            </w:r>
          </w:p>
        </w:tc>
        <w:tc>
          <w:tcPr>
            <w:tcW w:w="999" w:type="pct"/>
            <w:noWrap/>
            <w:vAlign w:val="center"/>
          </w:tcPr>
          <w:p w14:paraId="163E061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58.3</w:t>
            </w:r>
          </w:p>
        </w:tc>
        <w:tc>
          <w:tcPr>
            <w:tcW w:w="1000" w:type="pct"/>
            <w:noWrap/>
            <w:vAlign w:val="center"/>
          </w:tcPr>
          <w:p w14:paraId="494F33E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37.8</w:t>
            </w:r>
          </w:p>
        </w:tc>
        <w:tc>
          <w:tcPr>
            <w:tcW w:w="1000" w:type="pct"/>
            <w:noWrap/>
            <w:vAlign w:val="center"/>
          </w:tcPr>
          <w:p w14:paraId="570D9392">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7.9</w:t>
            </w:r>
          </w:p>
        </w:tc>
        <w:tc>
          <w:tcPr>
            <w:tcW w:w="1000" w:type="pct"/>
            <w:noWrap/>
            <w:vAlign w:val="center"/>
          </w:tcPr>
          <w:p w14:paraId="69D6F082">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50.4 </w:t>
            </w:r>
          </w:p>
        </w:tc>
      </w:tr>
      <w:tr w14:paraId="7E4D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3F4A7428">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ZK10</w:t>
            </w:r>
          </w:p>
        </w:tc>
        <w:tc>
          <w:tcPr>
            <w:tcW w:w="999" w:type="pct"/>
            <w:noWrap/>
            <w:vAlign w:val="center"/>
          </w:tcPr>
          <w:p w14:paraId="56C362A0">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53.3</w:t>
            </w:r>
          </w:p>
        </w:tc>
        <w:tc>
          <w:tcPr>
            <w:tcW w:w="1000" w:type="pct"/>
            <w:noWrap/>
            <w:vAlign w:val="center"/>
          </w:tcPr>
          <w:p w14:paraId="41F12E17">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25.0</w:t>
            </w:r>
          </w:p>
        </w:tc>
        <w:tc>
          <w:tcPr>
            <w:tcW w:w="1000" w:type="pct"/>
            <w:noWrap/>
            <w:vAlign w:val="center"/>
          </w:tcPr>
          <w:p w14:paraId="4FE79A19">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7.8</w:t>
            </w:r>
          </w:p>
        </w:tc>
        <w:tc>
          <w:tcPr>
            <w:tcW w:w="1000" w:type="pct"/>
            <w:noWrap/>
            <w:vAlign w:val="center"/>
          </w:tcPr>
          <w:p w14:paraId="6A757C0E">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45.5 </w:t>
            </w:r>
          </w:p>
        </w:tc>
      </w:tr>
      <w:tr w14:paraId="31A8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3B4ECEBD">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ZK11</w:t>
            </w:r>
          </w:p>
        </w:tc>
        <w:tc>
          <w:tcPr>
            <w:tcW w:w="999" w:type="pct"/>
            <w:noWrap/>
            <w:vAlign w:val="center"/>
          </w:tcPr>
          <w:p w14:paraId="5B65E8DF">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52.8</w:t>
            </w:r>
          </w:p>
        </w:tc>
        <w:tc>
          <w:tcPr>
            <w:tcW w:w="1000" w:type="pct"/>
            <w:noWrap/>
            <w:vAlign w:val="center"/>
          </w:tcPr>
          <w:p w14:paraId="21BEF236">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26.0</w:t>
            </w:r>
          </w:p>
        </w:tc>
        <w:tc>
          <w:tcPr>
            <w:tcW w:w="1000" w:type="pct"/>
            <w:noWrap/>
            <w:vAlign w:val="center"/>
          </w:tcPr>
          <w:p w14:paraId="007879E4">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8.0</w:t>
            </w:r>
          </w:p>
        </w:tc>
        <w:tc>
          <w:tcPr>
            <w:tcW w:w="1000" w:type="pct"/>
            <w:noWrap/>
            <w:vAlign w:val="center"/>
          </w:tcPr>
          <w:p w14:paraId="7B6989A7">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44.8 </w:t>
            </w:r>
          </w:p>
        </w:tc>
      </w:tr>
      <w:tr w14:paraId="2085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99" w:type="pct"/>
            <w:noWrap/>
            <w:vAlign w:val="center"/>
          </w:tcPr>
          <w:p w14:paraId="5FCD63AB">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ZK12</w:t>
            </w:r>
          </w:p>
        </w:tc>
        <w:tc>
          <w:tcPr>
            <w:tcW w:w="999" w:type="pct"/>
            <w:noWrap/>
            <w:vAlign w:val="center"/>
          </w:tcPr>
          <w:p w14:paraId="10044F26">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55.2</w:t>
            </w:r>
          </w:p>
        </w:tc>
        <w:tc>
          <w:tcPr>
            <w:tcW w:w="1000" w:type="pct"/>
            <w:noWrap/>
            <w:vAlign w:val="center"/>
          </w:tcPr>
          <w:p w14:paraId="0FE21F7C">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30.0</w:t>
            </w:r>
          </w:p>
        </w:tc>
        <w:tc>
          <w:tcPr>
            <w:tcW w:w="1000" w:type="pct"/>
            <w:noWrap/>
            <w:vAlign w:val="center"/>
          </w:tcPr>
          <w:p w14:paraId="040E1741">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8.0</w:t>
            </w:r>
          </w:p>
        </w:tc>
        <w:tc>
          <w:tcPr>
            <w:tcW w:w="1000" w:type="pct"/>
            <w:noWrap/>
            <w:vAlign w:val="center"/>
          </w:tcPr>
          <w:p w14:paraId="07F072B9">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47.2 </w:t>
            </w:r>
          </w:p>
        </w:tc>
      </w:tr>
      <w:tr w14:paraId="16D1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99" w:type="pct"/>
            <w:noWrap/>
            <w:vAlign w:val="center"/>
          </w:tcPr>
          <w:p w14:paraId="49881C6D">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ZK13</w:t>
            </w:r>
          </w:p>
        </w:tc>
        <w:tc>
          <w:tcPr>
            <w:tcW w:w="999" w:type="pct"/>
            <w:noWrap/>
            <w:vAlign w:val="center"/>
          </w:tcPr>
          <w:p w14:paraId="4713ED1D">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56.7</w:t>
            </w:r>
          </w:p>
        </w:tc>
        <w:tc>
          <w:tcPr>
            <w:tcW w:w="1000" w:type="pct"/>
            <w:noWrap/>
            <w:vAlign w:val="center"/>
          </w:tcPr>
          <w:p w14:paraId="0956C883">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34.0</w:t>
            </w:r>
          </w:p>
        </w:tc>
        <w:tc>
          <w:tcPr>
            <w:tcW w:w="1000" w:type="pct"/>
            <w:noWrap/>
            <w:vAlign w:val="center"/>
          </w:tcPr>
          <w:p w14:paraId="51B1D185">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7.7</w:t>
            </w:r>
          </w:p>
        </w:tc>
        <w:tc>
          <w:tcPr>
            <w:tcW w:w="1000" w:type="pct"/>
            <w:noWrap/>
            <w:vAlign w:val="center"/>
          </w:tcPr>
          <w:p w14:paraId="27C1FBA4">
            <w:pPr>
              <w:pStyle w:val="97"/>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49.0 </w:t>
            </w:r>
          </w:p>
        </w:tc>
      </w:tr>
    </w:tbl>
    <w:p w14:paraId="30CD9985">
      <w:pPr>
        <w:pStyle w:val="98"/>
        <w:spacing w:line="360" w:lineRule="auto"/>
        <w:ind w:firstLine="480"/>
        <w:rPr>
          <w:snapToGrid w:val="0"/>
          <w:sz w:val="28"/>
          <w:szCs w:val="28"/>
        </w:rPr>
      </w:pPr>
      <w:r>
        <w:rPr>
          <w:rFonts w:hint="eastAsia"/>
          <w:sz w:val="28"/>
          <w:szCs w:val="28"/>
        </w:rPr>
        <w:t>（5）</w:t>
      </w:r>
      <w:r>
        <w:rPr>
          <w:rFonts w:hint="eastAsia"/>
          <w:snapToGrid w:val="0"/>
          <w:sz w:val="28"/>
          <w:szCs w:val="28"/>
        </w:rPr>
        <w:t>矿床充水因素</w:t>
      </w:r>
    </w:p>
    <w:p w14:paraId="487C9E7A">
      <w:pPr>
        <w:spacing w:line="360" w:lineRule="auto"/>
        <w:ind w:firstLine="480"/>
        <w:rPr>
          <w:snapToGrid w:val="0"/>
          <w:sz w:val="28"/>
          <w:szCs w:val="28"/>
        </w:rPr>
      </w:pPr>
      <w:r>
        <w:rPr>
          <w:rFonts w:hint="eastAsia"/>
          <w:snapToGrid w:val="0"/>
          <w:sz w:val="28"/>
          <w:szCs w:val="28"/>
        </w:rPr>
        <w:t>矿区内无河流经过，地表水系不发育。</w:t>
      </w:r>
    </w:p>
    <w:p w14:paraId="41F5C454">
      <w:pPr>
        <w:spacing w:line="360" w:lineRule="auto"/>
        <w:ind w:firstLine="480"/>
        <w:rPr>
          <w:snapToGrid w:val="0"/>
          <w:sz w:val="28"/>
          <w:szCs w:val="28"/>
        </w:rPr>
      </w:pPr>
      <w:bookmarkStart w:id="164" w:name="_Toc9525139"/>
      <w:r>
        <w:rPr>
          <w:rFonts w:hint="eastAsia"/>
          <w:snapToGrid w:val="0"/>
          <w:sz w:val="28"/>
          <w:szCs w:val="28"/>
        </w:rPr>
        <w:t>充水因素主要是大气降雨，其次为</w:t>
      </w:r>
      <w:r>
        <w:rPr>
          <w:rFonts w:hint="eastAsia" w:ascii="宋体" w:hAnsi="宋体"/>
          <w:sz w:val="28"/>
          <w:szCs w:val="28"/>
        </w:rPr>
        <w:t>火山岩孔洞裂隙水</w:t>
      </w:r>
      <w:r>
        <w:rPr>
          <w:rFonts w:hint="eastAsia"/>
          <w:snapToGrid w:val="0"/>
          <w:sz w:val="28"/>
          <w:szCs w:val="28"/>
        </w:rPr>
        <w:t>，同时矿区开采后，南面</w:t>
      </w:r>
      <w:r>
        <w:rPr>
          <w:rFonts w:hint="eastAsia"/>
          <w:sz w:val="28"/>
          <w:szCs w:val="28"/>
        </w:rPr>
        <w:t>约20m处历史采空区处积水会对矿区产生少量侧向补给。</w:t>
      </w:r>
      <w:r>
        <w:rPr>
          <w:rFonts w:hint="eastAsia"/>
          <w:snapToGrid w:val="0"/>
          <w:sz w:val="28"/>
          <w:szCs w:val="28"/>
        </w:rPr>
        <w:t>由于矿区所处区域降雨量充沛，在雨季多有暴雨、强降雨等。因矿区为露天凹陷式开采，已</w:t>
      </w:r>
      <w:r>
        <w:rPr>
          <w:snapToGrid w:val="0"/>
          <w:sz w:val="28"/>
          <w:szCs w:val="28"/>
        </w:rPr>
        <w:t>不具备自然排水的条件</w:t>
      </w:r>
      <w:r>
        <w:rPr>
          <w:rFonts w:hint="eastAsia"/>
          <w:snapToGrid w:val="0"/>
          <w:sz w:val="28"/>
          <w:szCs w:val="28"/>
        </w:rPr>
        <w:t>，降雨是矿坑暂时性充水的主要因素，</w:t>
      </w:r>
      <w:r>
        <w:rPr>
          <w:snapToGrid w:val="0"/>
          <w:sz w:val="28"/>
          <w:szCs w:val="28"/>
        </w:rPr>
        <w:t>矿坑排水需用水泵抽排。</w:t>
      </w:r>
    </w:p>
    <w:p w14:paraId="5F69C5F5">
      <w:pPr>
        <w:pStyle w:val="98"/>
        <w:spacing w:line="360" w:lineRule="auto"/>
        <w:ind w:firstLine="480"/>
        <w:rPr>
          <w:snapToGrid w:val="0"/>
          <w:sz w:val="28"/>
          <w:szCs w:val="28"/>
        </w:rPr>
      </w:pPr>
      <w:r>
        <w:rPr>
          <w:rFonts w:hint="eastAsia"/>
          <w:sz w:val="28"/>
          <w:szCs w:val="28"/>
        </w:rPr>
        <w:t>（6）</w:t>
      </w:r>
      <w:r>
        <w:rPr>
          <w:rFonts w:hint="eastAsia"/>
          <w:snapToGrid w:val="0"/>
          <w:sz w:val="28"/>
          <w:szCs w:val="28"/>
        </w:rPr>
        <w:t>矿坑涌水量预测</w:t>
      </w:r>
      <w:bookmarkEnd w:id="164"/>
      <w:r>
        <w:rPr>
          <w:rFonts w:hint="eastAsia"/>
          <w:snapToGrid w:val="0"/>
          <w:sz w:val="28"/>
          <w:szCs w:val="28"/>
        </w:rPr>
        <w:t xml:space="preserve"> </w:t>
      </w:r>
    </w:p>
    <w:p w14:paraId="23F2CF23">
      <w:pPr>
        <w:spacing w:line="360" w:lineRule="auto"/>
        <w:ind w:firstLine="480"/>
        <w:rPr>
          <w:snapToGrid w:val="0"/>
          <w:sz w:val="28"/>
          <w:szCs w:val="28"/>
        </w:rPr>
      </w:pPr>
      <w:r>
        <w:rPr>
          <w:rFonts w:hint="eastAsia"/>
          <w:snapToGrid w:val="0"/>
          <w:sz w:val="28"/>
          <w:szCs w:val="28"/>
        </w:rPr>
        <w:t>矿区地表水不发育，地下水资源贫乏～中等，对矿山开采有影响的是大气降雨汇水。矿山开采范围的大气降雨汇水量计算如下。</w:t>
      </w:r>
    </w:p>
    <w:p w14:paraId="7F7B81CA">
      <w:pPr>
        <w:spacing w:line="360" w:lineRule="auto"/>
        <w:ind w:firstLine="480"/>
        <w:rPr>
          <w:snapToGrid w:val="0"/>
          <w:sz w:val="28"/>
          <w:szCs w:val="28"/>
        </w:rPr>
      </w:pPr>
      <w:r>
        <w:rPr>
          <w:rFonts w:hint="eastAsia"/>
          <w:snapToGrid w:val="0"/>
          <w:sz w:val="28"/>
          <w:szCs w:val="28"/>
        </w:rPr>
        <w:t>计算公式：</w:t>
      </w:r>
    </w:p>
    <w:p w14:paraId="5DCB3CB3">
      <w:pPr>
        <w:spacing w:line="360" w:lineRule="auto"/>
        <w:ind w:firstLine="480"/>
        <w:rPr>
          <w:snapToGrid w:val="0"/>
          <w:sz w:val="28"/>
          <w:szCs w:val="28"/>
        </w:rPr>
      </w:pPr>
      <w:r>
        <w:rPr>
          <w:rFonts w:hint="eastAsia"/>
          <w:snapToGrid w:val="0"/>
          <w:sz w:val="28"/>
          <w:szCs w:val="28"/>
        </w:rPr>
        <w:t>Q=F.H.W</w:t>
      </w:r>
    </w:p>
    <w:p w14:paraId="277C0CE3">
      <w:pPr>
        <w:spacing w:line="360" w:lineRule="auto"/>
        <w:ind w:firstLine="480"/>
        <w:rPr>
          <w:snapToGrid w:val="0"/>
          <w:sz w:val="28"/>
          <w:szCs w:val="28"/>
        </w:rPr>
      </w:pPr>
      <w:r>
        <w:rPr>
          <w:rFonts w:hint="eastAsia"/>
          <w:snapToGrid w:val="0"/>
          <w:sz w:val="28"/>
          <w:szCs w:val="28"/>
        </w:rPr>
        <w:t>式中Q—大气降雨渗入采场的水量（m</w:t>
      </w:r>
      <w:r>
        <w:rPr>
          <w:rFonts w:hint="eastAsia"/>
          <w:snapToGrid w:val="0"/>
          <w:sz w:val="28"/>
          <w:szCs w:val="28"/>
          <w:vertAlign w:val="superscript"/>
        </w:rPr>
        <w:t>3</w:t>
      </w:r>
      <w:r>
        <w:rPr>
          <w:rFonts w:hint="eastAsia"/>
          <w:snapToGrid w:val="0"/>
          <w:sz w:val="28"/>
          <w:szCs w:val="28"/>
        </w:rPr>
        <w:t>/d）</w:t>
      </w:r>
    </w:p>
    <w:p w14:paraId="1AA535DD">
      <w:pPr>
        <w:spacing w:line="360" w:lineRule="auto"/>
        <w:ind w:firstLine="480"/>
        <w:rPr>
          <w:snapToGrid w:val="0"/>
          <w:sz w:val="28"/>
          <w:szCs w:val="28"/>
        </w:rPr>
      </w:pPr>
      <w:r>
        <w:rPr>
          <w:rFonts w:hint="eastAsia"/>
          <w:snapToGrid w:val="0"/>
          <w:sz w:val="28"/>
          <w:szCs w:val="28"/>
        </w:rPr>
        <w:t>F—汇水面积（m</w:t>
      </w:r>
      <w:r>
        <w:rPr>
          <w:rFonts w:hint="eastAsia"/>
          <w:snapToGrid w:val="0"/>
          <w:sz w:val="28"/>
          <w:szCs w:val="28"/>
          <w:vertAlign w:val="superscript"/>
        </w:rPr>
        <w:t>2</w:t>
      </w:r>
      <w:r>
        <w:rPr>
          <w:rFonts w:hint="eastAsia"/>
          <w:snapToGrid w:val="0"/>
          <w:sz w:val="28"/>
          <w:szCs w:val="28"/>
        </w:rPr>
        <w:t>）</w:t>
      </w:r>
    </w:p>
    <w:p w14:paraId="4F96CFF8">
      <w:pPr>
        <w:spacing w:line="360" w:lineRule="auto"/>
        <w:ind w:firstLine="480"/>
        <w:rPr>
          <w:snapToGrid w:val="0"/>
          <w:sz w:val="28"/>
          <w:szCs w:val="28"/>
        </w:rPr>
      </w:pPr>
      <w:r>
        <w:rPr>
          <w:rFonts w:hint="eastAsia"/>
          <w:snapToGrid w:val="0"/>
          <w:sz w:val="28"/>
          <w:szCs w:val="28"/>
        </w:rPr>
        <w:t>H—多年日平均降雨量（或多年日最大降雨量降雨量） （mm）</w:t>
      </w:r>
    </w:p>
    <w:p w14:paraId="5C15FBC6">
      <w:pPr>
        <w:spacing w:line="360" w:lineRule="auto"/>
        <w:ind w:firstLine="480"/>
        <w:rPr>
          <w:snapToGrid w:val="0"/>
          <w:sz w:val="28"/>
          <w:szCs w:val="28"/>
        </w:rPr>
      </w:pPr>
      <w:r>
        <w:rPr>
          <w:rFonts w:hint="eastAsia"/>
          <w:snapToGrid w:val="0"/>
          <w:sz w:val="28"/>
          <w:szCs w:val="28"/>
        </w:rPr>
        <w:t>W—地表径流系数，取值</w:t>
      </w:r>
      <w:r>
        <w:rPr>
          <w:snapToGrid w:val="0"/>
          <w:sz w:val="28"/>
          <w:szCs w:val="28"/>
        </w:rPr>
        <w:t>0.7</w:t>
      </w:r>
    </w:p>
    <w:p w14:paraId="516A7641">
      <w:pPr>
        <w:spacing w:line="360" w:lineRule="auto"/>
        <w:ind w:firstLine="480"/>
        <w:rPr>
          <w:snapToGrid w:val="0"/>
          <w:sz w:val="28"/>
          <w:szCs w:val="28"/>
        </w:rPr>
      </w:pPr>
      <w:r>
        <w:rPr>
          <w:rFonts w:hint="eastAsia"/>
          <w:snapToGrid w:val="0"/>
          <w:sz w:val="28"/>
          <w:szCs w:val="28"/>
        </w:rPr>
        <w:t>未来矿山开采，需要在采区外根据</w:t>
      </w:r>
      <w:r>
        <w:rPr>
          <w:snapToGrid w:val="0"/>
          <w:sz w:val="28"/>
          <w:szCs w:val="28"/>
        </w:rPr>
        <w:t>实际地形</w:t>
      </w:r>
      <w:r>
        <w:rPr>
          <w:rFonts w:hint="eastAsia"/>
          <w:snapToGrid w:val="0"/>
          <w:sz w:val="28"/>
          <w:szCs w:val="28"/>
        </w:rPr>
        <w:t>修建截（排）水系统。据此求得矿山的汇水面积F为10</w:t>
      </w:r>
      <w:r>
        <w:rPr>
          <w:snapToGrid w:val="0"/>
          <w:sz w:val="28"/>
          <w:szCs w:val="28"/>
        </w:rPr>
        <w:t>8140</w:t>
      </w:r>
      <w:r>
        <w:rPr>
          <w:rFonts w:hint="eastAsia"/>
          <w:snapToGrid w:val="0"/>
          <w:sz w:val="28"/>
          <w:szCs w:val="28"/>
        </w:rPr>
        <w:t>m</w:t>
      </w:r>
      <w:r>
        <w:rPr>
          <w:rFonts w:hint="eastAsia"/>
          <w:snapToGrid w:val="0"/>
          <w:sz w:val="28"/>
          <w:szCs w:val="28"/>
          <w:vertAlign w:val="superscript"/>
        </w:rPr>
        <w:t>2</w:t>
      </w:r>
      <w:r>
        <w:rPr>
          <w:rFonts w:hint="eastAsia"/>
          <w:snapToGrid w:val="0"/>
          <w:sz w:val="28"/>
          <w:szCs w:val="28"/>
        </w:rPr>
        <w:t>。</w:t>
      </w:r>
    </w:p>
    <w:p w14:paraId="75A4F6B1">
      <w:pPr>
        <w:spacing w:line="360" w:lineRule="auto"/>
        <w:ind w:firstLine="480"/>
        <w:rPr>
          <w:snapToGrid w:val="0"/>
          <w:sz w:val="28"/>
          <w:szCs w:val="28"/>
        </w:rPr>
      </w:pPr>
      <w:r>
        <w:rPr>
          <w:rFonts w:hint="eastAsia"/>
          <w:snapToGrid w:val="0"/>
          <w:sz w:val="28"/>
          <w:szCs w:val="28"/>
        </w:rPr>
        <w:t>根据徐闻县的水文气象资料，年均降雨量为1711.6mm，年平均降雨日113天，有：</w:t>
      </w:r>
    </w:p>
    <w:p w14:paraId="28856AC4">
      <w:pPr>
        <w:spacing w:line="360" w:lineRule="auto"/>
        <w:ind w:firstLine="480"/>
        <w:rPr>
          <w:snapToGrid w:val="0"/>
          <w:sz w:val="28"/>
          <w:szCs w:val="28"/>
        </w:rPr>
      </w:pPr>
      <w:r>
        <w:rPr>
          <w:rFonts w:hint="eastAsia"/>
          <w:snapToGrid w:val="0"/>
          <w:sz w:val="28"/>
          <w:szCs w:val="28"/>
        </w:rPr>
        <w:t>多年日平均降雨量H</w:t>
      </w:r>
      <w:r>
        <w:rPr>
          <w:rFonts w:hint="eastAsia"/>
          <w:snapToGrid w:val="0"/>
          <w:sz w:val="28"/>
          <w:szCs w:val="28"/>
          <w:vertAlign w:val="subscript"/>
        </w:rPr>
        <w:t>1</w:t>
      </w:r>
      <w:r>
        <w:rPr>
          <w:rFonts w:hint="eastAsia"/>
          <w:snapToGrid w:val="0"/>
          <w:sz w:val="28"/>
          <w:szCs w:val="28"/>
        </w:rPr>
        <w:t>＝1711.6mm/年÷113天/年=15.1mm/d。</w:t>
      </w:r>
    </w:p>
    <w:p w14:paraId="4B7F56D3">
      <w:pPr>
        <w:spacing w:line="360" w:lineRule="auto"/>
        <w:ind w:firstLine="480"/>
        <w:rPr>
          <w:snapToGrid w:val="0"/>
          <w:sz w:val="28"/>
          <w:szCs w:val="28"/>
        </w:rPr>
      </w:pPr>
      <w:r>
        <w:rPr>
          <w:rFonts w:hint="eastAsia"/>
          <w:snapToGrid w:val="0"/>
          <w:sz w:val="28"/>
          <w:szCs w:val="28"/>
        </w:rPr>
        <w:t>多年日最大降雨量H</w:t>
      </w:r>
      <w:r>
        <w:rPr>
          <w:rFonts w:hint="eastAsia"/>
          <w:snapToGrid w:val="0"/>
          <w:sz w:val="28"/>
          <w:szCs w:val="28"/>
          <w:vertAlign w:val="subscript"/>
        </w:rPr>
        <w:t>2</w:t>
      </w:r>
      <w:r>
        <w:rPr>
          <w:rFonts w:hint="eastAsia"/>
          <w:snapToGrid w:val="0"/>
          <w:sz w:val="28"/>
          <w:szCs w:val="28"/>
        </w:rPr>
        <w:t>＝300.1mm/d。</w:t>
      </w:r>
    </w:p>
    <w:p w14:paraId="4C3C9167">
      <w:pPr>
        <w:spacing w:line="360" w:lineRule="auto"/>
        <w:ind w:firstLine="480"/>
        <w:rPr>
          <w:snapToGrid w:val="0"/>
          <w:sz w:val="28"/>
          <w:szCs w:val="28"/>
        </w:rPr>
      </w:pPr>
      <w:r>
        <w:rPr>
          <w:rFonts w:hint="eastAsia"/>
          <w:snapToGrid w:val="0"/>
          <w:sz w:val="28"/>
          <w:szCs w:val="28"/>
        </w:rPr>
        <w:t>矿坑充水预测结果：</w:t>
      </w:r>
    </w:p>
    <w:p w14:paraId="2742C2FB">
      <w:pPr>
        <w:numPr>
          <w:ilvl w:val="0"/>
          <w:numId w:val="0"/>
        </w:numPr>
        <w:spacing w:line="360" w:lineRule="auto"/>
        <w:ind w:left="560" w:leftChars="0"/>
        <w:jc w:val="left"/>
        <w:rPr>
          <w:snapToGrid w:val="0"/>
          <w:sz w:val="28"/>
          <w:szCs w:val="28"/>
        </w:rPr>
      </w:pPr>
      <w:r>
        <w:rPr>
          <w:rFonts w:hint="eastAsia"/>
          <w:snapToGrid w:val="0"/>
          <w:sz w:val="28"/>
          <w:szCs w:val="28"/>
        </w:rPr>
        <w:t>①区多年日平均充水量Q</w:t>
      </w:r>
      <w:r>
        <w:rPr>
          <w:rFonts w:hint="eastAsia"/>
          <w:snapToGrid w:val="0"/>
          <w:sz w:val="28"/>
          <w:szCs w:val="28"/>
          <w:vertAlign w:val="subscript"/>
        </w:rPr>
        <w:t>1</w:t>
      </w:r>
      <w:r>
        <w:rPr>
          <w:rFonts w:hint="eastAsia"/>
          <w:snapToGrid w:val="0"/>
          <w:sz w:val="28"/>
          <w:szCs w:val="28"/>
        </w:rPr>
        <w:t>=108140×0.0151×0.70＝1158（m</w:t>
      </w:r>
      <w:r>
        <w:rPr>
          <w:rFonts w:hint="eastAsia"/>
          <w:snapToGrid w:val="0"/>
          <w:sz w:val="28"/>
          <w:szCs w:val="28"/>
          <w:vertAlign w:val="superscript"/>
        </w:rPr>
        <w:t>3</w:t>
      </w:r>
      <w:r>
        <w:rPr>
          <w:rFonts w:hint="eastAsia"/>
          <w:snapToGrid w:val="0"/>
          <w:sz w:val="28"/>
          <w:szCs w:val="28"/>
        </w:rPr>
        <w:t>/d）</w:t>
      </w:r>
    </w:p>
    <w:p w14:paraId="21348654">
      <w:pPr>
        <w:spacing w:line="360" w:lineRule="auto"/>
        <w:ind w:left="560" w:firstLine="0" w:firstLineChars="0"/>
        <w:jc w:val="left"/>
        <w:rPr>
          <w:snapToGrid w:val="0"/>
          <w:sz w:val="28"/>
          <w:szCs w:val="28"/>
        </w:rPr>
      </w:pPr>
      <w:r>
        <w:rPr>
          <w:rFonts w:hint="eastAsia"/>
          <w:snapToGrid w:val="0"/>
          <w:sz w:val="28"/>
          <w:szCs w:val="28"/>
        </w:rPr>
        <w:t>②矿区多年日最大充水量Q</w:t>
      </w:r>
      <w:r>
        <w:rPr>
          <w:rFonts w:hint="eastAsia"/>
          <w:snapToGrid w:val="0"/>
          <w:sz w:val="28"/>
          <w:szCs w:val="28"/>
          <w:vertAlign w:val="subscript"/>
        </w:rPr>
        <w:t>2</w:t>
      </w:r>
      <w:r>
        <w:rPr>
          <w:rFonts w:hint="eastAsia"/>
          <w:snapToGrid w:val="0"/>
          <w:sz w:val="28"/>
          <w:szCs w:val="28"/>
        </w:rPr>
        <w:t>=108140×0.3001×0.70＝23007（m</w:t>
      </w:r>
      <w:r>
        <w:rPr>
          <w:rFonts w:hint="eastAsia"/>
          <w:snapToGrid w:val="0"/>
          <w:sz w:val="28"/>
          <w:szCs w:val="28"/>
          <w:vertAlign w:val="superscript"/>
        </w:rPr>
        <w:t>3</w:t>
      </w:r>
      <w:r>
        <w:rPr>
          <w:rFonts w:hint="eastAsia"/>
          <w:snapToGrid w:val="0"/>
          <w:sz w:val="28"/>
          <w:szCs w:val="28"/>
        </w:rPr>
        <w:t>/d）</w:t>
      </w:r>
    </w:p>
    <w:p w14:paraId="72C466C5">
      <w:pPr>
        <w:spacing w:line="360" w:lineRule="auto"/>
        <w:ind w:firstLine="480"/>
        <w:rPr>
          <w:rFonts w:hint="eastAsia"/>
          <w:snapToGrid w:val="0"/>
          <w:sz w:val="28"/>
          <w:szCs w:val="28"/>
        </w:rPr>
      </w:pPr>
      <w:r>
        <w:rPr>
          <w:rFonts w:hint="eastAsia"/>
          <w:snapToGrid w:val="0"/>
          <w:sz w:val="28"/>
          <w:szCs w:val="28"/>
        </w:rPr>
        <w:t>预测值①是矿山设置日常排水能力的依据，预测值②是极端降雨情况（数十年一遇），出现这种情况时，布置足够的排水设施是不必要的，应以提前转移人员和机械设备为避灾原则，</w:t>
      </w:r>
      <w:r>
        <w:rPr>
          <w:snapToGrid w:val="0"/>
          <w:sz w:val="28"/>
          <w:szCs w:val="28"/>
        </w:rPr>
        <w:t>待积水排空后</w:t>
      </w:r>
      <w:r>
        <w:rPr>
          <w:rFonts w:hint="eastAsia"/>
          <w:snapToGrid w:val="0"/>
          <w:sz w:val="28"/>
          <w:szCs w:val="28"/>
        </w:rPr>
        <w:t>即可</w:t>
      </w:r>
      <w:r>
        <w:rPr>
          <w:snapToGrid w:val="0"/>
          <w:sz w:val="28"/>
          <w:szCs w:val="28"/>
        </w:rPr>
        <w:t>复产</w:t>
      </w:r>
      <w:r>
        <w:rPr>
          <w:rFonts w:hint="eastAsia"/>
          <w:snapToGrid w:val="0"/>
          <w:sz w:val="28"/>
          <w:szCs w:val="28"/>
        </w:rPr>
        <w:t>。</w:t>
      </w:r>
    </w:p>
    <w:p w14:paraId="624AA0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sz w:val="28"/>
          <w:szCs w:val="28"/>
        </w:rPr>
      </w:pPr>
      <w:r>
        <w:rPr>
          <w:rFonts w:hint="eastAsia"/>
          <w:snapToGrid w:val="0"/>
          <w:sz w:val="28"/>
          <w:szCs w:val="28"/>
        </w:rPr>
        <w:t>总体上，矿区富水性中等，未来为露天开采，矿坑实际</w:t>
      </w:r>
      <w:r>
        <w:rPr>
          <w:snapToGrid w:val="0"/>
          <w:sz w:val="28"/>
          <w:szCs w:val="28"/>
        </w:rPr>
        <w:t>汇水面积不大</w:t>
      </w:r>
      <w:r>
        <w:rPr>
          <w:rFonts w:hint="eastAsia"/>
          <w:snapToGrid w:val="0"/>
          <w:sz w:val="28"/>
          <w:szCs w:val="28"/>
        </w:rPr>
        <w:t>，未来矿山开采，在矿区外围修建截（排）水系统，同时在矿坑底部设置抽排水设施可满足需求。矿区水文地质条件为中等。</w:t>
      </w:r>
    </w:p>
    <w:p w14:paraId="70EF1146">
      <w:pPr>
        <w:pStyle w:val="6"/>
        <w:spacing w:before="131" w:after="131"/>
        <w:rPr>
          <w:rFonts w:hint="eastAsia" w:ascii="宋体" w:hAnsi="宋体" w:eastAsia="宋体" w:cs="宋体"/>
          <w:b/>
          <w:bCs/>
          <w:lang w:val="en-US" w:eastAsia="zh-CN"/>
        </w:rPr>
      </w:pPr>
      <w:bookmarkStart w:id="165" w:name="_Toc101798419"/>
      <w:r>
        <w:rPr>
          <w:rFonts w:hint="eastAsia" w:ascii="宋体" w:hAnsi="宋体" w:eastAsia="宋体" w:cs="宋体"/>
          <w:b/>
          <w:bCs/>
          <w:lang w:val="en-US" w:eastAsia="zh-CN"/>
        </w:rPr>
        <w:t>（五）工程地质</w:t>
      </w:r>
    </w:p>
    <w:bookmarkEnd w:id="165"/>
    <w:p w14:paraId="6BC1BD27">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rFonts w:hint="eastAsia"/>
          <w:sz w:val="28"/>
          <w:szCs w:val="28"/>
        </w:rPr>
        <w:t>根据岩性特征及其物理力学性质，将区内岩土体划分为坚硬岩、较软岩、极软</w:t>
      </w:r>
      <w:r>
        <w:rPr>
          <w:sz w:val="28"/>
          <w:szCs w:val="28"/>
        </w:rPr>
        <w:t>岩</w:t>
      </w:r>
      <w:r>
        <w:rPr>
          <w:rFonts w:hint="eastAsia"/>
          <w:sz w:val="28"/>
          <w:szCs w:val="28"/>
        </w:rPr>
        <w:t>等三类。</w:t>
      </w:r>
    </w:p>
    <w:p w14:paraId="40228589">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sz w:val="28"/>
          <w:szCs w:val="28"/>
        </w:rPr>
        <w:t>坚硬岩</w:t>
      </w:r>
    </w:p>
    <w:p w14:paraId="6187A3C9">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rFonts w:hint="eastAsia"/>
          <w:sz w:val="28"/>
          <w:szCs w:val="28"/>
        </w:rPr>
        <w:t>岩性主要是</w:t>
      </w:r>
      <w:r>
        <w:rPr>
          <w:rFonts w:hint="eastAsia" w:ascii="宋体" w:hAnsi="宋体"/>
          <w:snapToGrid w:val="0"/>
          <w:kern w:val="0"/>
          <w:sz w:val="28"/>
          <w:szCs w:val="28"/>
        </w:rPr>
        <w:t>微（未）风化玄武岩，</w:t>
      </w:r>
      <w:r>
        <w:rPr>
          <w:sz w:val="28"/>
          <w:szCs w:val="28"/>
        </w:rPr>
        <w:t>岩石节理裂隙发育</w:t>
      </w:r>
      <w:r>
        <w:rPr>
          <w:rFonts w:hAnsi="宋体"/>
          <w:sz w:val="28"/>
          <w:szCs w:val="28"/>
        </w:rPr>
        <w:t>，</w:t>
      </w:r>
      <w:r>
        <w:rPr>
          <w:sz w:val="28"/>
          <w:szCs w:val="28"/>
        </w:rPr>
        <w:t>以柱状节理为主，但裂隙大多呈闭合状</w:t>
      </w:r>
      <w:r>
        <w:rPr>
          <w:rFonts w:hint="eastAsia"/>
          <w:sz w:val="28"/>
          <w:szCs w:val="28"/>
        </w:rPr>
        <w:t>，</w:t>
      </w:r>
      <w:r>
        <w:rPr>
          <w:rFonts w:hAnsi="宋体"/>
          <w:sz w:val="28"/>
          <w:szCs w:val="28"/>
        </w:rPr>
        <w:t>硬度较大</w:t>
      </w:r>
      <w:r>
        <w:rPr>
          <w:rFonts w:hint="eastAsia" w:ascii="宋体" w:hAnsi="宋体"/>
          <w:snapToGrid w:val="0"/>
          <w:kern w:val="0"/>
          <w:sz w:val="28"/>
          <w:szCs w:val="28"/>
        </w:rPr>
        <w:t>，饱和抗压强度</w:t>
      </w:r>
      <w:r>
        <w:rPr>
          <w:snapToGrid w:val="0"/>
          <w:sz w:val="28"/>
          <w:szCs w:val="28"/>
        </w:rPr>
        <w:t>8</w:t>
      </w:r>
      <w:r>
        <w:rPr>
          <w:rFonts w:hint="eastAsia"/>
          <w:snapToGrid w:val="0"/>
          <w:sz w:val="28"/>
          <w:szCs w:val="28"/>
        </w:rPr>
        <w:t>1.0～96.8 Mpa之间，平均值90.0 Mpa</w:t>
      </w:r>
      <w:r>
        <w:rPr>
          <w:rFonts w:hint="eastAsia" w:ascii="宋体" w:hAnsi="宋体"/>
          <w:snapToGrid w:val="0"/>
          <w:kern w:val="0"/>
          <w:sz w:val="28"/>
          <w:szCs w:val="28"/>
        </w:rPr>
        <w:t>。开采过程中根据岩（矿）石裂隙产状实际，调整台阶边坡角，保证边坡稳定。</w:t>
      </w:r>
    </w:p>
    <w:p w14:paraId="76FE8039">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较软</w:t>
      </w:r>
      <w:r>
        <w:rPr>
          <w:sz w:val="28"/>
          <w:szCs w:val="28"/>
        </w:rPr>
        <w:t>岩</w:t>
      </w:r>
    </w:p>
    <w:p w14:paraId="591C1275">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rFonts w:hint="eastAsia"/>
          <w:snapToGrid w:val="0"/>
          <w:sz w:val="28"/>
          <w:szCs w:val="28"/>
        </w:rPr>
        <w:t>主要为中风化玄武岩，厚度多在1.0～6.8m。岩石风化裂隙发育，稳定性较差，在降雨侵蚀作用下，边坡容易失稳，需根据坡面岩体结构和稳定性情况，控制台阶高度和边坡角，以保障矿山建设和生产安全。</w:t>
      </w:r>
    </w:p>
    <w:p w14:paraId="638F5F92">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极软</w:t>
      </w:r>
      <w:r>
        <w:rPr>
          <w:sz w:val="28"/>
          <w:szCs w:val="28"/>
        </w:rPr>
        <w:t>岩</w:t>
      </w:r>
    </w:p>
    <w:p w14:paraId="768AB9A0">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napToGrid w:val="0"/>
          <w:sz w:val="28"/>
          <w:szCs w:val="28"/>
        </w:rPr>
      </w:pPr>
      <w:r>
        <w:rPr>
          <w:rFonts w:hint="eastAsia" w:ascii="宋体" w:hAnsi="宋体"/>
          <w:snapToGrid w:val="0"/>
          <w:kern w:val="0"/>
          <w:sz w:val="28"/>
          <w:szCs w:val="28"/>
        </w:rPr>
        <w:t>主要为全风化玄武岩。全风化玄武岩</w:t>
      </w:r>
      <w:r>
        <w:rPr>
          <w:rFonts w:hint="eastAsia"/>
          <w:snapToGrid w:val="0"/>
          <w:sz w:val="28"/>
          <w:szCs w:val="28"/>
        </w:rPr>
        <w:t>风化强烈，原岩结构不清晰，厚度多在0.5～3.4m；根据有关技术规范和矿山开采经验，岩体台阶高度不宜大于18m。根据矿区现场勘测，现有采坑的台阶主要分布于矿区的南部，台阶数为2～3级，台阶高度约7m~16m，开采掘面岩体边坡在55°至70°之间，采空区边坡基本稳定。剥土土坡多为40°～50°，局部角度偏大，其玄武岩残积土抗冲刷性能较差，边坡基本稳定（局部有微沟槽）。</w:t>
      </w:r>
    </w:p>
    <w:p w14:paraId="2E545F0F">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napToGrid w:val="0"/>
          <w:sz w:val="28"/>
          <w:szCs w:val="28"/>
        </w:rPr>
      </w:pPr>
      <w:r>
        <w:rPr>
          <w:rFonts w:hint="eastAsia"/>
          <w:snapToGrid w:val="0"/>
          <w:sz w:val="28"/>
          <w:szCs w:val="28"/>
        </w:rPr>
        <w:t>矿区上部岩体风化裂隙发育岩石较为破碎、下部岩体呈块状且其节理多为闭合状，岩体相对完好。上部岩体由于裂隙较多，开采面边坡容易产生松动危石，形成不稳定边坡。这是影响本场地安全的主要因素之一，应当控制好剥</w:t>
      </w:r>
      <w:r>
        <w:rPr>
          <w:snapToGrid w:val="0"/>
          <w:sz w:val="28"/>
          <w:szCs w:val="28"/>
        </w:rPr>
        <w:t>离层的</w:t>
      </w:r>
      <w:r>
        <w:rPr>
          <w:rFonts w:hint="eastAsia"/>
          <w:snapToGrid w:val="0"/>
          <w:sz w:val="28"/>
          <w:szCs w:val="28"/>
        </w:rPr>
        <w:t>分层台阶高度和开采过程中的动态管理。</w:t>
      </w:r>
    </w:p>
    <w:p w14:paraId="7202A333">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napToGrid w:val="0"/>
          <w:sz w:val="28"/>
          <w:szCs w:val="28"/>
        </w:rPr>
      </w:pPr>
      <w:r>
        <w:rPr>
          <w:rFonts w:hint="eastAsia"/>
          <w:snapToGrid w:val="0"/>
          <w:sz w:val="28"/>
          <w:szCs w:val="28"/>
        </w:rPr>
        <w:t>由于玄武岩残积土粘结性差，对其剥土形成边坡后，抗冲刷能力差，矿山开采过程中可能诱发的主要工程地质问题是矿坑岩、土体边坡失稳。</w:t>
      </w:r>
    </w:p>
    <w:p w14:paraId="74DD034F">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sz w:val="28"/>
          <w:szCs w:val="28"/>
        </w:rPr>
        <w:t>建议采取如下防治措施：1、矿山开采应严格按设计要求进行施工，控制好坡角及台阶高度。同时，应根据实际地质条件及工程实践采取相应的防护措施。2、加强边坡变形监测，以及时掌握边坡变形特征，</w:t>
      </w:r>
      <w:r>
        <w:rPr>
          <w:rFonts w:hint="eastAsia"/>
          <w:sz w:val="28"/>
          <w:szCs w:val="28"/>
          <w:lang w:eastAsia="zh-CN"/>
        </w:rPr>
        <w:t>防患于未然</w:t>
      </w:r>
      <w:r>
        <w:rPr>
          <w:sz w:val="28"/>
          <w:szCs w:val="28"/>
        </w:rPr>
        <w:t>。</w:t>
      </w:r>
    </w:p>
    <w:p w14:paraId="3D0F17B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sz w:val="28"/>
          <w:szCs w:val="28"/>
        </w:rPr>
      </w:pPr>
      <w:r>
        <w:rPr>
          <w:sz w:val="28"/>
          <w:szCs w:val="28"/>
        </w:rPr>
        <w:t>综上所述，矿体围岩岩体为层状玄武岩，岩石强度高，但节理裂隙发育，露采边坡可沿不利节理面产生局部滑移。矿区工程地质条件为</w:t>
      </w:r>
      <w:r>
        <w:rPr>
          <w:rFonts w:hint="eastAsia"/>
          <w:sz w:val="28"/>
          <w:szCs w:val="28"/>
        </w:rPr>
        <w:t>中等</w:t>
      </w:r>
      <w:r>
        <w:rPr>
          <w:sz w:val="28"/>
          <w:szCs w:val="28"/>
        </w:rPr>
        <w:t>。</w:t>
      </w:r>
    </w:p>
    <w:p w14:paraId="6A864C55">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（六）环境地质</w:t>
      </w:r>
    </w:p>
    <w:p w14:paraId="0A71F1AF">
      <w:pPr>
        <w:pStyle w:val="98"/>
        <w:spacing w:line="360" w:lineRule="auto"/>
        <w:ind w:firstLine="480"/>
        <w:rPr>
          <w:b/>
          <w:bCs/>
          <w:sz w:val="28"/>
          <w:szCs w:val="28"/>
        </w:rPr>
      </w:pPr>
      <w:r>
        <w:rPr>
          <w:rFonts w:hint="eastAsia" w:ascii="宋体" w:hAnsi="宋体"/>
          <w:b/>
          <w:bCs/>
          <w:sz w:val="28"/>
          <w:szCs w:val="28"/>
          <w:lang w:val="en-US" w:eastAsia="zh-CN"/>
        </w:rPr>
        <w:t>1、</w:t>
      </w:r>
      <w:r>
        <w:rPr>
          <w:b/>
          <w:bCs/>
          <w:sz w:val="28"/>
          <w:szCs w:val="28"/>
        </w:rPr>
        <w:t>区域</w:t>
      </w:r>
      <w:r>
        <w:rPr>
          <w:rFonts w:hint="eastAsia"/>
          <w:b/>
          <w:bCs/>
          <w:sz w:val="28"/>
          <w:szCs w:val="28"/>
        </w:rPr>
        <w:t>稳定性</w:t>
      </w:r>
    </w:p>
    <w:p w14:paraId="080D5029">
      <w:pPr>
        <w:spacing w:line="360" w:lineRule="auto"/>
        <w:ind w:firstLine="480"/>
        <w:rPr>
          <w:rFonts w:hint="eastAsia"/>
          <w:snapToGrid w:val="0"/>
          <w:sz w:val="28"/>
          <w:szCs w:val="28"/>
        </w:rPr>
      </w:pPr>
      <w:r>
        <w:rPr>
          <w:rFonts w:hint="eastAsia"/>
          <w:snapToGrid w:val="0"/>
          <w:sz w:val="28"/>
          <w:szCs w:val="28"/>
        </w:rPr>
        <w:t>根据我国地活动震带分布图及广东省地震设防烈度，矿区所处徐闻县属低震级多发区，抗震设防烈度为8度区，设计基本地震加速度值为0.20g。</w:t>
      </w:r>
    </w:p>
    <w:p w14:paraId="06D1093F">
      <w:pPr>
        <w:pStyle w:val="98"/>
        <w:spacing w:line="360" w:lineRule="auto"/>
        <w:ind w:firstLine="480"/>
        <w:rPr>
          <w:b/>
          <w:bCs/>
          <w:sz w:val="28"/>
          <w:szCs w:val="28"/>
        </w:rPr>
      </w:pPr>
      <w:r>
        <w:rPr>
          <w:rFonts w:hint="eastAsia" w:ascii="宋体" w:hAnsi="宋体"/>
          <w:b/>
          <w:bCs/>
          <w:sz w:val="28"/>
          <w:szCs w:val="28"/>
          <w:lang w:val="en-US" w:eastAsia="zh-CN"/>
        </w:rPr>
        <w:t>2、</w:t>
      </w:r>
      <w:r>
        <w:rPr>
          <w:b/>
          <w:bCs/>
          <w:sz w:val="28"/>
          <w:szCs w:val="28"/>
        </w:rPr>
        <w:t>矿区环境地质问题</w:t>
      </w:r>
    </w:p>
    <w:p w14:paraId="7D099F61">
      <w:pPr>
        <w:spacing w:line="360" w:lineRule="auto"/>
        <w:ind w:firstLine="480"/>
        <w:rPr>
          <w:rFonts w:hint="eastAsia"/>
          <w:snapToGrid w:val="0"/>
          <w:sz w:val="28"/>
          <w:szCs w:val="28"/>
        </w:rPr>
      </w:pPr>
      <w:r>
        <w:rPr>
          <w:rFonts w:hint="eastAsia"/>
          <w:snapToGrid w:val="0"/>
          <w:sz w:val="28"/>
          <w:szCs w:val="28"/>
        </w:rPr>
        <w:t>矿区远离民宅密集区、工厂及主要交通要道，周围环境对矿区的开采没有不良影响。本矿区在开采过程中没有污水排放，大多数废土主要用于回填旧采坑或附近乡</w:t>
      </w:r>
      <w:r>
        <w:rPr>
          <w:snapToGrid w:val="0"/>
          <w:sz w:val="28"/>
          <w:szCs w:val="28"/>
        </w:rPr>
        <w:t>镇建设的填土工程</w:t>
      </w:r>
      <w:r>
        <w:rPr>
          <w:rFonts w:hint="eastAsia"/>
          <w:snapToGrid w:val="0"/>
          <w:sz w:val="28"/>
          <w:szCs w:val="28"/>
        </w:rPr>
        <w:t>，矿石的加工采取相应的防尘措施后，不会对地质环境产生明显的影响或危害。</w:t>
      </w:r>
      <w:r>
        <w:rPr>
          <w:rFonts w:hAnsi="宋体"/>
          <w:bCs/>
          <w:sz w:val="28"/>
          <w:szCs w:val="28"/>
        </w:rPr>
        <w:t>地表剥土将破坏原有植被及生态环境，对地形地貌景观造成破坏</w:t>
      </w:r>
      <w:r>
        <w:rPr>
          <w:rFonts w:hint="eastAsia" w:hAnsi="宋体"/>
          <w:bCs/>
          <w:sz w:val="28"/>
          <w:szCs w:val="28"/>
        </w:rPr>
        <w:t>。</w:t>
      </w:r>
      <w:r>
        <w:rPr>
          <w:rFonts w:hint="eastAsia"/>
          <w:snapToGrid w:val="0"/>
          <w:sz w:val="28"/>
          <w:szCs w:val="28"/>
        </w:rPr>
        <w:t>矿山处于地下水径流区，露天开采可能导致局部地下水径流条件改变。</w:t>
      </w:r>
    </w:p>
    <w:p w14:paraId="3B8C2D16">
      <w:pPr>
        <w:spacing w:line="360" w:lineRule="auto"/>
        <w:ind w:firstLine="480"/>
        <w:rPr>
          <w:rFonts w:hint="eastAsia"/>
          <w:snapToGrid w:val="0"/>
          <w:sz w:val="28"/>
          <w:szCs w:val="28"/>
        </w:rPr>
      </w:pPr>
      <w:r>
        <w:rPr>
          <w:rFonts w:hint="eastAsia"/>
          <w:snapToGrid w:val="0"/>
          <w:sz w:val="28"/>
          <w:szCs w:val="28"/>
        </w:rPr>
        <w:t>矿石和围岩放射性水平低，放射性内照射指数</w:t>
      </w:r>
      <w:r>
        <w:rPr>
          <w:rFonts w:hint="eastAsia"/>
          <w:sz w:val="28"/>
          <w:szCs w:val="28"/>
        </w:rPr>
        <w:t>Ira＝&lt;0.037～&lt;0.039，外照射指数Ir＝0.088～0.098</w:t>
      </w:r>
      <w:r>
        <w:rPr>
          <w:rFonts w:hint="eastAsia"/>
          <w:snapToGrid w:val="0"/>
          <w:sz w:val="28"/>
          <w:szCs w:val="28"/>
        </w:rPr>
        <w:t>，符合A类装修材料的要求，同时还满足建筑主体材料放射性核素各项指标的限量要求，矿石不易分解有害元素，地表水和采场地下水水质污染程度低。</w:t>
      </w:r>
    </w:p>
    <w:p w14:paraId="44401FBB">
      <w:pPr>
        <w:spacing w:line="360" w:lineRule="auto"/>
        <w:ind w:firstLine="480"/>
        <w:rPr>
          <w:rFonts w:hint="default"/>
          <w:sz w:val="28"/>
          <w:szCs w:val="28"/>
          <w:lang w:val="en-US" w:eastAsia="zh-CN"/>
        </w:rPr>
      </w:pPr>
      <w:r>
        <w:rPr>
          <w:rFonts w:hint="eastAsia"/>
          <w:snapToGrid w:val="0"/>
          <w:sz w:val="28"/>
          <w:szCs w:val="28"/>
        </w:rPr>
        <w:t>矿石有机物含量浅于标准色，含量鉴定为合格。矿山需采取措施控制矿山开采爆破和矿石破碎加工产生的粉尘及噪声，并做好矿山及周边环境保护工作，按照露天采石场绿色矿山建设标准进行建设和管理。</w:t>
      </w:r>
    </w:p>
    <w:p w14:paraId="78C789D9">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（七）矿床地质</w:t>
      </w:r>
    </w:p>
    <w:p w14:paraId="1A00488A">
      <w:pPr>
        <w:pStyle w:val="98"/>
        <w:spacing w:line="360" w:lineRule="auto"/>
        <w:ind w:firstLine="480"/>
        <w:rPr>
          <w:rFonts w:hint="eastAsia"/>
          <w:b/>
          <w:bCs/>
          <w:sz w:val="28"/>
          <w:szCs w:val="28"/>
        </w:rPr>
      </w:pPr>
      <w:bookmarkStart w:id="166" w:name="_Toc217556328"/>
      <w:bookmarkStart w:id="167" w:name="_Toc218930872"/>
      <w:bookmarkStart w:id="168" w:name="_Toc251685148"/>
      <w:bookmarkStart w:id="169" w:name="_Toc217561220"/>
      <w:bookmarkStart w:id="170" w:name="_Toc516652794"/>
      <w:bookmarkStart w:id="171" w:name="_Toc512523895"/>
      <w:r>
        <w:rPr>
          <w:b/>
          <w:bCs/>
          <w:sz w:val="28"/>
          <w:szCs w:val="28"/>
        </w:rPr>
        <w:t>1、矿体</w:t>
      </w:r>
      <w:r>
        <w:rPr>
          <w:rFonts w:hint="eastAsia"/>
          <w:b/>
          <w:bCs/>
          <w:sz w:val="28"/>
          <w:szCs w:val="28"/>
        </w:rPr>
        <w:t>特征</w:t>
      </w:r>
    </w:p>
    <w:p w14:paraId="4364C780">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sz w:val="28"/>
          <w:szCs w:val="28"/>
        </w:rPr>
      </w:pPr>
      <w:r>
        <w:rPr>
          <w:rFonts w:hint="eastAsia" w:ascii="宋体"/>
          <w:sz w:val="28"/>
          <w:szCs w:val="28"/>
        </w:rPr>
        <w:t>矿体赋存于</w:t>
      </w:r>
      <w:r>
        <w:rPr>
          <w:sz w:val="28"/>
          <w:szCs w:val="28"/>
        </w:rPr>
        <w:t>第四系中更新世石茆岭组火山岩</w:t>
      </w:r>
      <w:r>
        <w:rPr>
          <w:rFonts w:hint="default" w:ascii="Times New Roman" w:hAnsi="Times New Roman" w:cs="Times New Roman"/>
          <w:sz w:val="28"/>
          <w:szCs w:val="28"/>
        </w:rPr>
        <w:t>(β)中</w:t>
      </w:r>
      <w:r>
        <w:rPr>
          <w:rFonts w:hint="eastAsia" w:ascii="宋体"/>
          <w:sz w:val="28"/>
          <w:szCs w:val="28"/>
        </w:rPr>
        <w:t>，</w:t>
      </w:r>
      <w:r>
        <w:rPr>
          <w:sz w:val="28"/>
          <w:szCs w:val="28"/>
        </w:rPr>
        <w:t>矿石岩性为</w:t>
      </w:r>
      <w:r>
        <w:rPr>
          <w:rFonts w:hint="eastAsia"/>
          <w:sz w:val="28"/>
          <w:szCs w:val="28"/>
        </w:rPr>
        <w:t>微（未）风化玄武岩</w:t>
      </w:r>
      <w:r>
        <w:rPr>
          <w:sz w:val="28"/>
          <w:szCs w:val="28"/>
        </w:rPr>
        <w:t>。</w:t>
      </w:r>
      <w:r>
        <w:rPr>
          <w:rFonts w:hint="eastAsia"/>
          <w:sz w:val="28"/>
          <w:szCs w:val="28"/>
        </w:rPr>
        <w:t>在矿区范围内，岩石达到建筑用玄武岩矿工业指标即可作为矿石，当作矿体圈定。</w:t>
      </w:r>
    </w:p>
    <w:p w14:paraId="689585FD">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sz w:val="28"/>
          <w:szCs w:val="28"/>
        </w:rPr>
      </w:pPr>
      <w:r>
        <w:rPr>
          <w:sz w:val="28"/>
          <w:szCs w:val="28"/>
        </w:rPr>
        <w:t>据钻孔揭露显示，矿体被残坡积层、全风化岩和中风化岩层所覆盖。矿体埋深介于</w:t>
      </w:r>
      <w:r>
        <w:rPr>
          <w:rFonts w:hint="eastAsia"/>
          <w:sz w:val="28"/>
          <w:szCs w:val="28"/>
        </w:rPr>
        <w:t>13.30</w:t>
      </w:r>
      <w:r>
        <w:rPr>
          <w:sz w:val="28"/>
          <w:szCs w:val="28"/>
        </w:rPr>
        <w:t>～</w:t>
      </w:r>
      <w:r>
        <w:rPr>
          <w:rFonts w:hint="eastAsia"/>
          <w:sz w:val="28"/>
          <w:szCs w:val="28"/>
        </w:rPr>
        <w:t>35.00</w:t>
      </w:r>
      <w:r>
        <w:rPr>
          <w:sz w:val="28"/>
          <w:szCs w:val="28"/>
        </w:rPr>
        <w:t>m，平均</w:t>
      </w:r>
      <w:r>
        <w:rPr>
          <w:rFonts w:hint="eastAsia"/>
          <w:sz w:val="28"/>
          <w:szCs w:val="28"/>
        </w:rPr>
        <w:t>24.40</w:t>
      </w:r>
      <w:r>
        <w:rPr>
          <w:sz w:val="28"/>
          <w:szCs w:val="28"/>
        </w:rPr>
        <w:t>m。</w:t>
      </w:r>
      <w:r>
        <w:rPr>
          <w:rFonts w:hint="eastAsia"/>
          <w:sz w:val="28"/>
          <w:szCs w:val="28"/>
        </w:rPr>
        <w:t>矿区</w:t>
      </w:r>
      <w:r>
        <w:rPr>
          <w:sz w:val="28"/>
          <w:szCs w:val="28"/>
        </w:rPr>
        <w:t>内为单矿体，</w:t>
      </w:r>
      <w:r>
        <w:rPr>
          <w:rFonts w:hint="eastAsia"/>
          <w:sz w:val="28"/>
          <w:szCs w:val="28"/>
        </w:rPr>
        <w:t>北面含矿层见少量岩石由于受节理、裂隙影响，岩石较为破碎且</w:t>
      </w:r>
      <w:r>
        <w:rPr>
          <w:sz w:val="28"/>
          <w:szCs w:val="28"/>
        </w:rPr>
        <w:t>厚度超过</w:t>
      </w:r>
      <w:r>
        <w:rPr>
          <w:rFonts w:hint="eastAsia"/>
          <w:sz w:val="28"/>
          <w:szCs w:val="28"/>
        </w:rPr>
        <w:t>2m，故作夹石予以剔除；另外少量</w:t>
      </w:r>
      <w:r>
        <w:rPr>
          <w:sz w:val="28"/>
          <w:szCs w:val="28"/>
        </w:rPr>
        <w:t>矿石样品由于受节理</w:t>
      </w:r>
      <w:r>
        <w:rPr>
          <w:rFonts w:hint="eastAsia"/>
          <w:sz w:val="28"/>
          <w:szCs w:val="28"/>
        </w:rPr>
        <w:t>、</w:t>
      </w:r>
      <w:r>
        <w:rPr>
          <w:sz w:val="28"/>
          <w:szCs w:val="28"/>
        </w:rPr>
        <w:t>裂隙影响</w:t>
      </w:r>
      <w:r>
        <w:rPr>
          <w:rFonts w:hint="eastAsia"/>
          <w:sz w:val="28"/>
          <w:szCs w:val="28"/>
        </w:rPr>
        <w:t>，</w:t>
      </w:r>
      <w:r>
        <w:rPr>
          <w:sz w:val="28"/>
          <w:szCs w:val="28"/>
        </w:rPr>
        <w:t>在试验测试中表现为裂隙破坏导致抗压强度不够</w:t>
      </w:r>
      <w:r>
        <w:rPr>
          <w:rFonts w:hint="eastAsia"/>
          <w:sz w:val="28"/>
          <w:szCs w:val="28"/>
        </w:rPr>
        <w:t>，</w:t>
      </w:r>
      <w:r>
        <w:rPr>
          <w:sz w:val="28"/>
          <w:szCs w:val="28"/>
        </w:rPr>
        <w:t>但</w:t>
      </w:r>
      <w:r>
        <w:rPr>
          <w:rFonts w:hint="eastAsia"/>
          <w:sz w:val="28"/>
          <w:szCs w:val="28"/>
        </w:rPr>
        <w:t>由于</w:t>
      </w:r>
      <w:r>
        <w:rPr>
          <w:sz w:val="28"/>
          <w:szCs w:val="28"/>
        </w:rPr>
        <w:t>其达不到夹石剔除厚度</w:t>
      </w:r>
      <w:r>
        <w:rPr>
          <w:rFonts w:hint="eastAsia"/>
          <w:sz w:val="28"/>
          <w:szCs w:val="28"/>
        </w:rPr>
        <w:t>，</w:t>
      </w:r>
      <w:r>
        <w:rPr>
          <w:sz w:val="28"/>
          <w:szCs w:val="28"/>
        </w:rPr>
        <w:t>故不作夹石予以剔除</w:t>
      </w:r>
      <w:r>
        <w:rPr>
          <w:rFonts w:hint="eastAsia"/>
          <w:sz w:val="28"/>
          <w:szCs w:val="28"/>
        </w:rPr>
        <w:t>。因此矿区岩石</w:t>
      </w:r>
      <w:r>
        <w:rPr>
          <w:sz w:val="28"/>
          <w:szCs w:val="28"/>
        </w:rPr>
        <w:t>作为建筑用石质量较为稳定，矿体总体</w:t>
      </w:r>
      <w:r>
        <w:rPr>
          <w:rFonts w:hint="eastAsia"/>
          <w:sz w:val="28"/>
          <w:szCs w:val="28"/>
        </w:rPr>
        <w:t>基本</w:t>
      </w:r>
      <w:r>
        <w:rPr>
          <w:sz w:val="28"/>
          <w:szCs w:val="28"/>
        </w:rPr>
        <w:t>连续产出。</w:t>
      </w:r>
    </w:p>
    <w:p w14:paraId="43E6D733">
      <w:pPr>
        <w:pStyle w:val="98"/>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sz w:val="28"/>
          <w:szCs w:val="28"/>
        </w:rPr>
      </w:pPr>
      <w:r>
        <w:rPr>
          <w:sz w:val="28"/>
          <w:szCs w:val="28"/>
        </w:rPr>
        <w:t>钻孔揭露矿体顶界标高介于</w:t>
      </w:r>
      <w:r>
        <w:rPr>
          <w:rFonts w:hint="eastAsia" w:hAnsi="宋体"/>
          <w:sz w:val="28"/>
          <w:szCs w:val="28"/>
        </w:rPr>
        <w:t>43.2m～56.3</w:t>
      </w:r>
      <w:r>
        <w:rPr>
          <w:sz w:val="28"/>
          <w:szCs w:val="28"/>
        </w:rPr>
        <w:t>m之间，平均</w:t>
      </w:r>
      <w:r>
        <w:rPr>
          <w:rFonts w:hint="eastAsia"/>
          <w:sz w:val="28"/>
          <w:szCs w:val="28"/>
        </w:rPr>
        <w:t>49.2</w:t>
      </w:r>
      <w:r>
        <w:rPr>
          <w:sz w:val="28"/>
          <w:szCs w:val="28"/>
        </w:rPr>
        <w:t>m；根据地质勘查工作表明，钻孔见矿最大标高为</w:t>
      </w:r>
      <w:r>
        <w:rPr>
          <w:rFonts w:hint="eastAsia" w:hAnsi="宋体"/>
          <w:sz w:val="28"/>
          <w:szCs w:val="28"/>
        </w:rPr>
        <w:t>56.3</w:t>
      </w:r>
      <w:r>
        <w:rPr>
          <w:sz w:val="28"/>
          <w:szCs w:val="28"/>
        </w:rPr>
        <w:t>m，最低标高至可采最低标高</w:t>
      </w:r>
      <w:r>
        <w:rPr>
          <w:rFonts w:hint="eastAsia"/>
          <w:sz w:val="28"/>
          <w:szCs w:val="28"/>
        </w:rPr>
        <w:t>3</w:t>
      </w:r>
      <w:r>
        <w:rPr>
          <w:sz w:val="28"/>
          <w:szCs w:val="28"/>
        </w:rPr>
        <w:t>0m。矿体形态受拟设采矿权范围限制，平面上呈不规则多边形，呈北</w:t>
      </w:r>
      <w:r>
        <w:rPr>
          <w:rFonts w:hint="eastAsia"/>
          <w:sz w:val="28"/>
          <w:szCs w:val="28"/>
        </w:rPr>
        <w:t>西</w:t>
      </w:r>
      <w:r>
        <w:rPr>
          <w:sz w:val="28"/>
          <w:szCs w:val="28"/>
        </w:rPr>
        <w:t>～南</w:t>
      </w:r>
      <w:r>
        <w:rPr>
          <w:rFonts w:hint="eastAsia"/>
          <w:sz w:val="28"/>
          <w:szCs w:val="28"/>
        </w:rPr>
        <w:t>东</w:t>
      </w:r>
      <w:r>
        <w:rPr>
          <w:sz w:val="28"/>
          <w:szCs w:val="28"/>
        </w:rPr>
        <w:t>向展布，矿体长度约为</w:t>
      </w:r>
      <w:r>
        <w:rPr>
          <w:rFonts w:hint="eastAsia"/>
          <w:sz w:val="28"/>
          <w:szCs w:val="28"/>
        </w:rPr>
        <w:t>545</w:t>
      </w:r>
      <w:r>
        <w:rPr>
          <w:sz w:val="28"/>
          <w:szCs w:val="28"/>
        </w:rPr>
        <w:t>m，宽度约为</w:t>
      </w:r>
      <w:r>
        <w:rPr>
          <w:rFonts w:hint="eastAsia"/>
          <w:sz w:val="28"/>
          <w:szCs w:val="28"/>
        </w:rPr>
        <w:t>334</w:t>
      </w:r>
      <w:r>
        <w:rPr>
          <w:sz w:val="28"/>
          <w:szCs w:val="28"/>
        </w:rPr>
        <w:t>m。空间上，矿体呈</w:t>
      </w:r>
      <w:r>
        <w:rPr>
          <w:rFonts w:hint="eastAsia"/>
          <w:sz w:val="28"/>
          <w:szCs w:val="28"/>
        </w:rPr>
        <w:t>“</w:t>
      </w:r>
      <w:r>
        <w:rPr>
          <w:sz w:val="28"/>
          <w:szCs w:val="28"/>
        </w:rPr>
        <w:t>底面起伏不平的倒梯形体</w:t>
      </w:r>
      <w:r>
        <w:rPr>
          <w:rFonts w:hint="eastAsia"/>
          <w:sz w:val="28"/>
          <w:szCs w:val="28"/>
        </w:rPr>
        <w:t>”</w:t>
      </w:r>
      <w:r>
        <w:rPr>
          <w:sz w:val="28"/>
          <w:szCs w:val="28"/>
        </w:rPr>
        <w:t>，矿体厚度</w:t>
      </w:r>
      <w:r>
        <w:rPr>
          <w:rFonts w:hint="eastAsia"/>
          <w:sz w:val="28"/>
          <w:szCs w:val="28"/>
        </w:rPr>
        <w:t>4.60</w:t>
      </w:r>
      <w:r>
        <w:rPr>
          <w:sz w:val="28"/>
          <w:szCs w:val="28"/>
        </w:rPr>
        <w:t>～</w:t>
      </w:r>
      <w:r>
        <w:rPr>
          <w:rFonts w:hint="eastAsia"/>
          <w:sz w:val="28"/>
          <w:szCs w:val="28"/>
        </w:rPr>
        <w:t>33</w:t>
      </w:r>
      <w:r>
        <w:rPr>
          <w:sz w:val="28"/>
          <w:szCs w:val="28"/>
        </w:rPr>
        <w:t>.00m，平均厚度</w:t>
      </w:r>
      <w:r>
        <w:rPr>
          <w:rFonts w:hint="eastAsia"/>
          <w:sz w:val="28"/>
          <w:szCs w:val="28"/>
        </w:rPr>
        <w:t>16.20</w:t>
      </w:r>
      <w:r>
        <w:rPr>
          <w:sz w:val="28"/>
          <w:szCs w:val="28"/>
        </w:rPr>
        <w:t>m，厚度稳定程度一般。矿体形态规则、简单，矿体规模属</w:t>
      </w:r>
      <w:r>
        <w:rPr>
          <w:rFonts w:hint="eastAsia"/>
          <w:sz w:val="28"/>
          <w:szCs w:val="28"/>
        </w:rPr>
        <w:t>小</w:t>
      </w:r>
      <w:r>
        <w:rPr>
          <w:sz w:val="28"/>
          <w:szCs w:val="28"/>
        </w:rPr>
        <w:t>型。</w:t>
      </w:r>
    </w:p>
    <w:p w14:paraId="42F0ECFF">
      <w:pPr>
        <w:pStyle w:val="98"/>
        <w:numPr>
          <w:ilvl w:val="0"/>
          <w:numId w:val="0"/>
        </w:numPr>
        <w:spacing w:line="360" w:lineRule="auto"/>
        <w:ind w:firstLine="562" w:firstLineChars="200"/>
        <w:rPr>
          <w:rFonts w:hint="eastAsia"/>
          <w:b/>
          <w:bCs/>
          <w:sz w:val="28"/>
          <w:szCs w:val="28"/>
        </w:rPr>
      </w:pPr>
      <w:r>
        <w:rPr>
          <w:rFonts w:hint="eastAsia" w:ascii="Times New Roman" w:hAnsi="Times New Roman" w:eastAsia="宋体" w:cs="Times New Roman"/>
          <w:b/>
          <w:bCs/>
          <w:sz w:val="28"/>
          <w:szCs w:val="28"/>
          <w:lang w:val="en-US" w:eastAsia="zh-CN" w:bidi="ar-SA"/>
        </w:rPr>
        <w:t>2、</w:t>
      </w:r>
      <w:r>
        <w:rPr>
          <w:b/>
          <w:bCs/>
          <w:sz w:val="28"/>
          <w:szCs w:val="28"/>
        </w:rPr>
        <w:t>矿石</w:t>
      </w:r>
      <w:bookmarkEnd w:id="166"/>
      <w:bookmarkEnd w:id="167"/>
      <w:bookmarkEnd w:id="168"/>
      <w:bookmarkEnd w:id="169"/>
      <w:bookmarkEnd w:id="170"/>
      <w:bookmarkEnd w:id="171"/>
      <w:r>
        <w:rPr>
          <w:rFonts w:hint="eastAsia"/>
          <w:b/>
          <w:bCs/>
          <w:sz w:val="28"/>
          <w:szCs w:val="28"/>
          <w:lang w:val="en-US" w:eastAsia="zh-CN"/>
        </w:rPr>
        <w:t>质量</w:t>
      </w:r>
    </w:p>
    <w:p w14:paraId="54941288">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bookmarkStart w:id="172" w:name="_Toc98427862"/>
      <w:bookmarkStart w:id="173" w:name="_Toc98427984"/>
      <w:bookmarkStart w:id="174" w:name="_Toc102467995"/>
      <w:r>
        <w:rPr>
          <w:rFonts w:hint="eastAsia"/>
          <w:sz w:val="28"/>
          <w:szCs w:val="28"/>
        </w:rPr>
        <w:t>（1）矿石特征</w:t>
      </w:r>
      <w:bookmarkEnd w:id="172"/>
      <w:bookmarkEnd w:id="173"/>
      <w:bookmarkEnd w:id="174"/>
    </w:p>
    <w:p w14:paraId="5B399B18">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sz w:val="28"/>
          <w:szCs w:val="28"/>
        </w:rPr>
        <w:t>矿区矿石类型单一，矿石自然类型为微（未）风化</w:t>
      </w:r>
      <w:r>
        <w:rPr>
          <w:rFonts w:hint="eastAsia"/>
          <w:sz w:val="28"/>
          <w:szCs w:val="28"/>
        </w:rPr>
        <w:t>玄武</w:t>
      </w:r>
      <w:r>
        <w:rPr>
          <w:sz w:val="28"/>
          <w:szCs w:val="28"/>
        </w:rPr>
        <w:t>岩矿石，</w:t>
      </w:r>
      <w:r>
        <w:rPr>
          <w:rFonts w:hint="eastAsia"/>
          <w:sz w:val="28"/>
          <w:szCs w:val="28"/>
        </w:rPr>
        <w:t>呈黑色，间粒结构，块状构造。</w:t>
      </w:r>
    </w:p>
    <w:p w14:paraId="1FF3F5FA">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sz w:val="28"/>
          <w:szCs w:val="28"/>
        </w:rPr>
        <w:t>矿物成分主要为</w:t>
      </w:r>
      <w:r>
        <w:rPr>
          <w:rFonts w:hint="eastAsia"/>
          <w:sz w:val="28"/>
          <w:szCs w:val="28"/>
        </w:rPr>
        <w:t>拉长石50</w:t>
      </w:r>
      <w:r>
        <w:rPr>
          <w:sz w:val="28"/>
          <w:szCs w:val="28"/>
        </w:rPr>
        <w:t>～</w:t>
      </w:r>
      <w:r>
        <w:rPr>
          <w:rFonts w:hint="eastAsia"/>
          <w:sz w:val="28"/>
          <w:szCs w:val="28"/>
        </w:rPr>
        <w:t>5</w:t>
      </w:r>
      <w:r>
        <w:rPr>
          <w:sz w:val="28"/>
          <w:szCs w:val="28"/>
        </w:rPr>
        <w:t>5%，</w:t>
      </w:r>
      <w:r>
        <w:rPr>
          <w:rFonts w:hint="eastAsia"/>
          <w:sz w:val="28"/>
          <w:szCs w:val="28"/>
        </w:rPr>
        <w:t>单斜辉石38</w:t>
      </w:r>
      <w:r>
        <w:rPr>
          <w:sz w:val="28"/>
          <w:szCs w:val="28"/>
        </w:rPr>
        <w:t>～</w:t>
      </w:r>
      <w:r>
        <w:rPr>
          <w:rFonts w:hint="eastAsia"/>
          <w:sz w:val="28"/>
          <w:szCs w:val="28"/>
        </w:rPr>
        <w:t>44</w:t>
      </w:r>
      <w:r>
        <w:rPr>
          <w:sz w:val="28"/>
          <w:szCs w:val="28"/>
        </w:rPr>
        <w:t>%，</w:t>
      </w:r>
      <w:r>
        <w:rPr>
          <w:rFonts w:hint="eastAsia"/>
          <w:sz w:val="28"/>
          <w:szCs w:val="28"/>
        </w:rPr>
        <w:t>橄榄石2</w:t>
      </w:r>
      <w:r>
        <w:rPr>
          <w:sz w:val="28"/>
          <w:szCs w:val="28"/>
        </w:rPr>
        <w:t>～</w:t>
      </w:r>
      <w:r>
        <w:rPr>
          <w:rFonts w:hint="eastAsia"/>
          <w:sz w:val="28"/>
          <w:szCs w:val="28"/>
        </w:rPr>
        <w:t>4</w:t>
      </w:r>
      <w:r>
        <w:rPr>
          <w:sz w:val="28"/>
          <w:szCs w:val="28"/>
        </w:rPr>
        <w:t>%，</w:t>
      </w:r>
      <w:r>
        <w:rPr>
          <w:rFonts w:hint="eastAsia"/>
          <w:sz w:val="28"/>
          <w:szCs w:val="28"/>
        </w:rPr>
        <w:t>不透明矿物</w:t>
      </w:r>
      <w:r>
        <w:rPr>
          <w:sz w:val="28"/>
          <w:szCs w:val="28"/>
        </w:rPr>
        <w:t>3～</w:t>
      </w:r>
      <w:r>
        <w:rPr>
          <w:rFonts w:hint="eastAsia"/>
          <w:sz w:val="28"/>
          <w:szCs w:val="28"/>
        </w:rPr>
        <w:t>5</w:t>
      </w:r>
      <w:r>
        <w:rPr>
          <w:sz w:val="28"/>
          <w:szCs w:val="28"/>
        </w:rPr>
        <w:t>%、</w:t>
      </w:r>
      <w:r>
        <w:rPr>
          <w:rFonts w:hint="eastAsia"/>
          <w:sz w:val="28"/>
          <w:szCs w:val="28"/>
        </w:rPr>
        <w:t>铁质</w:t>
      </w:r>
      <w:r>
        <w:rPr>
          <w:sz w:val="28"/>
          <w:szCs w:val="28"/>
        </w:rPr>
        <w:t>少量。</w:t>
      </w:r>
    </w:p>
    <w:p w14:paraId="08903BF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rFonts w:hint="eastAsia"/>
          <w:sz w:val="28"/>
          <w:szCs w:val="28"/>
        </w:rPr>
        <w:t>拉长石呈自形长板状或方形粒状均匀分布，长宽比约为20:1，双晶明显，长径0.12-1.80mm，少量可见绿泥石化，均匀无定向分布。</w:t>
      </w:r>
    </w:p>
    <w:p w14:paraId="2D7507A1">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rFonts w:hint="eastAsia"/>
          <w:sz w:val="28"/>
          <w:szCs w:val="28"/>
        </w:rPr>
        <w:t>单斜辉石呈他形柱状或粒状，粒径约0.06-1.50mm，正高突起，均匀分布于拉长石颗粒之间，二级干涉色，斜消光，少量可见绿泥石化，可见辉石不均匀分布在长石颗粒间隙中，构成间粒结构。</w:t>
      </w:r>
    </w:p>
    <w:p w14:paraId="57BF17D0">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rFonts w:hint="eastAsia"/>
          <w:sz w:val="28"/>
          <w:szCs w:val="28"/>
        </w:rPr>
        <w:t>橄榄石呈粒状，大小0.08-0.55mm，无色，正高突起，二级干涉色，少量可见伊丁石化、绿泥石化，不均匀分布。</w:t>
      </w:r>
    </w:p>
    <w:p w14:paraId="59D3E2D2">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rFonts w:hint="eastAsia"/>
          <w:sz w:val="28"/>
          <w:szCs w:val="28"/>
        </w:rPr>
        <w:t>不透明矿物呈他形粒状，粒径0.02-0.32mm，较均匀分布。铁质呈浸染状，不均匀分布。</w:t>
      </w:r>
    </w:p>
    <w:p w14:paraId="3548510D">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bookmarkStart w:id="175" w:name="_Toc102467996"/>
      <w:bookmarkStart w:id="176" w:name="_Toc98427985"/>
      <w:bookmarkStart w:id="177" w:name="_Toc98427863"/>
      <w:r>
        <w:rPr>
          <w:rFonts w:hint="eastAsia"/>
          <w:sz w:val="28"/>
          <w:szCs w:val="28"/>
        </w:rPr>
        <w:t>（2）矿石化学成份</w:t>
      </w:r>
      <w:bookmarkEnd w:id="175"/>
      <w:bookmarkEnd w:id="176"/>
      <w:bookmarkEnd w:id="177"/>
    </w:p>
    <w:p w14:paraId="232CCBB8">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lang w:val="en-US" w:eastAsia="zh-CN"/>
        </w:rPr>
        <w:t>矿区内</w:t>
      </w:r>
      <w:r>
        <w:rPr>
          <w:sz w:val="28"/>
          <w:szCs w:val="28"/>
        </w:rPr>
        <w:t>矿石成份以SiO</w:t>
      </w:r>
      <w:r>
        <w:rPr>
          <w:sz w:val="28"/>
          <w:szCs w:val="28"/>
          <w:vertAlign w:val="subscript"/>
        </w:rPr>
        <w:t>2</w:t>
      </w:r>
      <w:r>
        <w:rPr>
          <w:sz w:val="28"/>
          <w:szCs w:val="28"/>
        </w:rPr>
        <w:t>及Al</w:t>
      </w:r>
      <w:r>
        <w:rPr>
          <w:sz w:val="28"/>
          <w:szCs w:val="28"/>
          <w:vertAlign w:val="subscript"/>
        </w:rPr>
        <w:t>2</w:t>
      </w:r>
      <w:r>
        <w:rPr>
          <w:sz w:val="28"/>
          <w:szCs w:val="28"/>
        </w:rPr>
        <w:t>O</w:t>
      </w:r>
      <w:r>
        <w:rPr>
          <w:sz w:val="28"/>
          <w:szCs w:val="28"/>
          <w:vertAlign w:val="subscript"/>
        </w:rPr>
        <w:t>3</w:t>
      </w:r>
      <w:r>
        <w:rPr>
          <w:sz w:val="28"/>
          <w:szCs w:val="28"/>
        </w:rPr>
        <w:t>为主。矿区岩石硫酸盐及硫化物含量</w:t>
      </w:r>
      <w:r>
        <w:rPr>
          <w:rFonts w:hint="eastAsia"/>
          <w:sz w:val="28"/>
          <w:szCs w:val="28"/>
        </w:rPr>
        <w:t>为0.017%～0.030%，平均0.023%，</w:t>
      </w:r>
      <w:r>
        <w:rPr>
          <w:sz w:val="28"/>
          <w:szCs w:val="28"/>
        </w:rPr>
        <w:t>低于检出限。</w:t>
      </w:r>
    </w:p>
    <w:p w14:paraId="4F1538DD">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（3）矿石饱和抗压强度</w:t>
      </w:r>
    </w:p>
    <w:p w14:paraId="68CBD0FA">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根据</w:t>
      </w:r>
      <w:r>
        <w:rPr>
          <w:rFonts w:hint="eastAsia"/>
          <w:sz w:val="28"/>
          <w:szCs w:val="28"/>
          <w:lang w:val="en-US" w:eastAsia="zh-CN"/>
        </w:rPr>
        <w:t>储量核实报告，</w:t>
      </w:r>
      <w:r>
        <w:rPr>
          <w:rFonts w:hint="eastAsia"/>
          <w:sz w:val="28"/>
          <w:szCs w:val="28"/>
        </w:rPr>
        <w:t>矿体岩石（微风化玄武岩）</w:t>
      </w:r>
      <w:r>
        <w:rPr>
          <w:sz w:val="28"/>
          <w:szCs w:val="28"/>
        </w:rPr>
        <w:t>饱和抗压</w:t>
      </w:r>
      <w:r>
        <w:rPr>
          <w:rFonts w:hint="eastAsia"/>
          <w:sz w:val="28"/>
          <w:szCs w:val="28"/>
        </w:rPr>
        <w:t>强度</w:t>
      </w:r>
      <w:r>
        <w:rPr>
          <w:sz w:val="28"/>
          <w:szCs w:val="28"/>
        </w:rPr>
        <w:t>一般为8</w:t>
      </w:r>
      <w:r>
        <w:rPr>
          <w:rFonts w:hint="eastAsia"/>
          <w:sz w:val="28"/>
          <w:szCs w:val="28"/>
        </w:rPr>
        <w:t>2</w:t>
      </w:r>
      <w:r>
        <w:rPr>
          <w:sz w:val="28"/>
          <w:szCs w:val="28"/>
        </w:rPr>
        <w:t>MPa～</w:t>
      </w:r>
      <w:r>
        <w:rPr>
          <w:rFonts w:hint="eastAsia"/>
          <w:sz w:val="28"/>
          <w:szCs w:val="28"/>
        </w:rPr>
        <w:t>94</w:t>
      </w:r>
      <w:r>
        <w:rPr>
          <w:sz w:val="28"/>
          <w:szCs w:val="28"/>
        </w:rPr>
        <w:t>MPa，平均</w:t>
      </w:r>
      <w:r>
        <w:rPr>
          <w:rFonts w:hint="eastAsia"/>
          <w:sz w:val="28"/>
          <w:szCs w:val="28"/>
        </w:rPr>
        <w:t>值</w:t>
      </w:r>
      <w:r>
        <w:rPr>
          <w:sz w:val="28"/>
          <w:szCs w:val="28"/>
        </w:rPr>
        <w:t>9</w:t>
      </w:r>
      <w:r>
        <w:rPr>
          <w:rFonts w:hint="eastAsia"/>
          <w:sz w:val="28"/>
          <w:szCs w:val="28"/>
        </w:rPr>
        <w:t>0.0</w:t>
      </w:r>
      <w:r>
        <w:rPr>
          <w:sz w:val="28"/>
          <w:szCs w:val="28"/>
        </w:rPr>
        <w:t>MPa，抗压强度变化系数</w:t>
      </w:r>
      <w:r>
        <w:rPr>
          <w:rFonts w:hint="eastAsia"/>
          <w:sz w:val="28"/>
          <w:szCs w:val="28"/>
        </w:rPr>
        <w:t>约</w:t>
      </w:r>
      <w:r>
        <w:rPr>
          <w:sz w:val="28"/>
          <w:szCs w:val="28"/>
        </w:rPr>
        <w:t>为</w:t>
      </w:r>
      <w:r>
        <w:rPr>
          <w:rFonts w:hint="eastAsia"/>
          <w:sz w:val="28"/>
          <w:szCs w:val="28"/>
        </w:rPr>
        <w:t>8</w:t>
      </w:r>
      <w:r>
        <w:rPr>
          <w:sz w:val="28"/>
          <w:szCs w:val="28"/>
        </w:rPr>
        <w:t>.</w:t>
      </w:r>
      <w:r>
        <w:rPr>
          <w:rFonts w:hint="eastAsia"/>
          <w:sz w:val="28"/>
          <w:szCs w:val="28"/>
        </w:rPr>
        <w:t>8</w:t>
      </w:r>
      <w:r>
        <w:rPr>
          <w:sz w:val="28"/>
          <w:szCs w:val="28"/>
        </w:rPr>
        <w:t>%，表明整个拟设矿区</w:t>
      </w:r>
      <w:r>
        <w:rPr>
          <w:rFonts w:hint="eastAsia"/>
          <w:sz w:val="28"/>
          <w:szCs w:val="28"/>
        </w:rPr>
        <w:t>矿体</w:t>
      </w:r>
      <w:r>
        <w:rPr>
          <w:sz w:val="28"/>
          <w:szCs w:val="28"/>
        </w:rPr>
        <w:t>的矿石抗压强度变化不大</w:t>
      </w:r>
      <w:r>
        <w:rPr>
          <w:rFonts w:hint="eastAsia"/>
          <w:sz w:val="28"/>
          <w:szCs w:val="28"/>
        </w:rPr>
        <w:t>，</w:t>
      </w:r>
      <w:r>
        <w:rPr>
          <w:sz w:val="28"/>
          <w:szCs w:val="28"/>
        </w:rPr>
        <w:t>矿石质量</w:t>
      </w:r>
      <w:r>
        <w:rPr>
          <w:rFonts w:hint="eastAsia"/>
          <w:sz w:val="28"/>
          <w:szCs w:val="28"/>
        </w:rPr>
        <w:t>较稳定</w:t>
      </w:r>
      <w:r>
        <w:rPr>
          <w:sz w:val="28"/>
          <w:szCs w:val="28"/>
        </w:rPr>
        <w:t>，符合《建设用卵石、碎石》（GB/T 14685-2011）中的建筑材料要求。</w:t>
      </w:r>
    </w:p>
    <w:p w14:paraId="6453C65F">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bookmarkStart w:id="178" w:name="_Toc438523208"/>
      <w:r>
        <w:rPr>
          <w:rFonts w:hint="eastAsia"/>
          <w:sz w:val="28"/>
          <w:szCs w:val="28"/>
        </w:rPr>
        <w:t>（4）</w:t>
      </w:r>
      <w:r>
        <w:rPr>
          <w:sz w:val="28"/>
          <w:szCs w:val="28"/>
        </w:rPr>
        <w:t>放射性分析</w:t>
      </w:r>
      <w:bookmarkEnd w:id="178"/>
    </w:p>
    <w:p w14:paraId="41BD2A3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根据</w:t>
      </w:r>
      <w:r>
        <w:rPr>
          <w:rFonts w:hint="eastAsia"/>
          <w:sz w:val="28"/>
          <w:szCs w:val="28"/>
          <w:lang w:val="en-US" w:eastAsia="zh-CN"/>
        </w:rPr>
        <w:t>储量核实报告，</w:t>
      </w:r>
      <w:r>
        <w:rPr>
          <w:sz w:val="28"/>
          <w:szCs w:val="28"/>
        </w:rPr>
        <w:t>矿区</w:t>
      </w:r>
      <w:r>
        <w:rPr>
          <w:rFonts w:hint="eastAsia"/>
          <w:sz w:val="28"/>
          <w:szCs w:val="28"/>
        </w:rPr>
        <w:t>内矿石</w:t>
      </w:r>
      <w:r>
        <w:rPr>
          <w:sz w:val="28"/>
          <w:szCs w:val="28"/>
        </w:rPr>
        <w:t>可作为建筑主体材料，并符合A类装修材料放射性要求，其产销与使用范围不受限制。</w:t>
      </w:r>
    </w:p>
    <w:p w14:paraId="26A4434E">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（5）矿石体重</w:t>
      </w:r>
    </w:p>
    <w:p w14:paraId="612977B4">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rFonts w:hint="eastAsia"/>
          <w:sz w:val="28"/>
          <w:szCs w:val="28"/>
        </w:rPr>
        <w:t>根据</w:t>
      </w:r>
      <w:r>
        <w:rPr>
          <w:rFonts w:hint="eastAsia"/>
          <w:sz w:val="28"/>
          <w:szCs w:val="28"/>
          <w:lang w:val="en-US" w:eastAsia="zh-CN"/>
        </w:rPr>
        <w:t>储量核实报告，</w:t>
      </w:r>
      <w:r>
        <w:rPr>
          <w:sz w:val="28"/>
          <w:szCs w:val="28"/>
        </w:rPr>
        <w:t>矿石体重2.</w:t>
      </w:r>
      <w:r>
        <w:rPr>
          <w:rFonts w:hint="eastAsia"/>
          <w:sz w:val="28"/>
          <w:szCs w:val="28"/>
        </w:rPr>
        <w:t>765</w:t>
      </w:r>
      <w:r>
        <w:rPr>
          <w:sz w:val="28"/>
          <w:szCs w:val="28"/>
        </w:rPr>
        <w:t>～2.</w:t>
      </w:r>
      <w:r>
        <w:rPr>
          <w:rFonts w:hint="eastAsia"/>
          <w:sz w:val="28"/>
          <w:szCs w:val="28"/>
        </w:rPr>
        <w:t>868</w:t>
      </w:r>
      <w:r>
        <w:rPr>
          <w:sz w:val="28"/>
          <w:szCs w:val="28"/>
        </w:rPr>
        <w:t>g/cm</w:t>
      </w:r>
      <w:r>
        <w:rPr>
          <w:sz w:val="28"/>
          <w:szCs w:val="28"/>
          <w:vertAlign w:val="superscript"/>
        </w:rPr>
        <w:t>3</w:t>
      </w:r>
      <w:r>
        <w:rPr>
          <w:sz w:val="28"/>
          <w:szCs w:val="28"/>
        </w:rPr>
        <w:t>，平均2.</w:t>
      </w:r>
      <w:r>
        <w:rPr>
          <w:rFonts w:hint="eastAsia"/>
          <w:sz w:val="28"/>
          <w:szCs w:val="28"/>
        </w:rPr>
        <w:t>82</w:t>
      </w:r>
      <w:r>
        <w:rPr>
          <w:sz w:val="28"/>
          <w:szCs w:val="28"/>
        </w:rPr>
        <w:t>g/cm</w:t>
      </w:r>
      <w:r>
        <w:rPr>
          <w:sz w:val="28"/>
          <w:szCs w:val="28"/>
          <w:vertAlign w:val="superscript"/>
        </w:rPr>
        <w:t>3</w:t>
      </w:r>
      <w:r>
        <w:rPr>
          <w:sz w:val="28"/>
          <w:szCs w:val="28"/>
        </w:rPr>
        <w:t>。</w:t>
      </w:r>
    </w:p>
    <w:p w14:paraId="7E8E7673">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（6）矿石压碎指标</w:t>
      </w:r>
    </w:p>
    <w:p w14:paraId="56B614D4">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sz w:val="28"/>
          <w:szCs w:val="28"/>
        </w:rPr>
        <w:t>矿石破碎成碎石的压碎指标平均值为</w:t>
      </w:r>
      <w:r>
        <w:rPr>
          <w:rFonts w:hint="eastAsia"/>
          <w:sz w:val="28"/>
          <w:szCs w:val="28"/>
        </w:rPr>
        <w:t>8</w:t>
      </w:r>
      <w:r>
        <w:rPr>
          <w:sz w:val="28"/>
          <w:szCs w:val="28"/>
        </w:rPr>
        <w:t>%。按《建设用卵石、碎石》（GB/T14685-2011）标准，矿石压碎指标达到</w:t>
      </w:r>
      <w:r>
        <w:rPr>
          <w:rFonts w:hint="eastAsia"/>
          <w:sz w:val="28"/>
          <w:szCs w:val="28"/>
        </w:rPr>
        <w:t>Ⅰ</w:t>
      </w:r>
      <w:r>
        <w:rPr>
          <w:sz w:val="28"/>
          <w:szCs w:val="28"/>
        </w:rPr>
        <w:t>类碎石压碎指标要求（≤10%），属</w:t>
      </w:r>
      <w:r>
        <w:rPr>
          <w:rFonts w:hint="eastAsia"/>
          <w:sz w:val="28"/>
          <w:szCs w:val="28"/>
        </w:rPr>
        <w:t>Ⅰ</w:t>
      </w:r>
      <w:r>
        <w:rPr>
          <w:sz w:val="28"/>
          <w:szCs w:val="28"/>
        </w:rPr>
        <w:t>类建筑用碎石料。</w:t>
      </w:r>
    </w:p>
    <w:p w14:paraId="095BA388">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（7）碱活性分析</w:t>
      </w:r>
    </w:p>
    <w:p w14:paraId="1FFFBBDA">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根据</w:t>
      </w:r>
      <w:r>
        <w:rPr>
          <w:rFonts w:hint="eastAsia"/>
          <w:sz w:val="28"/>
          <w:szCs w:val="28"/>
          <w:lang w:val="en-US" w:eastAsia="zh-CN"/>
        </w:rPr>
        <w:t>储量核实报告，</w:t>
      </w:r>
      <w:r>
        <w:rPr>
          <w:rFonts w:hint="eastAsia"/>
          <w:sz w:val="28"/>
          <w:szCs w:val="28"/>
        </w:rPr>
        <w:t>综合判断岩石为非碱活性。</w:t>
      </w:r>
    </w:p>
    <w:p w14:paraId="76168B0E">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（8）矿石坚固性指标</w:t>
      </w:r>
    </w:p>
    <w:p w14:paraId="69E88232">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rFonts w:hint="eastAsia"/>
          <w:sz w:val="28"/>
          <w:szCs w:val="28"/>
        </w:rPr>
      </w:pPr>
      <w:r>
        <w:rPr>
          <w:rFonts w:hint="eastAsia"/>
          <w:sz w:val="28"/>
          <w:szCs w:val="28"/>
        </w:rPr>
        <w:t>矿石破碎成16</w:t>
      </w:r>
      <w:r>
        <w:rPr>
          <w:sz w:val="28"/>
          <w:szCs w:val="28"/>
        </w:rPr>
        <w:t>～</w:t>
      </w:r>
      <w:r>
        <w:rPr>
          <w:rFonts w:hint="eastAsia"/>
          <w:sz w:val="28"/>
          <w:szCs w:val="28"/>
        </w:rPr>
        <w:t>31.5mm规格大小的碎石样品，通过实验测试，其</w:t>
      </w:r>
      <w:r>
        <w:rPr>
          <w:sz w:val="28"/>
          <w:szCs w:val="28"/>
        </w:rPr>
        <w:t>指标平均值为</w:t>
      </w:r>
      <w:r>
        <w:rPr>
          <w:rFonts w:hint="eastAsia"/>
          <w:sz w:val="28"/>
          <w:szCs w:val="28"/>
        </w:rPr>
        <w:t>2</w:t>
      </w:r>
      <w:r>
        <w:rPr>
          <w:sz w:val="28"/>
          <w:szCs w:val="28"/>
        </w:rPr>
        <w:t>%</w:t>
      </w:r>
      <w:r>
        <w:rPr>
          <w:rFonts w:hint="eastAsia"/>
          <w:sz w:val="28"/>
          <w:szCs w:val="28"/>
        </w:rPr>
        <w:t>，符合≤5（Ⅰ类）的坚固性指标。</w:t>
      </w:r>
    </w:p>
    <w:p w14:paraId="7CA4A7E9">
      <w:pPr>
        <w:pStyle w:val="98"/>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 xml:space="preserve">（9）表观密度 </w:t>
      </w:r>
    </w:p>
    <w:p w14:paraId="5F24C17B">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sz w:val="28"/>
          <w:szCs w:val="28"/>
        </w:rPr>
        <w:t>表观密度：矿区</w:t>
      </w:r>
      <w:r>
        <w:rPr>
          <w:rFonts w:hint="eastAsia"/>
          <w:sz w:val="28"/>
          <w:szCs w:val="28"/>
        </w:rPr>
        <w:t>内矿石</w:t>
      </w:r>
      <w:r>
        <w:rPr>
          <w:sz w:val="28"/>
          <w:szCs w:val="28"/>
        </w:rPr>
        <w:t>测试结果在2860～2880</w:t>
      </w:r>
      <w:r>
        <w:rPr>
          <w:rFonts w:hint="eastAsia"/>
          <w:sz w:val="28"/>
          <w:szCs w:val="28"/>
        </w:rPr>
        <w:t xml:space="preserve"> </w:t>
      </w:r>
      <w:r>
        <w:rPr>
          <w:sz w:val="28"/>
          <w:szCs w:val="28"/>
        </w:rPr>
        <w:t>kg/m</w:t>
      </w:r>
      <w:r>
        <w:rPr>
          <w:sz w:val="28"/>
          <w:szCs w:val="28"/>
          <w:vertAlign w:val="superscript"/>
        </w:rPr>
        <w:t>3</w:t>
      </w:r>
      <w:r>
        <w:rPr>
          <w:sz w:val="28"/>
          <w:szCs w:val="28"/>
        </w:rPr>
        <w:t>之间，满足工业指标大于2600 kg/m</w:t>
      </w:r>
      <w:r>
        <w:rPr>
          <w:sz w:val="28"/>
          <w:szCs w:val="28"/>
          <w:vertAlign w:val="superscript"/>
        </w:rPr>
        <w:t>3</w:t>
      </w:r>
      <w:r>
        <w:rPr>
          <w:sz w:val="28"/>
          <w:szCs w:val="28"/>
        </w:rPr>
        <w:t>（</w:t>
      </w:r>
      <w:r>
        <w:rPr>
          <w:rFonts w:hint="eastAsia"/>
          <w:sz w:val="28"/>
          <w:szCs w:val="28"/>
        </w:rPr>
        <w:t>Ⅰ类</w:t>
      </w:r>
      <w:r>
        <w:rPr>
          <w:sz w:val="28"/>
          <w:szCs w:val="28"/>
        </w:rPr>
        <w:t>）的要求。</w:t>
      </w:r>
    </w:p>
    <w:p w14:paraId="2EE9887A">
      <w:pPr>
        <w:pStyle w:val="98"/>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（10）矿石其它主要物性指标</w:t>
      </w:r>
    </w:p>
    <w:p w14:paraId="54CEB6CE">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outlineLvl w:val="9"/>
        <w:rPr>
          <w:sz w:val="28"/>
          <w:szCs w:val="28"/>
        </w:rPr>
      </w:pPr>
      <w:r>
        <w:rPr>
          <w:rFonts w:hint="eastAsia"/>
          <w:sz w:val="28"/>
          <w:szCs w:val="28"/>
        </w:rPr>
        <w:t>采集矿石破碎后的碎石进行表观密度、吸水率、针片状颗粒含量等物理性能分析，实验测试结果表明矿石符合相关技术指标要求。</w:t>
      </w:r>
    </w:p>
    <w:p w14:paraId="40238BFB">
      <w:pPr>
        <w:pStyle w:val="98"/>
        <w:keepNext w:val="0"/>
        <w:keepLines w:val="0"/>
        <w:pageBreakBefore w:val="0"/>
        <w:widowControl w:val="0"/>
        <w:kinsoku/>
        <w:wordWrap/>
        <w:overflowPunct/>
        <w:topLinePunct w:val="0"/>
        <w:autoSpaceDE/>
        <w:autoSpaceDN/>
        <w:bidi w:val="0"/>
        <w:adjustRightInd/>
        <w:snapToGrid/>
        <w:spacing w:line="360" w:lineRule="auto"/>
        <w:ind w:firstLine="480"/>
        <w:rPr>
          <w:rFonts w:hint="eastAsia"/>
          <w:b/>
          <w:bCs/>
          <w:sz w:val="28"/>
          <w:szCs w:val="28"/>
        </w:rPr>
      </w:pPr>
      <w:r>
        <w:rPr>
          <w:b/>
          <w:bCs/>
          <w:sz w:val="28"/>
          <w:szCs w:val="28"/>
        </w:rPr>
        <w:t>3、</w:t>
      </w:r>
      <w:r>
        <w:rPr>
          <w:rFonts w:hint="eastAsia"/>
          <w:b/>
          <w:bCs/>
          <w:sz w:val="28"/>
          <w:szCs w:val="28"/>
        </w:rPr>
        <w:t>覆盖层、风化层的分布特征</w:t>
      </w:r>
    </w:p>
    <w:p w14:paraId="5756D574">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bookmarkStart w:id="179" w:name="_Toc102467999"/>
      <w:bookmarkStart w:id="180" w:name="_Toc98427988"/>
      <w:bookmarkStart w:id="181" w:name="_Toc98427866"/>
      <w:bookmarkStart w:id="182" w:name="_Toc6926"/>
      <w:bookmarkStart w:id="183" w:name="_Toc512523898"/>
      <w:bookmarkStart w:id="184" w:name="_Toc516652797"/>
      <w:bookmarkStart w:id="185" w:name="_Toc509500170"/>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 xml:space="preserve"> 残坡积层</w:t>
      </w:r>
      <w:bookmarkEnd w:id="179"/>
      <w:bookmarkEnd w:id="180"/>
      <w:bookmarkEnd w:id="181"/>
    </w:p>
    <w:p w14:paraId="7A49A0AF">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r>
        <w:rPr>
          <w:rFonts w:hint="eastAsia"/>
          <w:sz w:val="28"/>
          <w:szCs w:val="28"/>
        </w:rPr>
        <w:t>残坡积层分布于地表，主要为粘土、粉质粘土，含少量砂砾和植物根茎，松散土状结构，工程物理力学性质较差，遇水易软化崩解，稳固性差。厚度</w:t>
      </w:r>
      <w:r>
        <w:rPr>
          <w:sz w:val="28"/>
          <w:szCs w:val="28"/>
        </w:rPr>
        <w:t>0.</w:t>
      </w:r>
      <w:r>
        <w:rPr>
          <w:rFonts w:hint="eastAsia"/>
          <w:sz w:val="28"/>
          <w:szCs w:val="28"/>
        </w:rPr>
        <w:t>2～2</w:t>
      </w:r>
      <w:r>
        <w:rPr>
          <w:sz w:val="28"/>
          <w:szCs w:val="28"/>
        </w:rPr>
        <w:t>.</w:t>
      </w:r>
      <w:r>
        <w:rPr>
          <w:rFonts w:hint="eastAsia"/>
          <w:sz w:val="28"/>
          <w:szCs w:val="28"/>
        </w:rPr>
        <w:t>5</w:t>
      </w:r>
      <w:r>
        <w:rPr>
          <w:sz w:val="28"/>
          <w:szCs w:val="28"/>
        </w:rPr>
        <w:t>m</w:t>
      </w:r>
      <w:r>
        <w:rPr>
          <w:rFonts w:hint="eastAsia"/>
          <w:sz w:val="28"/>
          <w:szCs w:val="28"/>
        </w:rPr>
        <w:t>，平均1.1m。该层作为矿山闭坑后复绿用土。</w:t>
      </w:r>
    </w:p>
    <w:p w14:paraId="1B1A8A18">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bookmarkStart w:id="186" w:name="_Toc98427867"/>
      <w:bookmarkStart w:id="187" w:name="_Toc102468000"/>
      <w:bookmarkStart w:id="188" w:name="_Toc98427989"/>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全风化玄武岩层</w:t>
      </w:r>
      <w:bookmarkEnd w:id="186"/>
      <w:bookmarkEnd w:id="187"/>
      <w:bookmarkEnd w:id="188"/>
    </w:p>
    <w:p w14:paraId="3BA04FB0">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r>
        <w:rPr>
          <w:rFonts w:hint="eastAsia"/>
          <w:sz w:val="28"/>
          <w:szCs w:val="28"/>
        </w:rPr>
        <w:t>全风化玄武岩分布大部分区域，上覆为残坡积层。该层岩石风化强烈，原岩结构不清晰，据钻孔揭露，厚度0.50～3.40</w:t>
      </w:r>
      <w:r>
        <w:rPr>
          <w:sz w:val="28"/>
          <w:szCs w:val="28"/>
        </w:rPr>
        <w:t>m</w:t>
      </w:r>
      <w:r>
        <w:rPr>
          <w:rFonts w:hint="eastAsia"/>
          <w:sz w:val="28"/>
          <w:szCs w:val="28"/>
        </w:rPr>
        <w:t>，平均1.60</w:t>
      </w:r>
      <w:r>
        <w:rPr>
          <w:sz w:val="28"/>
          <w:szCs w:val="28"/>
        </w:rPr>
        <w:t>m</w:t>
      </w:r>
      <w:r>
        <w:rPr>
          <w:rFonts w:hint="eastAsia"/>
          <w:sz w:val="28"/>
          <w:szCs w:val="28"/>
        </w:rPr>
        <w:t>，厚度变化表现为拟设矿区北部较厚，而拟设矿区中部、南部较薄。该层结构松散，遇水易软化崩解，工程物理力学性质差。</w:t>
      </w:r>
    </w:p>
    <w:p w14:paraId="281E10E5">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bookmarkStart w:id="189" w:name="_Toc102468001"/>
      <w:bookmarkStart w:id="190" w:name="_Toc98427868"/>
      <w:bookmarkStart w:id="191" w:name="_Toc98427990"/>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中风化玄武岩层</w:t>
      </w:r>
      <w:bookmarkEnd w:id="189"/>
      <w:bookmarkEnd w:id="190"/>
      <w:bookmarkEnd w:id="191"/>
    </w:p>
    <w:p w14:paraId="34CC5D67">
      <w:pPr>
        <w:keepNext w:val="0"/>
        <w:keepLines w:val="0"/>
        <w:pageBreakBefore w:val="0"/>
        <w:widowControl w:val="0"/>
        <w:kinsoku/>
        <w:wordWrap/>
        <w:overflowPunct/>
        <w:topLinePunct w:val="0"/>
        <w:autoSpaceDE/>
        <w:autoSpaceDN/>
        <w:bidi w:val="0"/>
        <w:adjustRightInd/>
        <w:snapToGrid/>
        <w:spacing w:line="360" w:lineRule="auto"/>
        <w:rPr>
          <w:rFonts w:hint="eastAsia"/>
          <w:sz w:val="28"/>
          <w:szCs w:val="28"/>
        </w:rPr>
      </w:pPr>
      <w:r>
        <w:rPr>
          <w:rFonts w:hint="eastAsia"/>
          <w:sz w:val="28"/>
          <w:szCs w:val="28"/>
        </w:rPr>
        <w:t>中风化玄武岩分布于全区，与上覆全风化岩呈渐变过渡关系。其岩性为玄武岩，主要矿物成分为拉长石、单斜辉石、橄榄石、不透明矿物和少量铁质等。岩心多呈碎块～短柱状，属较软～半坚硬岩石。据钻孔揭露该层厚度厚1.00～6.80</w:t>
      </w:r>
      <w:r>
        <w:rPr>
          <w:sz w:val="28"/>
          <w:szCs w:val="28"/>
        </w:rPr>
        <w:t>m</w:t>
      </w:r>
      <w:r>
        <w:rPr>
          <w:rFonts w:hint="eastAsia"/>
          <w:sz w:val="28"/>
          <w:szCs w:val="28"/>
        </w:rPr>
        <w:t>，平均3.60</w:t>
      </w:r>
      <w:r>
        <w:rPr>
          <w:sz w:val="28"/>
          <w:szCs w:val="28"/>
        </w:rPr>
        <w:t>m</w:t>
      </w:r>
      <w:r>
        <w:rPr>
          <w:rFonts w:hint="eastAsia"/>
          <w:sz w:val="28"/>
          <w:szCs w:val="28"/>
        </w:rPr>
        <w:t>。经在中风化层采集15个饱和抗压强度样品测试结果显示，中风化玄武岩抗压强度</w:t>
      </w:r>
      <w:r>
        <w:rPr>
          <w:rFonts w:hint="eastAsia"/>
          <w:snapToGrid w:val="0"/>
          <w:sz w:val="28"/>
          <w:szCs w:val="28"/>
        </w:rPr>
        <w:t>最大值61.6 MPa，最小值19.1 MPa，平均41.3 M</w:t>
      </w:r>
      <w:r>
        <w:rPr>
          <w:snapToGrid w:val="0"/>
          <w:sz w:val="28"/>
          <w:szCs w:val="28"/>
        </w:rPr>
        <w:t>p</w:t>
      </w:r>
      <w:r>
        <w:rPr>
          <w:rFonts w:hint="eastAsia"/>
          <w:snapToGrid w:val="0"/>
          <w:sz w:val="28"/>
          <w:szCs w:val="28"/>
        </w:rPr>
        <w:t>a</w:t>
      </w:r>
      <w:r>
        <w:rPr>
          <w:rFonts w:hint="eastAsia"/>
          <w:sz w:val="28"/>
          <w:szCs w:val="28"/>
        </w:rPr>
        <w:t>。</w:t>
      </w:r>
    </w:p>
    <w:p w14:paraId="12B512FB">
      <w:pPr>
        <w:pStyle w:val="98"/>
        <w:keepNext w:val="0"/>
        <w:keepLines w:val="0"/>
        <w:pageBreakBefore w:val="0"/>
        <w:widowControl w:val="0"/>
        <w:kinsoku/>
        <w:wordWrap/>
        <w:overflowPunct/>
        <w:topLinePunct w:val="0"/>
        <w:autoSpaceDE/>
        <w:autoSpaceDN/>
        <w:bidi w:val="0"/>
        <w:adjustRightInd/>
        <w:snapToGrid/>
        <w:spacing w:line="360" w:lineRule="auto"/>
        <w:ind w:firstLine="480"/>
        <w:rPr>
          <w:rFonts w:hint="eastAsia"/>
          <w:b/>
          <w:bCs/>
          <w:sz w:val="28"/>
          <w:szCs w:val="28"/>
        </w:rPr>
      </w:pPr>
      <w:r>
        <w:rPr>
          <w:rFonts w:hint="eastAsia"/>
          <w:b/>
          <w:bCs/>
          <w:sz w:val="28"/>
          <w:szCs w:val="28"/>
          <w:lang w:val="en-US" w:eastAsia="zh-CN"/>
        </w:rPr>
        <w:t>4、</w:t>
      </w:r>
      <w:r>
        <w:rPr>
          <w:rFonts w:hint="eastAsia"/>
          <w:b/>
          <w:bCs/>
          <w:sz w:val="28"/>
          <w:szCs w:val="28"/>
        </w:rPr>
        <w:t>矿体围岩及夹石特征</w:t>
      </w:r>
    </w:p>
    <w:p w14:paraId="6C7CA2DF">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bookmarkStart w:id="192" w:name="_Toc98427870"/>
      <w:bookmarkStart w:id="193" w:name="_Toc102468003"/>
      <w:bookmarkStart w:id="194" w:name="_Toc98427992"/>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围岩特征</w:t>
      </w:r>
      <w:bookmarkEnd w:id="192"/>
      <w:bookmarkEnd w:id="193"/>
      <w:bookmarkEnd w:id="194"/>
    </w:p>
    <w:p w14:paraId="24C21501">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u w:val="thick" w:color="FF0000"/>
        </w:rPr>
      </w:pPr>
      <w:r>
        <w:rPr>
          <w:sz w:val="28"/>
          <w:szCs w:val="28"/>
        </w:rPr>
        <w:t>拟设矿区最低开采标高30m</w:t>
      </w:r>
      <w:r>
        <w:rPr>
          <w:rFonts w:hint="eastAsia"/>
          <w:sz w:val="28"/>
          <w:szCs w:val="28"/>
        </w:rPr>
        <w:t>，钻孔工程揭露表明，矿体上部由残坡积层和全～中风化玄武岩所覆盖，覆盖层厚2.00～10.80</w:t>
      </w:r>
      <w:r>
        <w:rPr>
          <w:sz w:val="28"/>
          <w:szCs w:val="28"/>
        </w:rPr>
        <w:t>m</w:t>
      </w:r>
      <w:r>
        <w:rPr>
          <w:rFonts w:hint="eastAsia"/>
          <w:sz w:val="28"/>
          <w:szCs w:val="28"/>
        </w:rPr>
        <w:t>，平均5.30</w:t>
      </w:r>
      <w:r>
        <w:rPr>
          <w:sz w:val="28"/>
          <w:szCs w:val="28"/>
        </w:rPr>
        <w:t>m</w:t>
      </w:r>
      <w:r>
        <w:rPr>
          <w:rFonts w:hint="eastAsia"/>
          <w:sz w:val="28"/>
          <w:szCs w:val="28"/>
        </w:rPr>
        <w:t>，厚度分布不均，因此矿体上部围岩为全～中风化玄武岩；矿体下部围岩为</w:t>
      </w:r>
      <w:r>
        <w:rPr>
          <w:rFonts w:hint="eastAsia" w:hAnsi="宋体"/>
          <w:sz w:val="28"/>
          <w:szCs w:val="28"/>
        </w:rPr>
        <w:t>玄武质凝灰岩</w:t>
      </w:r>
      <w:r>
        <w:rPr>
          <w:rFonts w:hint="eastAsia"/>
          <w:sz w:val="28"/>
          <w:szCs w:val="28"/>
        </w:rPr>
        <w:t>；在平面上圈定的矿体边界往外的围岩为微（未）风化玄武岩。</w:t>
      </w:r>
    </w:p>
    <w:p w14:paraId="4BA24FE6">
      <w:pPr>
        <w:keepNext w:val="0"/>
        <w:keepLines w:val="0"/>
        <w:pageBreakBefore w:val="0"/>
        <w:widowControl w:val="0"/>
        <w:kinsoku/>
        <w:wordWrap/>
        <w:overflowPunct/>
        <w:topLinePunct w:val="0"/>
        <w:autoSpaceDE/>
        <w:autoSpaceDN/>
        <w:bidi w:val="0"/>
        <w:adjustRightInd/>
        <w:snapToGrid/>
        <w:spacing w:line="360" w:lineRule="auto"/>
        <w:ind w:firstLine="480"/>
        <w:rPr>
          <w:sz w:val="28"/>
          <w:szCs w:val="28"/>
        </w:rPr>
      </w:pPr>
      <w:bookmarkStart w:id="195" w:name="_Toc102468004"/>
      <w:bookmarkStart w:id="196" w:name="_Toc98427993"/>
      <w:bookmarkStart w:id="197" w:name="_Toc98427871"/>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夹石特征</w:t>
      </w:r>
      <w:bookmarkEnd w:id="195"/>
      <w:bookmarkEnd w:id="196"/>
      <w:bookmarkEnd w:id="197"/>
    </w:p>
    <w:p w14:paraId="72235ED5">
      <w:pPr>
        <w:pStyle w:val="2"/>
        <w:keepNext w:val="0"/>
        <w:keepLines w:val="0"/>
        <w:pageBreakBefore w:val="0"/>
        <w:widowControl w:val="0"/>
        <w:kinsoku/>
        <w:wordWrap/>
        <w:overflowPunct/>
        <w:topLinePunct w:val="0"/>
        <w:autoSpaceDE/>
        <w:autoSpaceDN/>
        <w:bidi w:val="0"/>
        <w:adjustRightInd/>
        <w:snapToGrid/>
        <w:spacing w:beforeLines="0" w:afterLines="0" w:line="360" w:lineRule="auto"/>
        <w:rPr>
          <w:sz w:val="28"/>
          <w:szCs w:val="28"/>
        </w:rPr>
      </w:pPr>
      <w:r>
        <w:rPr>
          <w:rFonts w:hint="eastAsia"/>
          <w:sz w:val="28"/>
          <w:szCs w:val="28"/>
        </w:rPr>
        <w:t>通过钻探工程表明，已控制的矿体内部位岩石由于受构造作用影响，节理、裂隙较为发育，表现为岩石碎裂为碎块状，当其厚度大于夹石剔除厚度时，予以剔除。夹石成分主要为中风化玄武岩及</w:t>
      </w:r>
      <w:r>
        <w:rPr>
          <w:sz w:val="28"/>
          <w:szCs w:val="28"/>
        </w:rPr>
        <w:t>饱和单轴抗压强度</w:t>
      </w:r>
      <w:r>
        <w:rPr>
          <w:rFonts w:hint="eastAsia"/>
          <w:sz w:val="28"/>
          <w:szCs w:val="28"/>
        </w:rPr>
        <w:t>&lt;80</w:t>
      </w:r>
      <w:r>
        <w:rPr>
          <w:sz w:val="28"/>
          <w:szCs w:val="28"/>
        </w:rPr>
        <w:t>MPa</w:t>
      </w:r>
      <w:r>
        <w:rPr>
          <w:rFonts w:hint="eastAsia"/>
          <w:sz w:val="28"/>
          <w:szCs w:val="28"/>
        </w:rPr>
        <w:t>的微风化玄武岩。主要分布于矿区南北两侧，埋深8～15m，厚度1～7m，平均厚度5m。</w:t>
      </w:r>
    </w:p>
    <w:p w14:paraId="1F2817BB">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（八）不良地质现象</w:t>
      </w:r>
    </w:p>
    <w:p w14:paraId="6F77130C">
      <w:pPr>
        <w:spacing w:line="360" w:lineRule="auto"/>
        <w:ind w:firstLine="480"/>
        <w:rPr>
          <w:rFonts w:hAnsi="宋体"/>
          <w:bCs/>
          <w:sz w:val="28"/>
          <w:szCs w:val="28"/>
        </w:rPr>
      </w:pPr>
      <w:r>
        <w:rPr>
          <w:rFonts w:hint="eastAsia" w:hAnsi="宋体"/>
          <w:bCs/>
          <w:sz w:val="28"/>
          <w:szCs w:val="28"/>
        </w:rPr>
        <w:t>矿区及附近现状地质灾害不发育，未见地质灾害现象。</w:t>
      </w:r>
    </w:p>
    <w:bookmarkEnd w:id="182"/>
    <w:bookmarkEnd w:id="183"/>
    <w:bookmarkEnd w:id="184"/>
    <w:bookmarkEnd w:id="185"/>
    <w:p w14:paraId="3D17CEB7">
      <w:pPr>
        <w:pStyle w:val="5"/>
        <w:spacing w:before="263" w:after="263"/>
        <w:rPr>
          <w:rFonts w:hint="eastAsia" w:ascii="宋体" w:hAnsi="宋体" w:eastAsia="宋体" w:cs="宋体"/>
          <w:b/>
          <w:bCs w:val="0"/>
        </w:rPr>
      </w:pPr>
      <w:bookmarkStart w:id="198" w:name="_Toc502684777"/>
      <w:bookmarkStart w:id="199" w:name="_Toc46047440"/>
      <w:bookmarkStart w:id="200" w:name="_Toc7799_WPSOffice_Level2"/>
      <w:bookmarkStart w:id="201" w:name="_Toc509345110"/>
      <w:bookmarkStart w:id="202" w:name="_Toc502047613"/>
      <w:bookmarkStart w:id="203" w:name="_Toc5302_WPSOffice_Level2"/>
      <w:bookmarkStart w:id="204" w:name="_Toc502063938"/>
      <w:bookmarkStart w:id="205" w:name="_Toc509344822"/>
      <w:bookmarkStart w:id="206" w:name="_Toc2389_WPSOffice_Level2"/>
      <w:bookmarkStart w:id="207" w:name="_Toc502045774"/>
      <w:bookmarkStart w:id="208" w:name="_Toc502045000"/>
      <w:bookmarkStart w:id="209" w:name="_Toc514858661"/>
      <w:bookmarkStart w:id="210" w:name="_Toc510594063"/>
      <w:bookmarkStart w:id="211" w:name="_Toc509345006"/>
      <w:bookmarkStart w:id="212" w:name="_Toc502047817"/>
      <w:bookmarkStart w:id="213" w:name="_Toc4960"/>
      <w:r>
        <w:rPr>
          <w:rFonts w:hint="eastAsia" w:ascii="宋体" w:hAnsi="宋体" w:eastAsia="宋体" w:cs="宋体"/>
          <w:b/>
          <w:bCs w:val="0"/>
        </w:rPr>
        <w:t>四、矿区土地利用现状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Fonts w:hint="eastAsia" w:ascii="宋体" w:hAnsi="宋体" w:eastAsia="宋体" w:cs="宋体"/>
          <w:b/>
          <w:bCs w:val="0"/>
        </w:rPr>
        <w:t>及采矿用地审批情况</w:t>
      </w:r>
      <w:bookmarkEnd w:id="213"/>
    </w:p>
    <w:p w14:paraId="556205B1">
      <w:pPr>
        <w:spacing w:line="360" w:lineRule="auto"/>
        <w:contextualSpacing/>
        <w:rPr>
          <w:sz w:val="28"/>
          <w:szCs w:val="28"/>
          <w:highlight w:val="none"/>
          <w:lang w:val="zh-CN"/>
        </w:rPr>
      </w:pPr>
      <w:bookmarkStart w:id="214" w:name="_Toc502063939"/>
      <w:bookmarkStart w:id="215" w:name="_Toc502045001"/>
      <w:bookmarkStart w:id="216" w:name="_Toc502684778"/>
      <w:bookmarkStart w:id="217" w:name="_Toc502047818"/>
      <w:bookmarkStart w:id="218" w:name="_Toc502047614"/>
      <w:bookmarkStart w:id="219" w:name="_Toc502045775"/>
      <w:bookmarkStart w:id="220" w:name="_Toc514858662"/>
      <w:bookmarkStart w:id="221" w:name="_Toc8646_WPSOffice_Level2"/>
      <w:bookmarkStart w:id="222" w:name="_Toc509345007"/>
      <w:bookmarkStart w:id="223" w:name="_Toc30040_WPSOffice_Level2"/>
      <w:bookmarkStart w:id="224" w:name="_Toc509345111"/>
      <w:bookmarkStart w:id="225" w:name="_Toc510594064"/>
      <w:bookmarkStart w:id="226" w:name="_Toc509344823"/>
      <w:bookmarkStart w:id="227" w:name="_Toc9441_WPSOffice_Level2"/>
      <w:bookmarkStart w:id="228" w:name="_Toc46047441"/>
      <w:r>
        <w:rPr>
          <w:sz w:val="28"/>
          <w:szCs w:val="28"/>
          <w:highlight w:val="none"/>
          <w:lang w:val="zh-CN"/>
        </w:rPr>
        <w:t>本方案根据</w:t>
      </w:r>
      <w:r>
        <w:rPr>
          <w:rFonts w:hint="eastAsia"/>
          <w:sz w:val="28"/>
          <w:szCs w:val="28"/>
          <w:highlight w:val="none"/>
          <w:lang w:val="en-US" w:eastAsia="zh-CN"/>
        </w:rPr>
        <w:t>徐闻县</w:t>
      </w:r>
      <w:r>
        <w:rPr>
          <w:rFonts w:hint="eastAsia"/>
          <w:sz w:val="28"/>
          <w:szCs w:val="28"/>
          <w:highlight w:val="none"/>
          <w:lang w:val="zh-CN"/>
        </w:rPr>
        <w:t>202</w:t>
      </w:r>
      <w:r>
        <w:rPr>
          <w:rFonts w:hint="eastAsia"/>
          <w:sz w:val="28"/>
          <w:szCs w:val="28"/>
          <w:highlight w:val="none"/>
        </w:rPr>
        <w:t>4</w:t>
      </w:r>
      <w:r>
        <w:rPr>
          <w:rFonts w:hint="eastAsia"/>
          <w:sz w:val="28"/>
          <w:szCs w:val="28"/>
          <w:highlight w:val="none"/>
          <w:lang w:val="zh-CN"/>
        </w:rPr>
        <w:t>年度国土变更调查数据（</w:t>
      </w:r>
      <w:r>
        <w:rPr>
          <w:rFonts w:hint="eastAsia"/>
          <w:sz w:val="28"/>
          <w:szCs w:val="28"/>
          <w:highlight w:val="none"/>
          <w:lang w:val="en-US" w:eastAsia="zh-CN"/>
        </w:rPr>
        <w:t>局部</w:t>
      </w:r>
      <w:r>
        <w:rPr>
          <w:rFonts w:hint="eastAsia"/>
          <w:sz w:val="28"/>
          <w:szCs w:val="28"/>
          <w:highlight w:val="none"/>
          <w:lang w:val="zh-CN"/>
        </w:rPr>
        <w:t>）</w:t>
      </w:r>
      <w:r>
        <w:rPr>
          <w:sz w:val="28"/>
          <w:szCs w:val="28"/>
          <w:highlight w:val="none"/>
          <w:lang w:val="zh-CN"/>
        </w:rPr>
        <w:t>，并结合项目实地踏勘的情况，编制了</w:t>
      </w:r>
      <w:r>
        <w:rPr>
          <w:rFonts w:hint="eastAsia"/>
          <w:b w:val="0"/>
          <w:bCs/>
          <w:sz w:val="28"/>
          <w:szCs w:val="28"/>
          <w:highlight w:val="none"/>
          <w:lang w:val="en-US" w:eastAsia="zh-CN"/>
        </w:rPr>
        <w:t>广东省徐闻县城北乡迈报（西山坑）矿区建筑用玄武岩矿</w:t>
      </w:r>
      <w:r>
        <w:rPr>
          <w:sz w:val="28"/>
          <w:szCs w:val="28"/>
          <w:highlight w:val="none"/>
          <w:lang w:val="zh-CN"/>
        </w:rPr>
        <w:t>土地利用现状图（见附图</w:t>
      </w:r>
      <w:r>
        <w:rPr>
          <w:rFonts w:hint="eastAsia"/>
          <w:sz w:val="28"/>
          <w:szCs w:val="28"/>
          <w:highlight w:val="none"/>
        </w:rPr>
        <w:t>1</w:t>
      </w:r>
      <w:r>
        <w:rPr>
          <w:sz w:val="28"/>
          <w:szCs w:val="28"/>
          <w:highlight w:val="none"/>
          <w:lang w:val="zh-CN"/>
        </w:rPr>
        <w:t>）。</w:t>
      </w:r>
    </w:p>
    <w:p w14:paraId="2C812E85">
      <w:pPr>
        <w:spacing w:line="360" w:lineRule="auto"/>
        <w:contextualSpacing/>
        <w:rPr>
          <w:rFonts w:hint="default" w:eastAsia="宋体"/>
          <w:sz w:val="28"/>
          <w:szCs w:val="28"/>
          <w:highlight w:val="none"/>
          <w:lang w:val="en-US" w:eastAsia="zh-CN"/>
        </w:rPr>
      </w:pPr>
      <w:r>
        <w:rPr>
          <w:rFonts w:hint="default" w:ascii="Times New Roman" w:hAnsi="Times New Roman" w:cs="Times New Roman"/>
          <w:sz w:val="28"/>
          <w:szCs w:val="28"/>
          <w:highlight w:val="none"/>
          <w:lang w:val="en-US" w:eastAsia="zh-CN"/>
        </w:rPr>
        <w:t>矿山</w:t>
      </w:r>
      <w:r>
        <w:rPr>
          <w:rFonts w:hint="default" w:ascii="Times New Roman" w:hAnsi="Times New Roman" w:cs="Times New Roman"/>
          <w:sz w:val="28"/>
          <w:szCs w:val="28"/>
          <w:highlight w:val="none"/>
          <w:lang w:val="zh-CN"/>
        </w:rPr>
        <w:t>矿山建设占用土地总面积为</w:t>
      </w:r>
      <w:r>
        <w:rPr>
          <w:rFonts w:hint="default" w:ascii="Times New Roman" w:hAnsi="Times New Roman" w:cs="Times New Roman"/>
          <w:sz w:val="28"/>
          <w:szCs w:val="28"/>
          <w:highlight w:val="none"/>
          <w:lang w:val="en-US" w:eastAsia="zh-CN"/>
        </w:rPr>
        <w:t>17.9371</w:t>
      </w:r>
      <w:r>
        <w:rPr>
          <w:rFonts w:hint="default" w:ascii="Times New Roman" w:hAnsi="Times New Roman" w:cs="Times New Roman"/>
          <w:sz w:val="28"/>
          <w:szCs w:val="28"/>
          <w:highlight w:val="none"/>
          <w:lang w:val="zh-CN"/>
        </w:rPr>
        <w:t xml:space="preserve"> hm</w:t>
      </w:r>
      <w:r>
        <w:rPr>
          <w:rFonts w:hint="default" w:ascii="Times New Roman" w:hAnsi="Times New Roman" w:cs="Times New Roman"/>
          <w:sz w:val="28"/>
          <w:szCs w:val="28"/>
          <w:highlight w:val="none"/>
          <w:vertAlign w:val="superscript"/>
          <w:lang w:val="zh-CN"/>
        </w:rPr>
        <w:t>2</w:t>
      </w:r>
      <w:r>
        <w:rPr>
          <w:rFonts w:hint="default" w:ascii="Times New Roman" w:hAnsi="Times New Roman" w:cs="Times New Roman"/>
          <w:sz w:val="28"/>
          <w:szCs w:val="28"/>
          <w:highlight w:val="none"/>
          <w:lang w:val="zh-CN"/>
        </w:rPr>
        <w:t>（表2-1）。</w:t>
      </w:r>
      <w:r>
        <w:rPr>
          <w:rFonts w:hint="default" w:ascii="Times New Roman" w:hAnsi="Times New Roman" w:cs="Times New Roman"/>
          <w:sz w:val="28"/>
          <w:szCs w:val="28"/>
          <w:highlight w:val="none"/>
          <w:lang w:val="en-US" w:eastAsia="zh-CN"/>
        </w:rPr>
        <w:t>其中拟设采矿权面积10.12</w:t>
      </w:r>
      <w:r>
        <w:rPr>
          <w:rFonts w:hint="default" w:ascii="Times New Roman" w:hAnsi="Times New Roman" w:cs="Times New Roman"/>
          <w:sz w:val="28"/>
          <w:szCs w:val="28"/>
          <w:highlight w:val="none"/>
          <w:lang w:val="zh-CN"/>
        </w:rPr>
        <w:t>hm</w:t>
      </w:r>
      <w:r>
        <w:rPr>
          <w:rFonts w:hint="default" w:ascii="Times New Roman" w:hAnsi="Times New Roman" w:cs="Times New Roman"/>
          <w:sz w:val="28"/>
          <w:szCs w:val="28"/>
          <w:highlight w:val="none"/>
          <w:vertAlign w:val="superscript"/>
          <w:lang w:val="zh-CN"/>
        </w:rPr>
        <w:t>2</w:t>
      </w:r>
      <w:r>
        <w:rPr>
          <w:rFonts w:hint="default" w:ascii="Times New Roman" w:hAnsi="Times New Roman" w:cs="Times New Roman"/>
          <w:sz w:val="28"/>
          <w:szCs w:val="28"/>
          <w:highlight w:val="none"/>
          <w:vertAlign w:val="baseline"/>
          <w:lang w:val="zh-CN"/>
        </w:rPr>
        <w:t>，</w:t>
      </w:r>
      <w:r>
        <w:rPr>
          <w:rFonts w:hint="default" w:ascii="Times New Roman" w:hAnsi="Times New Roman" w:cs="Times New Roman"/>
          <w:sz w:val="28"/>
          <w:szCs w:val="28"/>
          <w:highlight w:val="none"/>
          <w:lang w:val="en-US" w:eastAsia="zh-CN"/>
        </w:rPr>
        <w:t>工业场地及附属区域面积7.8171</w:t>
      </w:r>
      <w:r>
        <w:rPr>
          <w:rFonts w:hint="default" w:ascii="Times New Roman" w:hAnsi="Times New Roman" w:cs="Times New Roman"/>
          <w:sz w:val="28"/>
          <w:szCs w:val="28"/>
          <w:highlight w:val="none"/>
          <w:lang w:val="zh-CN"/>
        </w:rPr>
        <w:t>hm</w:t>
      </w:r>
      <w:r>
        <w:rPr>
          <w:rFonts w:hint="default" w:ascii="Times New Roman" w:hAnsi="Times New Roman" w:cs="Times New Roman"/>
          <w:sz w:val="28"/>
          <w:szCs w:val="28"/>
          <w:highlight w:val="none"/>
          <w:vertAlign w:val="superscript"/>
          <w:lang w:val="zh-CN"/>
        </w:rPr>
        <w:t>2</w:t>
      </w:r>
      <w:r>
        <w:rPr>
          <w:rFonts w:hint="default" w:ascii="Times New Roman" w:hAnsi="Times New Roman" w:cs="Times New Roman"/>
          <w:sz w:val="28"/>
          <w:szCs w:val="28"/>
          <w:highlight w:val="none"/>
          <w:vertAlign w:val="baseline"/>
          <w:lang w:val="zh-CN"/>
        </w:rPr>
        <w:t>，</w:t>
      </w:r>
      <w:r>
        <w:rPr>
          <w:rFonts w:hint="eastAsia" w:ascii="Times New Roman" w:hAnsi="Times New Roman" w:cs="Times New Roman"/>
          <w:sz w:val="28"/>
          <w:szCs w:val="28"/>
          <w:highlight w:val="none"/>
          <w:vertAlign w:val="baseline"/>
          <w:lang w:val="en-US" w:eastAsia="zh-CN"/>
        </w:rPr>
        <w:t>依据开发利用方案中各功能区设置情况，</w:t>
      </w:r>
      <w:r>
        <w:rPr>
          <w:rFonts w:hint="default" w:ascii="Times New Roman" w:hAnsi="Times New Roman" w:cs="Times New Roman"/>
          <w:sz w:val="28"/>
          <w:szCs w:val="28"/>
          <w:highlight w:val="none"/>
          <w:lang w:val="en-US" w:eastAsia="zh-CN"/>
        </w:rPr>
        <w:t>工业场地及附属区域</w:t>
      </w:r>
      <w:r>
        <w:rPr>
          <w:rFonts w:hint="default" w:ascii="Times New Roman" w:hAnsi="Times New Roman" w:cs="Times New Roman"/>
          <w:sz w:val="28"/>
          <w:szCs w:val="28"/>
          <w:highlight w:val="none"/>
          <w:vertAlign w:val="baseline"/>
          <w:lang w:val="en-US" w:eastAsia="zh-CN"/>
        </w:rPr>
        <w:t>包含</w:t>
      </w:r>
      <w:r>
        <w:rPr>
          <w:rFonts w:hint="default" w:ascii="Times New Roman" w:hAnsi="Times New Roman" w:cs="Times New Roman"/>
          <w:sz w:val="28"/>
          <w:szCs w:val="28"/>
          <w:highlight w:val="none"/>
        </w:rPr>
        <w:t>复垦用土临时堆场</w:t>
      </w:r>
      <w:r>
        <w:rPr>
          <w:rFonts w:hint="default" w:ascii="Times New Roman" w:hAnsi="Times New Roman" w:cs="Times New Roman"/>
          <w:sz w:val="28"/>
          <w:szCs w:val="28"/>
          <w:highlight w:val="none"/>
          <w:lang w:eastAsia="zh-CN"/>
        </w:rPr>
        <w:t>、排土场、破碎站、办公生活区、</w:t>
      </w:r>
      <w:r>
        <w:rPr>
          <w:rFonts w:hint="default" w:ascii="Times New Roman" w:hAnsi="Times New Roman" w:cs="Times New Roman"/>
          <w:sz w:val="28"/>
          <w:szCs w:val="28"/>
          <w:highlight w:val="none"/>
          <w:lang w:val="en-US" w:eastAsia="zh-CN"/>
        </w:rPr>
        <w:t>矿区道路及原综合服务区</w:t>
      </w:r>
      <w:r>
        <w:rPr>
          <w:rFonts w:hint="default" w:ascii="Times New Roman" w:hAnsi="Times New Roman" w:cs="Times New Roman"/>
          <w:sz w:val="28"/>
          <w:szCs w:val="28"/>
          <w:highlight w:val="none"/>
        </w:rPr>
        <w:t>等</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rPr>
        <w:t>影响区土地类型主要为其他草地</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rPr>
        <w:t>乔木林地</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rPr>
        <w:t>采矿用地</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rPr>
        <w:t>果园</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rPr>
        <w:t>坑塘水面</w:t>
      </w:r>
      <w:r>
        <w:rPr>
          <w:rFonts w:hint="default" w:ascii="Times New Roman" w:hAnsi="Times New Roman" w:cs="Times New Roman"/>
          <w:sz w:val="28"/>
          <w:szCs w:val="28"/>
          <w:highlight w:val="none"/>
          <w:lang w:val="en-US" w:eastAsia="zh-CN"/>
        </w:rPr>
        <w:t>等，</w:t>
      </w:r>
      <w:r>
        <w:rPr>
          <w:rFonts w:hint="default" w:ascii="Times New Roman" w:hAnsi="Times New Roman" w:cs="Times New Roman"/>
          <w:sz w:val="28"/>
          <w:szCs w:val="28"/>
          <w:highlight w:val="none"/>
        </w:rPr>
        <w:t>影响范围内土地利用现状详见表2-3。</w:t>
      </w:r>
      <w:r>
        <w:rPr>
          <w:rFonts w:hint="default" w:ascii="Times New Roman" w:hAnsi="Times New Roman" w:cs="Times New Roman"/>
          <w:sz w:val="28"/>
          <w:szCs w:val="28"/>
          <w:highlight w:val="none"/>
          <w:lang w:val="en-US" w:eastAsia="zh-CN"/>
        </w:rPr>
        <w:t>土地权属全部归广</w:t>
      </w:r>
      <w:r>
        <w:rPr>
          <w:rFonts w:hint="eastAsia"/>
          <w:sz w:val="28"/>
          <w:szCs w:val="28"/>
          <w:highlight w:val="none"/>
          <w:lang w:val="en-US" w:eastAsia="zh-CN"/>
        </w:rPr>
        <w:t>东省徐闻县城北乡迈报村所有，矿区土地利用权属表见附表2。</w:t>
      </w:r>
    </w:p>
    <w:p w14:paraId="72E26846">
      <w:pPr>
        <w:pStyle w:val="99"/>
        <w:keepNext w:val="0"/>
        <w:keepLines w:val="0"/>
        <w:pageBreakBefore w:val="0"/>
        <w:widowControl w:val="0"/>
        <w:kinsoku/>
        <w:wordWrap/>
        <w:overflowPunct/>
        <w:topLinePunct w:val="0"/>
        <w:autoSpaceDE/>
        <w:autoSpaceDN/>
        <w:bidi w:val="0"/>
        <w:adjustRightInd/>
        <w:snapToGrid/>
        <w:spacing w:line="240" w:lineRule="auto"/>
        <w:ind w:firstLine="0"/>
        <w:textAlignment w:val="auto"/>
        <w:outlineLvl w:val="9"/>
        <w:rPr>
          <w:rFonts w:hint="default"/>
          <w:sz w:val="24"/>
          <w:szCs w:val="24"/>
          <w:lang w:val="en-US" w:eastAsia="zh-CN"/>
        </w:rPr>
      </w:pPr>
      <w:r>
        <w:rPr>
          <w:rFonts w:hint="eastAsia"/>
          <w:sz w:val="24"/>
          <w:szCs w:val="24"/>
          <w:lang w:val="zh-CN"/>
        </w:rPr>
        <w:t>表</w:t>
      </w:r>
      <w:r>
        <w:rPr>
          <w:rFonts w:hint="eastAsia"/>
          <w:sz w:val="24"/>
          <w:szCs w:val="24"/>
        </w:rPr>
        <w:t>2</w:t>
      </w:r>
      <w:r>
        <w:rPr>
          <w:rFonts w:hint="eastAsia"/>
          <w:sz w:val="24"/>
          <w:szCs w:val="24"/>
          <w:lang w:val="zh-CN"/>
        </w:rPr>
        <w:t>-</w:t>
      </w:r>
      <w:r>
        <w:rPr>
          <w:rFonts w:hint="eastAsia"/>
          <w:sz w:val="24"/>
          <w:szCs w:val="24"/>
          <w:lang w:val="en-US" w:eastAsia="zh-CN"/>
        </w:rPr>
        <w:t>3</w:t>
      </w:r>
      <w:r>
        <w:rPr>
          <w:rFonts w:hint="eastAsia"/>
          <w:sz w:val="24"/>
          <w:szCs w:val="24"/>
          <w:lang w:val="zh-CN"/>
        </w:rPr>
        <w:t xml:space="preserve">  </w:t>
      </w:r>
      <w:r>
        <w:rPr>
          <w:rFonts w:hint="eastAsia"/>
          <w:sz w:val="24"/>
          <w:szCs w:val="24"/>
        </w:rPr>
        <w:t xml:space="preserve"> </w:t>
      </w:r>
      <w:r>
        <w:rPr>
          <w:rFonts w:hint="eastAsia"/>
          <w:sz w:val="24"/>
          <w:szCs w:val="24"/>
          <w:lang w:val="en-US" w:eastAsia="zh-CN"/>
        </w:rPr>
        <w:t xml:space="preserve"> 矿区土地利用现状表</w:t>
      </w:r>
    </w:p>
    <w:bookmarkEnd w:id="214"/>
    <w:bookmarkEnd w:id="215"/>
    <w:bookmarkEnd w:id="216"/>
    <w:bookmarkEnd w:id="217"/>
    <w:bookmarkEnd w:id="218"/>
    <w:bookmarkEnd w:id="219"/>
    <w:tbl>
      <w:tblPr>
        <w:tblStyle w:val="33"/>
        <w:tblW w:w="504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4"/>
        <w:gridCol w:w="1920"/>
        <w:gridCol w:w="1073"/>
        <w:gridCol w:w="1440"/>
        <w:gridCol w:w="1652"/>
        <w:gridCol w:w="1200"/>
        <w:gridCol w:w="1069"/>
      </w:tblGrid>
      <w:tr w14:paraId="38D41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4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108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一级地类</w:t>
            </w:r>
          </w:p>
        </w:tc>
        <w:tc>
          <w:tcPr>
            <w:tcW w:w="13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4C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二级地类</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62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面积（hm</w:t>
            </w:r>
            <w:r>
              <w:rPr>
                <w:rFonts w:hint="eastAsia" w:ascii="宋体" w:hAnsi="宋体" w:eastAsia="宋体" w:cs="宋体"/>
                <w:i w:val="0"/>
                <w:iCs w:val="0"/>
                <w:color w:val="000000"/>
                <w:kern w:val="0"/>
                <w:sz w:val="24"/>
                <w:szCs w:val="24"/>
                <w:u w:val="none"/>
                <w:vertAlign w:val="superscript"/>
                <w:lang w:val="en-US" w:eastAsia="zh-CN" w:bidi="ar"/>
              </w:rPr>
              <w:t>2</w:t>
            </w:r>
            <w:r>
              <w:rPr>
                <w:rFonts w:hint="eastAsia" w:ascii="宋体" w:hAnsi="宋体" w:eastAsia="宋体" w:cs="宋体"/>
                <w:i w:val="0"/>
                <w:iCs w:val="0"/>
                <w:color w:val="000000"/>
                <w:kern w:val="0"/>
                <w:sz w:val="24"/>
                <w:szCs w:val="24"/>
                <w:u w:val="none"/>
                <w:lang w:val="en-US" w:eastAsia="zh-CN" w:bidi="ar"/>
              </w:rPr>
              <w:t>）</w:t>
            </w:r>
          </w:p>
        </w:tc>
        <w:tc>
          <w:tcPr>
            <w:tcW w:w="124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6E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占总面积比例（%）</w:t>
            </w:r>
          </w:p>
        </w:tc>
      </w:tr>
      <w:tr w14:paraId="1C266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0F3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编码</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7B5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913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编码</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291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C12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34DB">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0501">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07FE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B63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90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种植园用地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E97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0201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525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果园</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2A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3.4211</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580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19.07%</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0FA0">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0B44F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7B1B">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8F06">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262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9F96">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3E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3.4211</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8961">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3A5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19.07%</w:t>
            </w:r>
          </w:p>
        </w:tc>
      </w:tr>
      <w:tr w14:paraId="25F5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D0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w:t>
            </w:r>
          </w:p>
        </w:tc>
        <w:tc>
          <w:tcPr>
            <w:tcW w:w="10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E1C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5D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4DF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乔木林地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87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3.8028</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1C5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21.20%</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9400">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3E5F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4898">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0309">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9DB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0305</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3A0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灌木林地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813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0.0864</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762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0.48%</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DBE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4BFD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308A">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42B8">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51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7F5F">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2CB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3.8893</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94E4">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943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21.68%</w:t>
            </w:r>
          </w:p>
        </w:tc>
      </w:tr>
      <w:tr w14:paraId="6C74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22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F4C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C4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0404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3DF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其他草地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4A4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4.2327</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2A8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23.60%</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143F">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2D410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FE26">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90A4">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ACE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872C">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152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4.2327</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A59B">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86E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23.60%</w:t>
            </w:r>
          </w:p>
        </w:tc>
      </w:tr>
      <w:tr w14:paraId="6BFB1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F24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BD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商业服务业用地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025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05H1</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81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商业服务业设施用地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C83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0.0390</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07A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C9D2">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0EB43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BAC6">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B9DE">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967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149A">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422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0.0390</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6166">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89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w:t>
            </w:r>
          </w:p>
        </w:tc>
      </w:tr>
      <w:tr w14:paraId="0A469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97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E23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工矿用地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FA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0602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46C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采矿用地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9D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4.2954</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497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23.95%</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2708">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4747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EC04">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9028">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B52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18D4">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F4C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4.2954</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0362">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830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23.95%</w:t>
            </w:r>
          </w:p>
        </w:tc>
      </w:tr>
      <w:tr w14:paraId="7A98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FA3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4C4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住宅用地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A8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0702</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67B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农村宅基地</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D67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0.3673</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F76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CAE1">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303CE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4469">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4180">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EC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0AD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12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0.3673</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1EE7">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32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r>
      <w:tr w14:paraId="0A033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8C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81C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交通运输用地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41B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1006</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53D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农村道路</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E55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0.0000</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D11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14E9">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1BC16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AB9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9DDE">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85A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CA0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B3C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0.0000</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1494">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E86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r>
      <w:tr w14:paraId="1B67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EB2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01E3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水域及水利设施用地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D92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1104</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24D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坑塘水面</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67C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1.5920</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EAE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8.88%</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B437">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7E1F3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A8C4">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7ABF">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62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1107</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26A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沟渠</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FE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0.1002</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DA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0.56%</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298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r>
      <w:tr w14:paraId="3BA83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1AB1">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AC4B">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214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78F9">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ED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1.6922</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4F75">
            <w:pPr>
              <w:keepNext w:val="0"/>
              <w:keepLines w:val="0"/>
              <w:pageBreakBefore w:val="0"/>
              <w:widowControl/>
              <w:kinsoku/>
              <w:wordWrap/>
              <w:overflowPunct/>
              <w:topLinePunct w:val="0"/>
              <w:autoSpaceDE/>
              <w:autoSpaceDN/>
              <w:bidi w:val="0"/>
              <w:adjustRightInd/>
              <w:snapToGrid w:val="0"/>
              <w:ind w:firstLine="0" w:firstLineChars="0"/>
              <w:jc w:val="center"/>
              <w:rPr>
                <w:rFonts w:hint="eastAsia" w:ascii="宋体" w:hAnsi="宋体" w:eastAsia="宋体" w:cs="宋体"/>
                <w:i w:val="0"/>
                <w:iCs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3B9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9.43%</w:t>
            </w:r>
          </w:p>
        </w:tc>
      </w:tr>
      <w:tr w14:paraId="3385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28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A68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9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40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17.9371</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C82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40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r>
    </w:tbl>
    <w:p w14:paraId="159AD405">
      <w:pPr>
        <w:pStyle w:val="5"/>
        <w:spacing w:before="263" w:after="263"/>
        <w:rPr>
          <w:rFonts w:hint="eastAsia" w:ascii="宋体" w:hAnsi="宋体" w:eastAsia="宋体" w:cs="宋体"/>
          <w:b/>
          <w:bCs w:val="0"/>
        </w:rPr>
      </w:pPr>
      <w:bookmarkStart w:id="229" w:name="_Toc3357"/>
      <w:r>
        <w:rPr>
          <w:rFonts w:hint="eastAsia" w:ascii="宋体" w:hAnsi="宋体" w:eastAsia="宋体" w:cs="宋体"/>
          <w:b/>
          <w:bCs w:val="0"/>
        </w:rPr>
        <w:t>五、矿区生态状况</w:t>
      </w:r>
      <w:bookmarkEnd w:id="229"/>
    </w:p>
    <w:p w14:paraId="6BAA9DC1">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（一）生态本底状况</w:t>
      </w:r>
    </w:p>
    <w:p w14:paraId="65C3E4F5">
      <w:pPr>
        <w:spacing w:line="360" w:lineRule="auto"/>
        <w:rPr>
          <w:rFonts w:hint="default"/>
          <w:sz w:val="28"/>
          <w:szCs w:val="28"/>
          <w:highlight w:val="none"/>
          <w:lang w:val="en-US" w:eastAsia="zh-CN"/>
        </w:rPr>
      </w:pPr>
      <w:r>
        <w:rPr>
          <w:rFonts w:hint="eastAsia"/>
          <w:sz w:val="28"/>
          <w:szCs w:val="28"/>
          <w:highlight w:val="none"/>
          <w:lang w:val="en-US" w:eastAsia="zh-CN"/>
        </w:rPr>
        <w:t>1、自然地理特征</w:t>
      </w:r>
    </w:p>
    <w:p w14:paraId="21133833">
      <w:pPr>
        <w:spacing w:line="360" w:lineRule="auto"/>
        <w:rPr>
          <w:rFonts w:hint="eastAsia"/>
          <w:sz w:val="28"/>
          <w:szCs w:val="28"/>
          <w:highlight w:val="none"/>
          <w:lang w:val="en-US" w:eastAsia="zh-CN"/>
        </w:rPr>
      </w:pPr>
      <w:r>
        <w:rPr>
          <w:rFonts w:hint="eastAsia"/>
          <w:sz w:val="28"/>
          <w:szCs w:val="28"/>
          <w:highlight w:val="none"/>
          <w:lang w:val="en-US" w:eastAsia="zh-CN"/>
        </w:rPr>
        <w:t>徐闻县地处雷州半岛南端，属于华夏台背斜、雷州台凸的一部分。地形以台地为主，次为海积平原。属热带季风湿润气候区。终年高温多雨，雨热同期，降水集中于汛期（4-9月），多年平均降水量</w:t>
      </w:r>
      <w:r>
        <w:rPr>
          <w:sz w:val="28"/>
          <w:szCs w:val="28"/>
        </w:rPr>
        <w:t>1711.6mm，</w:t>
      </w:r>
      <w:r>
        <w:rPr>
          <w:rFonts w:hint="eastAsia"/>
          <w:sz w:val="28"/>
          <w:szCs w:val="28"/>
          <w:highlight w:val="none"/>
          <w:lang w:val="en-US" w:eastAsia="zh-CN"/>
        </w:rPr>
        <w:t>地貌为火山岩台地，属雷州半岛玄武岩台地典型区域，出露岩石以橄榄玄武岩为主，伴生火山碎屑岩、凝灰岩等，矿山所在区域原为火山锥余脉，地势整体平缓起伏，局部因火山喷发形成陡坎，微地貌受火山熔岩流影响呈不规则状，自然排水条件良好但局部易形成汇水洼地；矿区及周边地表土主要为玄武岩风化发育而成的砖红壤，土层厚度不均，质地偏黏重，养分含量较高，土壤发育缓慢，适宜种植桉树、木麻黄、台湾相思等耐贫瘠、适应性强的树种及热带旱生草本植物。</w:t>
      </w:r>
    </w:p>
    <w:p w14:paraId="5E9C9F7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2、生态系统类型与结构</w:t>
      </w:r>
    </w:p>
    <w:p w14:paraId="417BC347">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矿区及周边区域生态系统类型较为丰富，主要包括森林生态系统、农田生态系统、湿地生态系统及草地生态系统四大类，受玄武岩台地特殊生境影响，各生态系统呈现明显的耐旱、耐贫瘠特征。森林生态系统以人工林为主，次生林呈零星分布，其中人工林主要为桉树经济林和木麻黄防护林，是区域沿海防护林体系的重要组成部分；次生林以玄武岩台地原生植被为基础，主要物种包括竹节树、铁冬青、小叶榄仁等本地阔叶树种及山芝麻、桃金娘等灌木群落。地带性植被建群物种以热带、亚热带旱中生阔叶树种为主，先锋物种主要为适应玄武岩风化土壤环境的耐旱灌木及草本植物，如台湾相思、山毛豆、香根草、糖蜜草等，这些物种在矿区周边未扰动区域形成相对稳定的群落结构，符合《广东省矿山生态修复技术指南（试行）》中优选乡土先锋物种的要求。</w:t>
      </w:r>
    </w:p>
    <w:p w14:paraId="3AD58212">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农田生态系统是区域主导生态系统之一，矿区周边以旱地为主，少量水田分布于低洼汇水区域，主要种植杂粮、蔬菜等作物，部分区域发展园地种植荔枝、龙眼等果树，形成与玄武岩台地生境相适应的旱作农业生态结构，周边农耕道路及园地对生态系统连通性有一定影响。</w:t>
      </w:r>
    </w:p>
    <w:p w14:paraId="07A6272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湿地生态系统主要包括采坑汇水形成的坑塘水面及周边零星洼地水域，是矿区特色次生水域生态单元。采坑坑塘由采矿活动扰动火山岩地形后，经降雨汇积形成，水域环境相对稳定，可承接周边径流、调蓄降水，缓解局部旱情，同时为泽蛙、石龙子等两栖爬行动物及小型鱼类、水生昆虫提供简易栖息环境，部分坑塘边缘发育湿生草本群落，逐步向半自然湿地生态系统演替。</w:t>
      </w:r>
    </w:p>
    <w:p w14:paraId="4B3007E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草地生态系统主要分布在矿区周边未扰动的缓坡台地、火山岩间隙及林间空地，以草本植物为主要建群物种，包括白茅、蜈蚣草、鹧鸪草等适应玄武岩风化土壤的耐旱草本，部分区域伴生山芝麻、坡散香等矮灌木，兼具水土保持、减缓地表径流及为小型陆生动物提供觅食栖息场所的功能，是连接森林生态系统与农田生态系统的重要过渡型生态单元，对维持区域生态系统稳定性具有重要作用。</w:t>
      </w:r>
    </w:p>
    <w:p w14:paraId="50593CD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各类生态系统相互衔接、相互影响，形成了“林-田-水-草”交织的碎片化生态结构，受玄武岩台地地形及土壤条件限制，生态系统整体韧性较弱。森林生态系统主要发挥水土保持、涵养水源和生物栖息功能，人工林对土壤改良及生态功能提升有一定促进作用；采坑汇水的坑塘水面则具有调蓄径流、承接降水、改善局部微气候及为小型水生生物提供栖息环境的作用；草地生态系统则起到衔接不同生态单元、固土护坡、为小型陆生生物提供活动场所的作用，进一步提升了区域生态系统的稳定性和连通性。</w:t>
      </w:r>
    </w:p>
    <w:p w14:paraId="7EB4B881">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（二）生态功能定位</w:t>
      </w:r>
    </w:p>
    <w:p w14:paraId="14875FE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水源涵养方面，项目区域内森林植被、玄武岩风化土层及湿地系统构成相对完整的水文调节体系，可有效截留、渗透并净化大气降水，为周边小型河流、水库及地下水提供补给；矿区周边植被与土壤层能减缓地表径流速度，提升地下水补给能力，但因玄武岩风化土层较薄，水源涵养效能整体中等偏弱，且局部采坑开挖破坏了原有水文循环。</w:t>
      </w:r>
    </w:p>
    <w:p w14:paraId="7549EDB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水土保持方面，矿区内现存植被可有效固定地表土壤，降低降雨对火山岩风化土的冲刷侵蚀，减少水土流失风险；同时，土壤层的渗透作用能削弱地表径流强度，配合火山岩台地自然地形形成的汇水调节格局，有效遏制矿区及周边区域的土壤流失，保护土地生产力。</w:t>
      </w:r>
    </w:p>
    <w:p w14:paraId="67E81B7B">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生物多样性维护功能依托玄武岩台地次生林、坑塘水域及周边河流水系廊道展开，为鸟类、两栖类、小型哺乳动物及水生生物等各类动植物提供栖息、繁衍的场所，构建起相对完整的生态廊道网络，保障区域生物群落的连续性与稳定性。</w:t>
      </w:r>
    </w:p>
    <w:p w14:paraId="3CB0B98B">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植物多样性方面，区域内分布有白骨壤、桐花树等红树林植物，以及木麻黄、桉树等沿海防护林核心物种，符合雷州半岛植被区系特征。外来入侵物种主要为互花米草，该物种主要分布于沿海红树林周边，矿区及近邻区域未发现大规模分布。</w:t>
      </w:r>
    </w:p>
    <w:p w14:paraId="72631C4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根据现场调查，矿区及周边未发现《国家重点保护野生植物名录》中的保护植物，</w:t>
      </w:r>
      <w:r>
        <w:rPr>
          <w:rFonts w:hint="eastAsia"/>
          <w:color w:val="000000"/>
          <w:sz w:val="28"/>
          <w:szCs w:val="28"/>
          <w:lang w:val="en-US" w:eastAsia="zh-CN"/>
        </w:rPr>
        <w:t>徐闻县</w:t>
      </w:r>
      <w:r>
        <w:rPr>
          <w:rFonts w:hint="eastAsia"/>
          <w:color w:val="000000"/>
          <w:sz w:val="28"/>
          <w:szCs w:val="28"/>
        </w:rPr>
        <w:t>分布的古树名木（以榕树、秋枫、土坛树为主）多远离矿山核心开采区，受影响较小。</w:t>
      </w:r>
    </w:p>
    <w:p w14:paraId="6FAAFDA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动物多样性：鸟类主要包括鸥鹭、麻雀、斑鸠、白头鹎等常见物种，部分候鸟在迁徙季节途经区域；小型哺乳动物主要有黄鼠狼、鼩鼱、田鼠等；两栖爬行动物包括泽蛙、石龙子、水蛇等常见物种。水生生物中，周边河流水系及坑塘水域分布有鱼类、甲壳类、水生昆虫等多种水生生物，距矿区较远的</w:t>
      </w:r>
      <w:r>
        <w:rPr>
          <w:rFonts w:hint="eastAsia"/>
          <w:color w:val="000000"/>
          <w:sz w:val="28"/>
          <w:szCs w:val="28"/>
          <w:lang w:val="en-US" w:eastAsia="zh-CN"/>
        </w:rPr>
        <w:t>徐闻县</w:t>
      </w:r>
      <w:r>
        <w:rPr>
          <w:rFonts w:hint="eastAsia"/>
          <w:color w:val="000000"/>
          <w:sz w:val="28"/>
          <w:szCs w:val="28"/>
        </w:rPr>
        <w:t>沿海海域分布有红树林伴生水生生物，但无文昌鱼等特色珍稀物种分布。矿区及周边未发现《国家重点保护野生动物名录》中保护的野生动物种类。</w:t>
      </w:r>
    </w:p>
    <w:p w14:paraId="4FD4907B">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2、敏感生态目标</w:t>
      </w:r>
    </w:p>
    <w:p w14:paraId="257F8EC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根据现场调查，矿区及周边无自然保护地、世界自然遗产、生态保护红线等重要生态敏感区。距离矿区最近的敏感生态目标为广东徐闻珊瑚礁国家级自然保护区</w:t>
      </w:r>
      <w:r>
        <w:rPr>
          <w:rFonts w:hint="eastAsia"/>
          <w:color w:val="000000"/>
          <w:sz w:val="28"/>
          <w:szCs w:val="28"/>
          <w:lang w:eastAsia="zh-CN"/>
        </w:rPr>
        <w:t>，</w:t>
      </w:r>
      <w:r>
        <w:rPr>
          <w:rFonts w:hint="eastAsia"/>
          <w:color w:val="000000"/>
          <w:sz w:val="28"/>
          <w:szCs w:val="28"/>
        </w:rPr>
        <w:t>位于矿区</w:t>
      </w:r>
      <w:r>
        <w:rPr>
          <w:rFonts w:hint="eastAsia"/>
          <w:color w:val="000000"/>
          <w:sz w:val="28"/>
          <w:szCs w:val="28"/>
          <w:lang w:val="en-US" w:eastAsia="zh-CN"/>
        </w:rPr>
        <w:t>240</w:t>
      </w:r>
      <w:r>
        <w:rPr>
          <w:rFonts w:hint="eastAsia"/>
          <w:color w:val="000000"/>
          <w:sz w:val="28"/>
          <w:szCs w:val="28"/>
        </w:rPr>
        <w:t>°方向，直线距离约1</w:t>
      </w:r>
      <w:r>
        <w:rPr>
          <w:rFonts w:hint="eastAsia"/>
          <w:color w:val="000000"/>
          <w:sz w:val="28"/>
          <w:szCs w:val="28"/>
          <w:lang w:val="en-US" w:eastAsia="zh-CN"/>
        </w:rPr>
        <w:t>0</w:t>
      </w:r>
      <w:r>
        <w:rPr>
          <w:rFonts w:hint="eastAsia"/>
          <w:color w:val="000000"/>
          <w:sz w:val="28"/>
          <w:szCs w:val="28"/>
        </w:rPr>
        <w:t>km，该片区主要分布于</w:t>
      </w:r>
      <w:r>
        <w:rPr>
          <w:rFonts w:hint="eastAsia"/>
          <w:color w:val="000000"/>
          <w:sz w:val="28"/>
          <w:szCs w:val="28"/>
          <w:lang w:val="en-US" w:eastAsia="zh-CN"/>
        </w:rPr>
        <w:t>迈陈</w:t>
      </w:r>
      <w:r>
        <w:rPr>
          <w:rFonts w:hint="eastAsia"/>
          <w:color w:val="000000"/>
          <w:sz w:val="28"/>
          <w:szCs w:val="28"/>
        </w:rPr>
        <w:t>镇</w:t>
      </w:r>
      <w:r>
        <w:rPr>
          <w:rFonts w:hint="eastAsia"/>
          <w:color w:val="000000"/>
          <w:sz w:val="28"/>
          <w:szCs w:val="28"/>
          <w:lang w:eastAsia="zh-CN"/>
        </w:rPr>
        <w:t>、</w:t>
      </w:r>
      <w:r>
        <w:rPr>
          <w:rFonts w:hint="eastAsia"/>
          <w:color w:val="000000"/>
          <w:sz w:val="28"/>
          <w:szCs w:val="28"/>
          <w:lang w:val="en-US" w:eastAsia="zh-CN"/>
        </w:rPr>
        <w:t>西连镇、角尾乡西部</w:t>
      </w:r>
      <w:r>
        <w:rPr>
          <w:rFonts w:hint="eastAsia"/>
          <w:color w:val="000000"/>
          <w:sz w:val="28"/>
          <w:szCs w:val="28"/>
        </w:rPr>
        <w:t>沿海滩涂，与矿区存在一定距离，矿山开采活动对其直接影响较小。矿区周边无重要饮用水水源地、重要水生生物栖息地等其他敏感生态目标。</w:t>
      </w:r>
    </w:p>
    <w:p w14:paraId="4C51333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3、受威胁状况</w:t>
      </w:r>
    </w:p>
    <w:p w14:paraId="7284FCC9">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矿区</w:t>
      </w:r>
      <w:r>
        <w:rPr>
          <w:rFonts w:hint="eastAsia"/>
          <w:color w:val="000000"/>
          <w:sz w:val="28"/>
          <w:szCs w:val="28"/>
          <w:lang w:val="en-US" w:eastAsia="zh-CN"/>
        </w:rPr>
        <w:t>原有</w:t>
      </w:r>
      <w:r>
        <w:rPr>
          <w:rFonts w:hint="eastAsia"/>
          <w:color w:val="000000"/>
          <w:sz w:val="28"/>
          <w:szCs w:val="28"/>
        </w:rPr>
        <w:t>开采活动对局部区域生态环境造成一定影响，原有火山岩台地生态系统结构遭到较严重破坏，表现为植被覆盖度下降、玄武岩风化土壤结构扰动、原有火山地貌改变、局部水文循环破坏等问题，符合玄武岩矿山开采生态破坏的典型特征。</w:t>
      </w:r>
    </w:p>
    <w:p w14:paraId="3F59F5D9">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生物多样性受威胁情况主要表现为局部生境破碎化，矿山开采活动导致原生植被群落被破坏，台湾相思、山毛豆等先锋物种和本地阔叶树种的栖息地范围缩小，可能影响物种的生存和繁衍。不过，区域内未发现敏感生态目标，古树名木分布区域多远离矿山核心开采区，受威胁程度较低；坑塘水域的形成在一定程度上弥补了陆生栖息地的损失，为水生及两栖生物提供了新的栖息空间。</w:t>
      </w:r>
    </w:p>
    <w:p w14:paraId="0FCE98BD">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结合《广东省矿山生态修复技术指南（试行）》及玄武岩矿山生态特征，可通过采坑回填、土壤改良、植被重建等一系列措施逐步恢复生态功能。</w:t>
      </w:r>
    </w:p>
    <w:p w14:paraId="7D3BE6C4">
      <w:pPr>
        <w:pStyle w:val="5"/>
        <w:spacing w:before="263" w:after="263"/>
        <w:rPr>
          <w:rFonts w:hint="eastAsia" w:ascii="宋体" w:hAnsi="宋体" w:eastAsia="宋体" w:cs="宋体"/>
          <w:b/>
          <w:bCs w:val="0"/>
        </w:rPr>
      </w:pPr>
      <w:bookmarkStart w:id="230" w:name="_Toc28601"/>
      <w:r>
        <w:rPr>
          <w:rFonts w:hint="eastAsia" w:ascii="宋体" w:hAnsi="宋体" w:eastAsia="宋体" w:cs="宋体"/>
          <w:b/>
          <w:bCs w:val="0"/>
        </w:rPr>
        <w:t>六、矿山及周边其他人类重大工程活动</w:t>
      </w:r>
      <w:bookmarkEnd w:id="220"/>
      <w:bookmarkEnd w:id="221"/>
      <w:bookmarkEnd w:id="222"/>
      <w:bookmarkEnd w:id="223"/>
      <w:bookmarkEnd w:id="224"/>
      <w:bookmarkEnd w:id="225"/>
      <w:bookmarkEnd w:id="226"/>
      <w:bookmarkEnd w:id="227"/>
      <w:bookmarkEnd w:id="228"/>
      <w:bookmarkEnd w:id="230"/>
    </w:p>
    <w:p w14:paraId="3AEA8753">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bookmarkStart w:id="231" w:name="_Toc3168_WPSOffice_Level2"/>
      <w:bookmarkStart w:id="232" w:name="_Toc509344824"/>
      <w:bookmarkStart w:id="233" w:name="_Toc509345112"/>
      <w:bookmarkStart w:id="234" w:name="_Toc46047442"/>
      <w:bookmarkStart w:id="235" w:name="_Toc19242_WPSOffice_Level2"/>
      <w:bookmarkStart w:id="236" w:name="_Toc510594065"/>
      <w:bookmarkStart w:id="237" w:name="_Toc509345008"/>
      <w:bookmarkStart w:id="238" w:name="_Toc514858663"/>
      <w:bookmarkStart w:id="239" w:name="_Toc16420_WPSOffice_Level2"/>
      <w:r>
        <w:rPr>
          <w:color w:val="000000"/>
          <w:sz w:val="28"/>
          <w:szCs w:val="28"/>
        </w:rPr>
        <w:t>矿区周边无名胜古迹、自然保护区、地质遗迹、地质公园、风景旅游区；矿区离民宅密集区、工厂区及主要交通要道较远。</w:t>
      </w:r>
    </w:p>
    <w:p w14:paraId="0CFCD4EB">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rFonts w:hint="eastAsia"/>
          <w:color w:val="000000"/>
          <w:sz w:val="28"/>
          <w:szCs w:val="28"/>
        </w:rPr>
        <w:t>该矿山开采至今，区内主要人类工程活动为采矿活动，采矿活动对自然地质环境的破坏主要表现为矿山综合建设和采矿引起的地质环境变化。采场岩土体裸露，破坏原有地形地貌及地下水含水层，未引发地质灾害，水土流失轻微，未造成水土污染，但采矿活动占用和破坏了土地资源，破坏了地形地貌景。</w:t>
      </w:r>
    </w:p>
    <w:p w14:paraId="5411636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总</w:t>
      </w:r>
      <w:r>
        <w:rPr>
          <w:color w:val="000000"/>
          <w:sz w:val="28"/>
          <w:szCs w:val="28"/>
        </w:rPr>
        <w:t>体评价</w:t>
      </w:r>
      <w:r>
        <w:rPr>
          <w:rFonts w:hint="eastAsia"/>
          <w:color w:val="000000"/>
          <w:sz w:val="28"/>
          <w:szCs w:val="28"/>
        </w:rPr>
        <w:t>人类工程活动较强烈，对矿山地质环境的影响中等。</w:t>
      </w:r>
    </w:p>
    <w:p w14:paraId="4811A2C9">
      <w:pPr>
        <w:pStyle w:val="5"/>
        <w:spacing w:before="263" w:after="263"/>
        <w:rPr>
          <w:rFonts w:hint="eastAsia" w:ascii="宋体" w:hAnsi="宋体" w:eastAsia="宋体" w:cs="宋体"/>
          <w:b/>
          <w:bCs w:val="0"/>
        </w:rPr>
      </w:pPr>
      <w:bookmarkStart w:id="240" w:name="_Toc2971"/>
      <w:r>
        <w:rPr>
          <w:rFonts w:hint="eastAsia" w:ascii="宋体" w:hAnsi="宋体" w:eastAsia="宋体" w:cs="宋体"/>
          <w:b/>
          <w:bCs w:val="0"/>
        </w:rPr>
        <w:t>七、矿区生态修复工作情况</w:t>
      </w:r>
      <w:bookmarkEnd w:id="231"/>
      <w:bookmarkEnd w:id="232"/>
      <w:bookmarkEnd w:id="233"/>
      <w:bookmarkEnd w:id="234"/>
      <w:bookmarkEnd w:id="235"/>
      <w:bookmarkEnd w:id="236"/>
      <w:bookmarkEnd w:id="237"/>
      <w:bookmarkEnd w:id="238"/>
      <w:bookmarkEnd w:id="239"/>
      <w:bookmarkEnd w:id="240"/>
    </w:p>
    <w:p w14:paraId="7FB95207">
      <w:pPr>
        <w:spacing w:line="360" w:lineRule="auto"/>
        <w:rPr>
          <w:rFonts w:hint="default"/>
          <w:sz w:val="28"/>
          <w:szCs w:val="28"/>
          <w:highlight w:val="none"/>
          <w:lang w:val="en-US" w:eastAsia="zh-CN"/>
        </w:rPr>
      </w:pPr>
      <w:bookmarkStart w:id="241" w:name="_Toc46047443"/>
      <w:bookmarkStart w:id="242" w:name="_Toc509345009"/>
      <w:bookmarkStart w:id="243" w:name="_Toc502684779"/>
      <w:bookmarkStart w:id="244" w:name="_Toc502045776"/>
      <w:bookmarkStart w:id="245" w:name="_Toc510594066"/>
      <w:bookmarkStart w:id="246" w:name="_Toc28384_WPSOffice_Level1"/>
      <w:bookmarkStart w:id="247" w:name="_Toc502063940"/>
      <w:bookmarkStart w:id="248" w:name="_Toc502047819"/>
      <w:bookmarkStart w:id="249" w:name="_Toc509345113"/>
      <w:bookmarkStart w:id="250" w:name="_Toc6850_WPSOffice_Level1"/>
      <w:bookmarkStart w:id="251" w:name="_Toc509344825"/>
      <w:bookmarkStart w:id="252" w:name="_Toc514858664"/>
      <w:bookmarkStart w:id="253" w:name="_Toc502045002"/>
      <w:bookmarkStart w:id="254" w:name="_Toc502047615"/>
      <w:bookmarkStart w:id="255" w:name="_Toc7835_WPSOffice_Level1"/>
      <w:r>
        <w:rPr>
          <w:rFonts w:hint="eastAsia"/>
          <w:sz w:val="28"/>
          <w:szCs w:val="28"/>
          <w:highlight w:val="none"/>
          <w:lang w:val="en-US" w:eastAsia="zh-CN"/>
        </w:rPr>
        <w:t>1、原</w:t>
      </w:r>
      <w:r>
        <w:rPr>
          <w:rFonts w:hint="eastAsia"/>
          <w:sz w:val="28"/>
          <w:szCs w:val="28"/>
          <w:highlight w:val="none"/>
          <w:lang w:eastAsia="zh-CN"/>
        </w:rPr>
        <w:t>矿区矿山地质环境治理与土地复垦</w:t>
      </w:r>
      <w:r>
        <w:rPr>
          <w:rFonts w:hint="eastAsia"/>
          <w:sz w:val="28"/>
          <w:szCs w:val="28"/>
          <w:highlight w:val="none"/>
          <w:lang w:val="en-US" w:eastAsia="zh-CN"/>
        </w:rPr>
        <w:t>情况</w:t>
      </w:r>
    </w:p>
    <w:p w14:paraId="64CAB2B2">
      <w:pPr>
        <w:widowControl w:val="0"/>
        <w:spacing w:line="360" w:lineRule="auto"/>
        <w:ind w:firstLine="482"/>
        <w:jc w:val="both"/>
        <w:rPr>
          <w:rFonts w:hint="eastAsia"/>
          <w:sz w:val="28"/>
          <w:szCs w:val="28"/>
          <w:highlight w:val="none"/>
          <w:lang w:val="en-US" w:eastAsia="zh-CN"/>
        </w:rPr>
      </w:pPr>
      <w:r>
        <w:rPr>
          <w:rFonts w:hint="eastAsia"/>
          <w:sz w:val="28"/>
          <w:szCs w:val="28"/>
          <w:highlight w:val="none"/>
        </w:rPr>
        <w:t>原广东省徐闻县城北乡迈报矿区因矿区范围内一部分土地无法取得相关租赁权，采矿权人已放弃采矿权，矿山申请提前闭坑</w:t>
      </w:r>
      <w:r>
        <w:rPr>
          <w:sz w:val="28"/>
          <w:szCs w:val="28"/>
          <w:highlight w:val="none"/>
        </w:rPr>
        <w:t>。</w:t>
      </w:r>
      <w:r>
        <w:rPr>
          <w:rFonts w:hint="eastAsia"/>
          <w:sz w:val="28"/>
          <w:szCs w:val="28"/>
          <w:highlight w:val="none"/>
          <w:lang w:val="en-US" w:eastAsia="zh-CN"/>
        </w:rPr>
        <w:t>原矿山生态修复责任范围包含矿区、排土场、工业场地和综合服务区。其中原矿区范围内已完成生态修复，排土场、工业场地和综合服务区范围未完成生态修复，本方案将原矿山排土场、工业场地和综合服务区纳入本次矿区生态修复区域内（详见图2-2）。</w:t>
      </w:r>
    </w:p>
    <w:p w14:paraId="5FCBC740">
      <w:pPr>
        <w:widowControl w:val="0"/>
        <w:spacing w:line="360" w:lineRule="auto"/>
        <w:ind w:firstLine="482"/>
        <w:jc w:val="both"/>
        <w:rPr>
          <w:rFonts w:hint="eastAsia"/>
          <w:sz w:val="28"/>
          <w:szCs w:val="28"/>
          <w:highlight w:val="none"/>
          <w:lang w:val="en-US" w:eastAsia="zh-CN"/>
        </w:rPr>
      </w:pPr>
      <w:r>
        <w:rPr>
          <w:rFonts w:hint="eastAsia"/>
          <w:sz w:val="28"/>
          <w:szCs w:val="28"/>
          <w:highlight w:val="none"/>
          <w:lang w:val="en-US" w:eastAsia="zh-CN"/>
        </w:rPr>
        <w:t>原矿区范围内开采时间均在2019年之前，开采形成不同程度台阶，自2019年以来，矿区均自然充水形成水塘，矿体均淹没于水位之下。经过多年自然恢复，水塘边长满野草及灌木，除坑塘水面外植被良好。</w:t>
      </w:r>
    </w:p>
    <w:p w14:paraId="4B66CA42">
      <w:pPr>
        <w:widowControl w:val="0"/>
        <w:spacing w:line="360" w:lineRule="auto"/>
        <w:ind w:firstLine="482"/>
        <w:jc w:val="both"/>
        <w:rPr>
          <w:rFonts w:hint="eastAsia"/>
          <w:sz w:val="28"/>
          <w:szCs w:val="28"/>
          <w:highlight w:val="none"/>
          <w:lang w:val="en-US" w:eastAsia="zh-CN"/>
        </w:rPr>
      </w:pPr>
      <w:r>
        <w:rPr>
          <w:rFonts w:hint="eastAsia"/>
          <w:sz w:val="28"/>
          <w:szCs w:val="28"/>
          <w:highlight w:val="none"/>
          <w:lang w:val="en-US" w:eastAsia="zh-CN"/>
        </w:rPr>
        <w:t>2、矿区周边矿山地质环境治理与土地复垦</w:t>
      </w:r>
    </w:p>
    <w:p w14:paraId="5CAD659C">
      <w:pPr>
        <w:widowControl w:val="0"/>
        <w:spacing w:line="360" w:lineRule="auto"/>
        <w:ind w:firstLine="482"/>
        <w:jc w:val="both"/>
        <w:rPr>
          <w:rFonts w:hint="eastAsia"/>
          <w:sz w:val="28"/>
          <w:szCs w:val="28"/>
          <w:highlight w:val="none"/>
          <w:lang w:val="en-US" w:eastAsia="zh-CN"/>
        </w:rPr>
      </w:pPr>
      <w:r>
        <w:rPr>
          <w:rFonts w:hint="eastAsia"/>
          <w:sz w:val="28"/>
          <w:szCs w:val="28"/>
          <w:highlight w:val="none"/>
          <w:lang w:val="en-US" w:eastAsia="zh-CN"/>
        </w:rPr>
        <w:t>评估区属亚热带季风气候，受东南季风影响明显，且处于低纬度地区，太阳辐射强，日照充足。区内所在地</w:t>
      </w:r>
      <w:r>
        <w:rPr>
          <w:sz w:val="28"/>
          <w:szCs w:val="28"/>
        </w:rPr>
        <w:t>属于华夏台背斜、雷州台凸的一部分</w:t>
      </w:r>
      <w:r>
        <w:rPr>
          <w:rFonts w:hint="eastAsia"/>
          <w:sz w:val="28"/>
          <w:szCs w:val="28"/>
          <w:lang w:eastAsia="zh-CN"/>
        </w:rPr>
        <w:t>，</w:t>
      </w:r>
      <w:r>
        <w:rPr>
          <w:sz w:val="28"/>
          <w:szCs w:val="28"/>
        </w:rPr>
        <w:t>地形单一，起伏和缓</w:t>
      </w:r>
      <w:r>
        <w:rPr>
          <w:rFonts w:hint="eastAsia"/>
          <w:sz w:val="28"/>
          <w:szCs w:val="28"/>
          <w:highlight w:val="none"/>
          <w:lang w:val="en-US" w:eastAsia="zh-CN"/>
        </w:rPr>
        <w:t>。矿山原植被覆盖率高，自然水土流失较轻。</w:t>
      </w:r>
    </w:p>
    <w:p w14:paraId="5C75F80A">
      <w:pPr>
        <w:widowControl w:val="0"/>
        <w:spacing w:line="360" w:lineRule="auto"/>
        <w:ind w:firstLine="482"/>
        <w:jc w:val="both"/>
      </w:pPr>
      <w:r>
        <w:rPr>
          <w:rFonts w:hint="eastAsia"/>
          <w:sz w:val="28"/>
          <w:szCs w:val="28"/>
          <w:highlight w:val="none"/>
          <w:lang w:val="en-US" w:eastAsia="zh-CN"/>
        </w:rPr>
        <w:t>本次借鉴湛江区域建筑用玄武岩矿山生态修复经验。矿山生态修复方案基本上均采用将矿区（露天采场）复垦为坑塘水面，破碎系统、办公生活区和矿山道路按当地土地利用规划进行土地修复复垦。尽管周边矿山已闭坑，其复垦后的效果仍未有实物见证，但总体上这类矿山的地质环境治理与土地复垦方案均能得到当地土地权属人及专家的认可。因此，本矿山生态修复方案编制也借鉴该类矿山的经验。</w:t>
      </w:r>
    </w:p>
    <w:p w14:paraId="53E969A2">
      <w:pPr>
        <w:pStyle w:val="5"/>
        <w:spacing w:before="263" w:after="263"/>
        <w:rPr>
          <w:rFonts w:hint="eastAsia" w:ascii="宋体" w:hAnsi="宋体" w:eastAsia="宋体" w:cs="宋体"/>
          <w:b/>
          <w:bCs w:val="0"/>
        </w:rPr>
      </w:pPr>
      <w:bookmarkStart w:id="256" w:name="_Toc4929"/>
      <w:r>
        <w:rPr>
          <w:rFonts w:hint="eastAsia" w:ascii="宋体" w:hAnsi="宋体" w:eastAsia="宋体" w:cs="宋体"/>
          <w:b/>
          <w:bCs w:val="0"/>
        </w:rPr>
        <w:t>八、矿区基本情况调查监测指标</w:t>
      </w:r>
      <w:bookmarkEnd w:id="256"/>
    </w:p>
    <w:p w14:paraId="3C866131">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r>
        <w:rPr>
          <w:rFonts w:hint="eastAsia"/>
          <w:sz w:val="28"/>
          <w:szCs w:val="28"/>
        </w:rPr>
        <w:t>矿山为</w:t>
      </w:r>
      <w:r>
        <w:rPr>
          <w:rFonts w:hint="eastAsia"/>
          <w:sz w:val="28"/>
          <w:szCs w:val="28"/>
          <w:lang w:val="en-US" w:eastAsia="zh-CN"/>
        </w:rPr>
        <w:t>新建</w:t>
      </w:r>
      <w:r>
        <w:rPr>
          <w:rFonts w:hint="eastAsia"/>
          <w:sz w:val="28"/>
          <w:szCs w:val="28"/>
        </w:rPr>
        <w:t>矿山，未进行开采，</w:t>
      </w:r>
      <w:r>
        <w:rPr>
          <w:rFonts w:hint="eastAsia"/>
          <w:sz w:val="28"/>
          <w:szCs w:val="28"/>
          <w:lang w:val="en-US" w:eastAsia="zh-CN"/>
        </w:rPr>
        <w:t>开采前生态修复与</w:t>
      </w:r>
      <w:r>
        <w:rPr>
          <w:rFonts w:hint="eastAsia"/>
          <w:sz w:val="28"/>
          <w:szCs w:val="28"/>
        </w:rPr>
        <w:t>监测内容如下：</w:t>
      </w:r>
    </w:p>
    <w:p w14:paraId="3285C4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主要获取矿山地质环境背景、土地资源现状和生态系统本底的基值和参照值。</w:t>
      </w:r>
    </w:p>
    <w:p w14:paraId="4AE174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监测矿产资源开采前矿山及周边区域地下水环境和土壤环境背景。</w:t>
      </w:r>
    </w:p>
    <w:p w14:paraId="648B83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查清监测范围内土地利用现状、基本农田基本情况、各土地利用类型质量及生产水平。</w:t>
      </w:r>
    </w:p>
    <w:p w14:paraId="3BE0BE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rPr>
        <w:t>查清监测范围内地表水环境面积和陆地植被生态状况。</w:t>
      </w:r>
    </w:p>
    <w:p w14:paraId="6000608B">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r>
        <w:rPr>
          <w:rFonts w:hint="eastAsia"/>
          <w:sz w:val="28"/>
          <w:szCs w:val="28"/>
          <w:lang w:eastAsia="zh-CN"/>
        </w:rPr>
        <w:t>（</w:t>
      </w:r>
      <w:r>
        <w:rPr>
          <w:rFonts w:hint="eastAsia"/>
          <w:sz w:val="28"/>
          <w:szCs w:val="28"/>
          <w:lang w:val="en-US" w:eastAsia="zh-CN"/>
        </w:rPr>
        <w:t>5</w:t>
      </w:r>
      <w:r>
        <w:rPr>
          <w:rFonts w:hint="eastAsia"/>
          <w:sz w:val="28"/>
          <w:szCs w:val="28"/>
          <w:lang w:eastAsia="zh-CN"/>
        </w:rPr>
        <w:t>）</w:t>
      </w:r>
      <w:r>
        <w:rPr>
          <w:rFonts w:hint="eastAsia"/>
          <w:sz w:val="28"/>
          <w:szCs w:val="28"/>
        </w:rPr>
        <w:t>依据主体功能区定位，结合矿区自然环境特点，基于土地利用图斑，按照典型性和代表性，设置林地、草地、湿地生态系统样地样方，建设参照生态系统，获取参照值。</w:t>
      </w:r>
      <w:r>
        <w:rPr>
          <w:sz w:val="28"/>
          <w:szCs w:val="28"/>
        </w:rPr>
        <w:t>矿</w:t>
      </w:r>
      <w:r>
        <w:rPr>
          <w:rFonts w:hint="eastAsia"/>
          <w:sz w:val="28"/>
          <w:szCs w:val="28"/>
          <w:lang w:val="en-US" w:eastAsia="zh-CN"/>
        </w:rPr>
        <w:t>区</w:t>
      </w:r>
      <w:r>
        <w:rPr>
          <w:sz w:val="28"/>
          <w:szCs w:val="28"/>
        </w:rPr>
        <w:t>开采</w:t>
      </w:r>
      <w:r>
        <w:rPr>
          <w:rFonts w:hint="eastAsia"/>
          <w:sz w:val="28"/>
          <w:szCs w:val="28"/>
          <w:lang w:val="en-US" w:eastAsia="zh-CN"/>
        </w:rPr>
        <w:t>前生态</w:t>
      </w:r>
      <w:r>
        <w:rPr>
          <w:sz w:val="28"/>
          <w:szCs w:val="28"/>
        </w:rPr>
        <w:t>修复监测内容与监测指标见表</w:t>
      </w:r>
      <w:r>
        <w:rPr>
          <w:rFonts w:hint="eastAsia"/>
          <w:sz w:val="28"/>
          <w:szCs w:val="28"/>
        </w:rPr>
        <w:t>2-</w:t>
      </w:r>
      <w:r>
        <w:rPr>
          <w:rFonts w:hint="eastAsia"/>
          <w:sz w:val="28"/>
          <w:szCs w:val="28"/>
          <w:lang w:val="en-US" w:eastAsia="zh-CN"/>
        </w:rPr>
        <w:t>6</w:t>
      </w:r>
      <w:r>
        <w:rPr>
          <w:sz w:val="28"/>
          <w:szCs w:val="28"/>
        </w:rPr>
        <w:t>。</w:t>
      </w:r>
    </w:p>
    <w:p w14:paraId="10476591">
      <w:pPr>
        <w:pStyle w:val="9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sz w:val="24"/>
          <w:szCs w:val="24"/>
          <w:lang w:val="en-US" w:eastAsia="zh-CN"/>
        </w:rPr>
      </w:pPr>
      <w:r>
        <w:rPr>
          <w:rFonts w:hint="eastAsia"/>
          <w:sz w:val="24"/>
          <w:szCs w:val="24"/>
          <w:lang w:val="en-US" w:eastAsia="zh-CN"/>
        </w:rPr>
        <w:t>表2-6   矿区开采前生态修复监测内容与监测指标表</w:t>
      </w:r>
    </w:p>
    <w:tbl>
      <w:tblPr>
        <w:tblStyle w:val="91"/>
        <w:tblW w:w="50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6"/>
        <w:gridCol w:w="1725"/>
        <w:gridCol w:w="1917"/>
        <w:gridCol w:w="1591"/>
        <w:gridCol w:w="2733"/>
      </w:tblGrid>
      <w:tr w14:paraId="500B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556" w:type="pct"/>
            <w:noWrap w:val="0"/>
            <w:vAlign w:val="center"/>
          </w:tcPr>
          <w:p w14:paraId="3C6E42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监测对象</w:t>
            </w:r>
          </w:p>
        </w:tc>
        <w:tc>
          <w:tcPr>
            <w:tcW w:w="962" w:type="pct"/>
            <w:noWrap w:val="0"/>
            <w:vAlign w:val="center"/>
          </w:tcPr>
          <w:p w14:paraId="712973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监测内容</w:t>
            </w:r>
          </w:p>
        </w:tc>
        <w:tc>
          <w:tcPr>
            <w:tcW w:w="1069" w:type="pct"/>
            <w:noWrap w:val="0"/>
            <w:vAlign w:val="center"/>
          </w:tcPr>
          <w:p w14:paraId="0E0620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监测指标</w:t>
            </w:r>
          </w:p>
        </w:tc>
        <w:tc>
          <w:tcPr>
            <w:tcW w:w="887" w:type="pct"/>
            <w:noWrap w:val="0"/>
            <w:vAlign w:val="center"/>
          </w:tcPr>
          <w:p w14:paraId="65C4574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监测方法</w:t>
            </w:r>
          </w:p>
        </w:tc>
        <w:tc>
          <w:tcPr>
            <w:tcW w:w="1524" w:type="pct"/>
            <w:noWrap w:val="0"/>
            <w:vAlign w:val="center"/>
          </w:tcPr>
          <w:p w14:paraId="7EAD66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b w:val="0"/>
                <w:bCs w:val="0"/>
                <w:spacing w:val="-4"/>
                <w:sz w:val="24"/>
                <w:szCs w:val="24"/>
                <w:lang w:val="en-US" w:eastAsia="zh-CN"/>
              </w:rPr>
            </w:pPr>
            <w:r>
              <w:rPr>
                <w:rFonts w:hint="eastAsia" w:ascii="宋体" w:hAnsi="宋体" w:cs="宋体"/>
                <w:b w:val="0"/>
                <w:bCs w:val="0"/>
                <w:spacing w:val="-4"/>
                <w:sz w:val="24"/>
                <w:szCs w:val="24"/>
                <w:lang w:val="en-US" w:eastAsia="zh-CN"/>
              </w:rPr>
              <w:t>监测值</w:t>
            </w:r>
          </w:p>
        </w:tc>
      </w:tr>
      <w:tr w14:paraId="5095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556" w:type="pct"/>
            <w:vMerge w:val="restart"/>
            <w:noWrap w:val="0"/>
            <w:vAlign w:val="center"/>
          </w:tcPr>
          <w:p w14:paraId="3A8E146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矿山地质环境</w:t>
            </w:r>
          </w:p>
        </w:tc>
        <w:tc>
          <w:tcPr>
            <w:tcW w:w="962" w:type="pct"/>
            <w:vMerge w:val="restart"/>
            <w:noWrap w:val="0"/>
            <w:vAlign w:val="center"/>
          </w:tcPr>
          <w:p w14:paraId="74F19E9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地下水</w:t>
            </w:r>
          </w:p>
        </w:tc>
        <w:tc>
          <w:tcPr>
            <w:tcW w:w="1069" w:type="pct"/>
            <w:noWrap w:val="0"/>
            <w:vAlign w:val="center"/>
          </w:tcPr>
          <w:p w14:paraId="6C1F00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含水层类型</w:t>
            </w:r>
          </w:p>
        </w:tc>
        <w:tc>
          <w:tcPr>
            <w:tcW w:w="887" w:type="pct"/>
            <w:vMerge w:val="restart"/>
            <w:noWrap w:val="0"/>
            <w:vAlign w:val="center"/>
          </w:tcPr>
          <w:p w14:paraId="584115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DZ/T</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0287</w:t>
            </w:r>
          </w:p>
        </w:tc>
        <w:tc>
          <w:tcPr>
            <w:tcW w:w="1524" w:type="pct"/>
            <w:noWrap w:val="0"/>
            <w:vAlign w:val="center"/>
          </w:tcPr>
          <w:p w14:paraId="695971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spacing w:val="-2"/>
                <w:sz w:val="24"/>
                <w:szCs w:val="24"/>
                <w:lang w:val="en-US" w:eastAsia="zh-CN"/>
              </w:rPr>
            </w:pPr>
            <w:r>
              <w:rPr>
                <w:rFonts w:hint="eastAsia" w:ascii="宋体" w:hAnsi="宋体" w:eastAsia="宋体" w:cs="宋体"/>
                <w:spacing w:val="-2"/>
                <w:sz w:val="24"/>
                <w:szCs w:val="24"/>
              </w:rPr>
              <w:t>第四系残坡积层</w:t>
            </w:r>
            <w:r>
              <w:rPr>
                <w:rFonts w:hint="eastAsia" w:ascii="宋体" w:hAnsi="宋体" w:cs="宋体"/>
                <w:spacing w:val="-2"/>
                <w:sz w:val="24"/>
                <w:szCs w:val="24"/>
                <w:lang w:eastAsia="zh-CN"/>
              </w:rPr>
              <w:t>、</w:t>
            </w:r>
            <w:r>
              <w:rPr>
                <w:rFonts w:hint="eastAsia" w:ascii="宋体" w:hAnsi="宋体" w:cs="宋体"/>
                <w:spacing w:val="-2"/>
                <w:sz w:val="24"/>
                <w:szCs w:val="24"/>
                <w:lang w:val="en-US" w:eastAsia="zh-CN"/>
              </w:rPr>
              <w:t>火山岩孔隙裂隙水</w:t>
            </w:r>
          </w:p>
        </w:tc>
      </w:tr>
      <w:tr w14:paraId="5F40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556" w:type="pct"/>
            <w:vMerge w:val="continue"/>
            <w:noWrap w:val="0"/>
            <w:vAlign w:val="center"/>
          </w:tcPr>
          <w:p w14:paraId="316617B4">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962" w:type="pct"/>
            <w:vMerge w:val="continue"/>
            <w:noWrap w:val="0"/>
            <w:vAlign w:val="center"/>
          </w:tcPr>
          <w:p w14:paraId="736CD14A">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1069" w:type="pct"/>
            <w:noWrap w:val="0"/>
            <w:vAlign w:val="center"/>
          </w:tcPr>
          <w:p w14:paraId="067B3E5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地下水位</w:t>
            </w:r>
          </w:p>
        </w:tc>
        <w:tc>
          <w:tcPr>
            <w:tcW w:w="887" w:type="pct"/>
            <w:vMerge w:val="continue"/>
            <w:noWrap w:val="0"/>
            <w:vAlign w:val="center"/>
          </w:tcPr>
          <w:p w14:paraId="3E8461BC">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1524" w:type="pct"/>
            <w:noWrap w:val="0"/>
            <w:vAlign w:val="center"/>
          </w:tcPr>
          <w:p w14:paraId="1A11D5B0">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水位标高</w:t>
            </w:r>
            <w:r>
              <w:rPr>
                <w:rFonts w:hint="eastAsia" w:ascii="宋体" w:hAnsi="宋体" w:eastAsia="宋体" w:cs="宋体"/>
                <w:sz w:val="24"/>
                <w:szCs w:val="24"/>
                <w:lang w:val="en-US" w:eastAsia="zh-CN"/>
              </w:rPr>
              <w:t>44.8m－50.4m</w:t>
            </w:r>
          </w:p>
        </w:tc>
      </w:tr>
      <w:tr w14:paraId="3005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rPr>
        <w:tc>
          <w:tcPr>
            <w:tcW w:w="556" w:type="pct"/>
            <w:vMerge w:val="restart"/>
            <w:noWrap w:val="0"/>
            <w:vAlign w:val="center"/>
          </w:tcPr>
          <w:p w14:paraId="61272F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土地资源</w:t>
            </w:r>
          </w:p>
        </w:tc>
        <w:tc>
          <w:tcPr>
            <w:tcW w:w="962" w:type="pct"/>
            <w:noWrap w:val="0"/>
            <w:vAlign w:val="center"/>
          </w:tcPr>
          <w:p w14:paraId="298709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土地利用现状</w:t>
            </w:r>
          </w:p>
        </w:tc>
        <w:tc>
          <w:tcPr>
            <w:tcW w:w="1069" w:type="pct"/>
            <w:noWrap w:val="0"/>
            <w:vAlign w:val="center"/>
          </w:tcPr>
          <w:p w14:paraId="29A27B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土地利用类型</w:t>
            </w:r>
          </w:p>
        </w:tc>
        <w:tc>
          <w:tcPr>
            <w:tcW w:w="887" w:type="pct"/>
            <w:noWrap w:val="0"/>
            <w:vAlign w:val="center"/>
          </w:tcPr>
          <w:p w14:paraId="06A2C1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TD/T</w:t>
            </w:r>
            <w:r>
              <w:rPr>
                <w:rFonts w:hint="eastAsia" w:ascii="宋体" w:hAnsi="宋体" w:eastAsia="宋体" w:cs="宋体"/>
                <w:spacing w:val="23"/>
                <w:sz w:val="24"/>
                <w:szCs w:val="24"/>
              </w:rPr>
              <w:t xml:space="preserve"> </w:t>
            </w:r>
            <w:r>
              <w:rPr>
                <w:rFonts w:hint="eastAsia" w:ascii="宋体" w:hAnsi="宋体" w:eastAsia="宋体" w:cs="宋体"/>
                <w:spacing w:val="-3"/>
                <w:sz w:val="24"/>
                <w:szCs w:val="24"/>
              </w:rPr>
              <w:t>1055</w:t>
            </w:r>
          </w:p>
          <w:p w14:paraId="463DD5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TD/T</w:t>
            </w:r>
            <w:r>
              <w:rPr>
                <w:rFonts w:hint="eastAsia" w:ascii="宋体" w:hAnsi="宋体" w:eastAsia="宋体" w:cs="宋体"/>
                <w:spacing w:val="23"/>
                <w:sz w:val="24"/>
                <w:szCs w:val="24"/>
              </w:rPr>
              <w:t xml:space="preserve"> </w:t>
            </w:r>
            <w:r>
              <w:rPr>
                <w:rFonts w:hint="eastAsia" w:ascii="宋体" w:hAnsi="宋体" w:eastAsia="宋体" w:cs="宋体"/>
                <w:spacing w:val="-3"/>
                <w:sz w:val="24"/>
                <w:szCs w:val="24"/>
              </w:rPr>
              <w:t>1010</w:t>
            </w:r>
          </w:p>
        </w:tc>
        <w:tc>
          <w:tcPr>
            <w:tcW w:w="1524" w:type="pct"/>
            <w:noWrap w:val="0"/>
            <w:vAlign w:val="center"/>
          </w:tcPr>
          <w:p w14:paraId="6197DFE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spacing w:val="-3"/>
                <w:sz w:val="24"/>
                <w:szCs w:val="24"/>
                <w:lang w:val="en-US" w:eastAsia="zh-CN"/>
              </w:rPr>
            </w:pPr>
            <w:r>
              <w:rPr>
                <w:rFonts w:hint="eastAsia" w:ascii="宋体" w:hAnsi="宋体" w:cs="宋体"/>
                <w:spacing w:val="-3"/>
                <w:sz w:val="24"/>
                <w:szCs w:val="24"/>
                <w:lang w:val="en-US" w:eastAsia="zh-CN"/>
              </w:rPr>
              <w:t>园地、其他草地、乔木林地等</w:t>
            </w:r>
          </w:p>
        </w:tc>
      </w:tr>
      <w:tr w14:paraId="64C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556" w:type="pct"/>
            <w:vMerge w:val="continue"/>
            <w:noWrap w:val="0"/>
            <w:vAlign w:val="center"/>
          </w:tcPr>
          <w:p w14:paraId="109A676E">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962" w:type="pct"/>
            <w:noWrap w:val="0"/>
            <w:vAlign w:val="center"/>
          </w:tcPr>
          <w:p w14:paraId="424BDA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耕地及</w:t>
            </w:r>
            <w:r>
              <w:rPr>
                <w:rFonts w:hint="eastAsia" w:ascii="宋体" w:hAnsi="宋体" w:eastAsia="宋体" w:cs="宋体"/>
                <w:spacing w:val="3"/>
                <w:sz w:val="24"/>
                <w:szCs w:val="24"/>
              </w:rPr>
              <w:t>永久基本农田</w:t>
            </w:r>
          </w:p>
        </w:tc>
        <w:tc>
          <w:tcPr>
            <w:tcW w:w="1069" w:type="pct"/>
            <w:noWrap w:val="0"/>
            <w:vAlign w:val="center"/>
          </w:tcPr>
          <w:p w14:paraId="271F8F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土壤质量</w:t>
            </w:r>
          </w:p>
        </w:tc>
        <w:tc>
          <w:tcPr>
            <w:tcW w:w="887" w:type="pct"/>
            <w:noWrap w:val="0"/>
            <w:vAlign w:val="center"/>
          </w:tcPr>
          <w:p w14:paraId="038BF4A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NY/T</w:t>
            </w:r>
            <w:r>
              <w:rPr>
                <w:rFonts w:hint="eastAsia" w:ascii="宋体" w:hAnsi="宋体" w:eastAsia="宋体" w:cs="宋体"/>
                <w:spacing w:val="26"/>
                <w:sz w:val="24"/>
                <w:szCs w:val="24"/>
              </w:rPr>
              <w:t xml:space="preserve"> </w:t>
            </w:r>
            <w:r>
              <w:rPr>
                <w:rFonts w:hint="eastAsia" w:ascii="宋体" w:hAnsi="宋体" w:eastAsia="宋体" w:cs="宋体"/>
                <w:spacing w:val="-3"/>
                <w:sz w:val="24"/>
                <w:szCs w:val="24"/>
              </w:rPr>
              <w:t>1119</w:t>
            </w:r>
          </w:p>
        </w:tc>
        <w:tc>
          <w:tcPr>
            <w:tcW w:w="1524" w:type="pct"/>
            <w:noWrap w:val="0"/>
            <w:vAlign w:val="center"/>
          </w:tcPr>
          <w:p w14:paraId="3AD44D09">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pacing w:val="-3"/>
                <w:sz w:val="24"/>
                <w:szCs w:val="24"/>
              </w:rPr>
            </w:pPr>
            <w:r>
              <w:rPr>
                <w:rFonts w:hint="eastAsia" w:ascii="宋体" w:hAnsi="宋体" w:eastAsia="宋体" w:cs="宋体"/>
                <w:sz w:val="24"/>
                <w:szCs w:val="24"/>
              </w:rPr>
              <w:t>pH值5.</w:t>
            </w:r>
            <w:r>
              <w:rPr>
                <w:rFonts w:hint="eastAsia" w:ascii="宋体" w:hAnsi="宋体" w:eastAsia="宋体" w:cs="宋体"/>
                <w:sz w:val="24"/>
                <w:szCs w:val="24"/>
                <w:lang w:val="en-US" w:eastAsia="zh-CN"/>
              </w:rPr>
              <w:t>26</w:t>
            </w:r>
            <w:r>
              <w:rPr>
                <w:rFonts w:hint="eastAsia" w:ascii="宋体" w:hAnsi="宋体" w:eastAsia="宋体" w:cs="宋体"/>
                <w:sz w:val="24"/>
                <w:szCs w:val="24"/>
              </w:rPr>
              <w:t>～</w:t>
            </w:r>
            <w:r>
              <w:rPr>
                <w:rFonts w:hint="eastAsia" w:ascii="宋体" w:hAnsi="宋体" w:eastAsia="宋体" w:cs="宋体"/>
                <w:sz w:val="24"/>
                <w:szCs w:val="24"/>
                <w:lang w:val="en-US" w:eastAsia="zh-CN"/>
              </w:rPr>
              <w:t>8.74</w:t>
            </w:r>
            <w:r>
              <w:rPr>
                <w:rFonts w:hint="eastAsia" w:ascii="宋体" w:hAnsi="宋体" w:eastAsia="宋体" w:cs="宋体"/>
                <w:sz w:val="24"/>
                <w:szCs w:val="24"/>
              </w:rPr>
              <w:t>，有机质含量</w:t>
            </w:r>
            <w:r>
              <w:rPr>
                <w:rFonts w:hint="eastAsia" w:ascii="宋体" w:hAnsi="宋体" w:eastAsia="宋体" w:cs="宋体"/>
                <w:sz w:val="24"/>
                <w:szCs w:val="24"/>
                <w:lang w:val="en-US" w:eastAsia="zh-CN"/>
              </w:rPr>
              <w:t>0.42</w:t>
            </w:r>
            <w:r>
              <w:rPr>
                <w:rFonts w:hint="eastAsia" w:ascii="宋体" w:hAnsi="宋体" w:eastAsia="宋体" w:cs="宋体"/>
                <w:sz w:val="24"/>
                <w:szCs w:val="24"/>
              </w:rPr>
              <w:t>～</w:t>
            </w:r>
            <w:r>
              <w:rPr>
                <w:rFonts w:hint="eastAsia" w:ascii="宋体" w:hAnsi="宋体" w:eastAsia="宋体" w:cs="宋体"/>
                <w:sz w:val="24"/>
                <w:szCs w:val="24"/>
                <w:lang w:val="en-US" w:eastAsia="zh-CN"/>
              </w:rPr>
              <w:t>4.18%</w:t>
            </w:r>
            <w:r>
              <w:rPr>
                <w:rFonts w:hint="eastAsia" w:ascii="宋体" w:hAnsi="宋体" w:eastAsia="宋体" w:cs="宋体"/>
                <w:sz w:val="24"/>
                <w:szCs w:val="24"/>
              </w:rPr>
              <w:t>，</w:t>
            </w:r>
          </w:p>
        </w:tc>
      </w:tr>
      <w:tr w14:paraId="1C98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556" w:type="pct"/>
            <w:vMerge w:val="restart"/>
            <w:noWrap w:val="0"/>
            <w:vAlign w:val="center"/>
          </w:tcPr>
          <w:p w14:paraId="42916FE4">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生态系统</w:t>
            </w:r>
          </w:p>
        </w:tc>
        <w:tc>
          <w:tcPr>
            <w:tcW w:w="962" w:type="pct"/>
            <w:vMerge w:val="restart"/>
            <w:noWrap w:val="0"/>
            <w:vAlign w:val="center"/>
          </w:tcPr>
          <w:p w14:paraId="76BAE8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生态系统质量</w:t>
            </w:r>
          </w:p>
        </w:tc>
        <w:tc>
          <w:tcPr>
            <w:tcW w:w="1069" w:type="pct"/>
            <w:noWrap w:val="0"/>
            <w:vAlign w:val="center"/>
          </w:tcPr>
          <w:p w14:paraId="0C94B9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植被覆盖度</w:t>
            </w:r>
          </w:p>
        </w:tc>
        <w:tc>
          <w:tcPr>
            <w:tcW w:w="887" w:type="pct"/>
            <w:vMerge w:val="restart"/>
            <w:noWrap w:val="0"/>
            <w:vAlign w:val="center"/>
          </w:tcPr>
          <w:p w14:paraId="25C5DB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GB/T 42340</w:t>
            </w:r>
          </w:p>
        </w:tc>
        <w:tc>
          <w:tcPr>
            <w:tcW w:w="1524" w:type="pct"/>
            <w:noWrap w:val="0"/>
            <w:vAlign w:val="center"/>
          </w:tcPr>
          <w:p w14:paraId="4C1644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85%</w:t>
            </w:r>
          </w:p>
        </w:tc>
      </w:tr>
      <w:tr w14:paraId="7613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556" w:type="pct"/>
            <w:vMerge w:val="continue"/>
            <w:noWrap w:val="0"/>
            <w:vAlign w:val="center"/>
          </w:tcPr>
          <w:p w14:paraId="08D49371">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962" w:type="pct"/>
            <w:vMerge w:val="continue"/>
            <w:noWrap w:val="0"/>
            <w:vAlign w:val="center"/>
          </w:tcPr>
          <w:p w14:paraId="7938E519">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1069" w:type="pct"/>
            <w:noWrap w:val="0"/>
            <w:vAlign w:val="center"/>
          </w:tcPr>
          <w:p w14:paraId="2A5A66D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水质</w:t>
            </w:r>
          </w:p>
        </w:tc>
        <w:tc>
          <w:tcPr>
            <w:tcW w:w="887" w:type="pct"/>
            <w:vMerge w:val="continue"/>
            <w:noWrap w:val="0"/>
            <w:vAlign w:val="center"/>
          </w:tcPr>
          <w:p w14:paraId="15DF50E8">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p>
        </w:tc>
        <w:tc>
          <w:tcPr>
            <w:tcW w:w="1524" w:type="pct"/>
            <w:noWrap w:val="0"/>
            <w:vAlign w:val="center"/>
          </w:tcPr>
          <w:p w14:paraId="33D6B6C9">
            <w:pPr>
              <w:pStyle w:val="10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Ⅰ类</w:t>
            </w:r>
          </w:p>
        </w:tc>
      </w:tr>
    </w:tbl>
    <w:p w14:paraId="3B665058">
      <w:pPr>
        <w:keepNext w:val="0"/>
        <w:keepLines w:val="0"/>
        <w:pageBreakBefore w:val="0"/>
        <w:widowControl w:val="0"/>
        <w:kinsoku/>
        <w:wordWrap/>
        <w:overflowPunct/>
        <w:topLinePunct w:val="0"/>
        <w:autoSpaceDE/>
        <w:autoSpaceDN/>
        <w:bidi w:val="0"/>
        <w:adjustRightInd/>
        <w:snapToGrid/>
        <w:ind w:firstLine="0" w:firstLineChars="0"/>
        <w:textAlignment w:val="auto"/>
      </w:pPr>
      <w:r>
        <w:br w:type="page"/>
      </w:r>
    </w:p>
    <w:p w14:paraId="5F251FF3">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257" w:name="_Toc14108"/>
      <w:r>
        <w:t>第</w:t>
      </w:r>
      <w:r>
        <w:rPr>
          <w:rFonts w:hint="eastAsia"/>
        </w:rPr>
        <w:t>三</w:t>
      </w:r>
      <w:r>
        <w:t xml:space="preserve">章 </w:t>
      </w:r>
      <w:r>
        <w:rPr>
          <w:rFonts w:hint="eastAsia"/>
        </w:rPr>
        <w:t xml:space="preserve"> </w:t>
      </w:r>
      <w:bookmarkEnd w:id="241"/>
      <w:r>
        <w:rPr>
          <w:rFonts w:hint="eastAsia"/>
        </w:rPr>
        <w:t>问题识别诊断及修复可行性分析</w:t>
      </w:r>
      <w:bookmarkEnd w:id="257"/>
    </w:p>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14:paraId="2E47A145">
      <w:pPr>
        <w:pStyle w:val="5"/>
        <w:spacing w:before="263" w:after="263"/>
        <w:rPr>
          <w:rFonts w:hint="eastAsia" w:ascii="宋体" w:hAnsi="宋体" w:eastAsia="宋体" w:cs="宋体"/>
          <w:b/>
          <w:bCs w:val="0"/>
        </w:rPr>
      </w:pPr>
      <w:bookmarkStart w:id="258" w:name="_Toc514858665"/>
      <w:bookmarkStart w:id="259" w:name="_Toc509345114"/>
      <w:bookmarkStart w:id="260" w:name="_Toc502063941"/>
      <w:bookmarkStart w:id="261" w:name="_Toc32559_WPSOffice_Level2"/>
      <w:bookmarkStart w:id="262" w:name="_Toc502047820"/>
      <w:bookmarkStart w:id="263" w:name="_Toc12089_WPSOffice_Level2"/>
      <w:bookmarkStart w:id="264" w:name="_Toc1819_WPSOffice_Level2"/>
      <w:bookmarkStart w:id="265" w:name="_Toc510594067"/>
      <w:bookmarkStart w:id="266" w:name="_Toc502045777"/>
      <w:bookmarkStart w:id="267" w:name="_Toc502047616"/>
      <w:bookmarkStart w:id="268" w:name="_Toc509344826"/>
      <w:bookmarkStart w:id="269" w:name="_Toc46047444"/>
      <w:bookmarkStart w:id="270" w:name="_Toc502684780"/>
      <w:bookmarkStart w:id="271" w:name="_Toc509345010"/>
      <w:bookmarkStart w:id="272" w:name="_Toc502045003"/>
      <w:bookmarkStart w:id="273" w:name="_Toc29972"/>
      <w:r>
        <w:rPr>
          <w:rFonts w:hint="eastAsia" w:ascii="宋体" w:hAnsi="宋体" w:eastAsia="宋体" w:cs="宋体"/>
          <w:b/>
          <w:bCs w:val="0"/>
        </w:rPr>
        <w:t>一、</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Fonts w:hint="eastAsia" w:ascii="宋体" w:hAnsi="宋体" w:eastAsia="宋体" w:cs="宋体"/>
          <w:b/>
          <w:bCs w:val="0"/>
        </w:rPr>
        <w:t>问题识别与受损预测</w:t>
      </w:r>
      <w:bookmarkEnd w:id="273"/>
    </w:p>
    <w:p w14:paraId="0D028E70">
      <w:pPr>
        <w:pStyle w:val="7"/>
        <w:spacing w:line="360" w:lineRule="auto"/>
        <w:rPr>
          <w:rFonts w:hint="eastAsia"/>
          <w:sz w:val="28"/>
          <w:szCs w:val="28"/>
        </w:rPr>
      </w:pPr>
      <w:r>
        <w:rPr>
          <w:rFonts w:hint="eastAsia"/>
          <w:sz w:val="28"/>
          <w:szCs w:val="28"/>
        </w:rPr>
        <w:t>1.评估范围</w:t>
      </w:r>
    </w:p>
    <w:p w14:paraId="361F2545">
      <w:pPr>
        <w:spacing w:line="360" w:lineRule="auto"/>
        <w:rPr>
          <w:rFonts w:hint="eastAsia" w:eastAsia="宋体"/>
          <w:sz w:val="28"/>
          <w:szCs w:val="28"/>
          <w:lang w:eastAsia="zh-CN"/>
        </w:rPr>
      </w:pPr>
      <w:r>
        <w:rPr>
          <w:sz w:val="28"/>
          <w:szCs w:val="28"/>
        </w:rPr>
        <w:t>根据</w:t>
      </w:r>
      <w:r>
        <w:rPr>
          <w:rFonts w:hint="eastAsia"/>
          <w:sz w:val="28"/>
          <w:szCs w:val="28"/>
        </w:rPr>
        <w:t>《矿区生态修复方案编制指南（临时）》生态修复</w:t>
      </w:r>
      <w:r>
        <w:rPr>
          <w:sz w:val="28"/>
          <w:szCs w:val="28"/>
        </w:rPr>
        <w:t>方案涉及的范围包括采矿登记范围和采矿活动可能影响的范围。</w:t>
      </w:r>
      <w:r>
        <w:rPr>
          <w:rFonts w:hint="eastAsia"/>
          <w:sz w:val="28"/>
          <w:szCs w:val="28"/>
          <w:lang w:val="en-US" w:eastAsia="zh-CN"/>
        </w:rPr>
        <w:t>评估</w:t>
      </w:r>
      <w:r>
        <w:rPr>
          <w:rFonts w:hint="eastAsia"/>
          <w:sz w:val="28"/>
          <w:szCs w:val="28"/>
        </w:rPr>
        <w:t>工作范围</w:t>
      </w:r>
      <w:r>
        <w:rPr>
          <w:rFonts w:hint="eastAsia"/>
          <w:sz w:val="28"/>
          <w:szCs w:val="28"/>
          <w:lang w:val="en-US" w:eastAsia="zh-CN"/>
        </w:rPr>
        <w:t>包含</w:t>
      </w:r>
      <w:r>
        <w:rPr>
          <w:rFonts w:hint="eastAsia" w:ascii="宋体" w:hAnsi="宋体"/>
          <w:sz w:val="28"/>
          <w:szCs w:val="28"/>
          <w:highlight w:val="none"/>
        </w:rPr>
        <w:t>露天采场、复垦用土临时堆场</w:t>
      </w:r>
      <w:r>
        <w:rPr>
          <w:rFonts w:hint="eastAsia" w:ascii="宋体" w:hAnsi="宋体"/>
          <w:sz w:val="28"/>
          <w:szCs w:val="28"/>
          <w:highlight w:val="none"/>
          <w:lang w:eastAsia="zh-CN"/>
        </w:rPr>
        <w:t>、排土场、破碎站、办公生活区、</w:t>
      </w:r>
      <w:r>
        <w:rPr>
          <w:rFonts w:hint="eastAsia" w:ascii="宋体" w:hAnsi="宋体"/>
          <w:sz w:val="28"/>
          <w:szCs w:val="28"/>
          <w:highlight w:val="none"/>
          <w:lang w:val="en-US" w:eastAsia="zh-CN"/>
        </w:rPr>
        <w:t>矿区道路等</w:t>
      </w:r>
      <w:r>
        <w:rPr>
          <w:rFonts w:hint="eastAsia"/>
          <w:sz w:val="28"/>
          <w:szCs w:val="28"/>
        </w:rPr>
        <w:t>。</w:t>
      </w:r>
      <w:r>
        <w:rPr>
          <w:sz w:val="28"/>
          <w:szCs w:val="28"/>
        </w:rPr>
        <w:t>依据此原则，在考虑矿区登记范围、采矿影响范围及开采方式的基础上，结合</w:t>
      </w:r>
      <w:r>
        <w:rPr>
          <w:rFonts w:hint="eastAsia"/>
          <w:sz w:val="28"/>
          <w:szCs w:val="28"/>
        </w:rPr>
        <w:t>矿区</w:t>
      </w:r>
      <w:r>
        <w:rPr>
          <w:sz w:val="28"/>
          <w:szCs w:val="28"/>
        </w:rPr>
        <w:t>特点，确定本次矿山地质环境评估范围</w:t>
      </w:r>
      <w:r>
        <w:rPr>
          <w:rFonts w:hint="eastAsia"/>
          <w:sz w:val="28"/>
          <w:szCs w:val="28"/>
        </w:rPr>
        <w:t>：</w:t>
      </w:r>
      <w:r>
        <w:rPr>
          <w:rFonts w:hint="eastAsia"/>
          <w:sz w:val="28"/>
          <w:szCs w:val="28"/>
          <w:lang w:val="en-US" w:eastAsia="zh-CN"/>
        </w:rPr>
        <w:t>以采矿权范围和采矿附属设施周边外扩10-30m为界，</w:t>
      </w:r>
      <w:r>
        <w:rPr>
          <w:rFonts w:hint="eastAsia"/>
          <w:sz w:val="28"/>
          <w:szCs w:val="28"/>
        </w:rPr>
        <w:t>最终确定评估区面积共计24.8640</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lang w:eastAsia="zh-CN"/>
        </w:rPr>
        <w:t>。</w:t>
      </w:r>
    </w:p>
    <w:p w14:paraId="63E5A5F3">
      <w:pPr>
        <w:pStyle w:val="7"/>
        <w:spacing w:line="360" w:lineRule="auto"/>
        <w:rPr>
          <w:rFonts w:hint="eastAsia"/>
          <w:sz w:val="28"/>
          <w:szCs w:val="28"/>
        </w:rPr>
      </w:pPr>
      <w:bookmarkStart w:id="274" w:name="_Toc502047825"/>
      <w:bookmarkStart w:id="275" w:name="_Toc502044836"/>
      <w:bookmarkStart w:id="276" w:name="_Toc502045008"/>
      <w:bookmarkStart w:id="277" w:name="_Toc502047621"/>
      <w:bookmarkStart w:id="278" w:name="_Toc502045782"/>
      <w:r>
        <w:rPr>
          <w:rFonts w:hint="eastAsia"/>
          <w:sz w:val="28"/>
          <w:szCs w:val="28"/>
        </w:rPr>
        <w:t>2.</w:t>
      </w:r>
      <w:r>
        <w:rPr>
          <w:sz w:val="28"/>
          <w:szCs w:val="28"/>
        </w:rPr>
        <w:t>评估工作规范和分级标准</w:t>
      </w:r>
    </w:p>
    <w:p w14:paraId="7C1C4BF7">
      <w:pPr>
        <w:spacing w:line="360" w:lineRule="auto"/>
        <w:rPr>
          <w:sz w:val="28"/>
          <w:szCs w:val="28"/>
        </w:rPr>
      </w:pPr>
      <w:r>
        <w:rPr>
          <w:rFonts w:hint="eastAsia"/>
          <w:sz w:val="28"/>
          <w:szCs w:val="28"/>
        </w:rPr>
        <w:t>（1）评估工作方法</w:t>
      </w:r>
    </w:p>
    <w:p w14:paraId="649B4A20">
      <w:pPr>
        <w:spacing w:line="360" w:lineRule="auto"/>
        <w:rPr>
          <w:sz w:val="28"/>
          <w:szCs w:val="28"/>
        </w:rPr>
      </w:pPr>
      <w:r>
        <w:rPr>
          <w:rFonts w:hint="eastAsia"/>
          <w:sz w:val="28"/>
          <w:szCs w:val="28"/>
        </w:rPr>
        <w:t>①首先按单点单要素的评估方法对每个形成矿山地质环境影响、土地损毁、生态受损与退化三个方面进行评估，在评估图上取差表示，以便于评估图的分区。</w:t>
      </w:r>
    </w:p>
    <w:p w14:paraId="34779028">
      <w:pPr>
        <w:spacing w:line="360" w:lineRule="auto"/>
        <w:rPr>
          <w:sz w:val="28"/>
          <w:szCs w:val="28"/>
        </w:rPr>
      </w:pPr>
      <w:r>
        <w:rPr>
          <w:rFonts w:hint="eastAsia"/>
          <w:sz w:val="28"/>
          <w:szCs w:val="28"/>
        </w:rPr>
        <w:t>②地质环境问题包括不稳定地质体、含水层破坏、地形地貌景观破坏，土地损毁包括土地挖损、压占、塌陷等损毁问题，生态受损与退化包括植被损毁和支撑生态服务功能的生物多样性丧失、水土流失、环境污染等问题。每个方面评估完成后根据取差原则给出其对矿山地质环境影响的总体评价结论。</w:t>
      </w:r>
    </w:p>
    <w:p w14:paraId="69E222E6">
      <w:pPr>
        <w:spacing w:line="360" w:lineRule="auto"/>
        <w:rPr>
          <w:sz w:val="28"/>
          <w:szCs w:val="28"/>
        </w:rPr>
      </w:pPr>
      <w:r>
        <w:rPr>
          <w:rFonts w:hint="eastAsia"/>
          <w:sz w:val="28"/>
          <w:szCs w:val="28"/>
        </w:rPr>
        <w:t>（2）矿山地质环境影响分级标准</w:t>
      </w:r>
    </w:p>
    <w:p w14:paraId="2361BFA0">
      <w:pPr>
        <w:spacing w:line="360" w:lineRule="auto"/>
        <w:rPr>
          <w:sz w:val="28"/>
          <w:szCs w:val="28"/>
        </w:rPr>
      </w:pPr>
      <w:r>
        <w:rPr>
          <w:rFonts w:hint="eastAsia"/>
          <w:sz w:val="28"/>
          <w:szCs w:val="28"/>
        </w:rPr>
        <w:t>根据《矿山地质环境保护与恢复治理方案编制规范》（DZ/T0223-2011），</w:t>
      </w:r>
      <w:r>
        <w:rPr>
          <w:rFonts w:hint="eastAsia"/>
          <w:color w:val="000000" w:themeColor="text1"/>
          <w:sz w:val="28"/>
          <w:szCs w:val="28"/>
          <w14:textFill>
            <w14:solidFill>
              <w14:schemeClr w14:val="tx1"/>
            </w14:solidFill>
          </w14:textFill>
        </w:rPr>
        <w:t>矿山地质环境</w:t>
      </w:r>
      <w:r>
        <w:rPr>
          <w:rFonts w:hint="eastAsia"/>
          <w:sz w:val="28"/>
          <w:szCs w:val="28"/>
        </w:rPr>
        <w:t>现状评估主要对评估区现状地质灾害的危险性、矿业活动对地下水含水层的影响或破坏、矿业活动对地形地貌景观的影响或破坏、矿业活动对土地资源的影响或破坏等四个方面进行评估，并根据《矿山地质环境保护与恢复治理方案编制规范》附录E《矿山地质环境影响程度分级表》（表3-1）进行分级。</w:t>
      </w:r>
    </w:p>
    <w:p w14:paraId="60AC5EA7">
      <w:pPr>
        <w:pStyle w:val="9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sz w:val="24"/>
          <w:szCs w:val="24"/>
          <w:lang w:val="en-US" w:eastAsia="zh-CN"/>
        </w:rPr>
      </w:pPr>
      <w:r>
        <w:rPr>
          <w:rFonts w:hint="eastAsia"/>
          <w:sz w:val="24"/>
          <w:szCs w:val="24"/>
          <w:lang w:val="en-US" w:eastAsia="zh-CN"/>
        </w:rPr>
        <w:t>表3-1    矿山地质环境影响程度分级表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979"/>
        <w:gridCol w:w="2811"/>
        <w:gridCol w:w="1862"/>
        <w:gridCol w:w="1495"/>
      </w:tblGrid>
      <w:tr w14:paraId="6292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blHeader/>
        </w:trPr>
        <w:tc>
          <w:tcPr>
            <w:tcW w:w="697" w:type="dxa"/>
            <w:tcMar>
              <w:top w:w="0" w:type="dxa"/>
              <w:left w:w="28" w:type="dxa"/>
              <w:bottom w:w="0" w:type="dxa"/>
              <w:right w:w="28" w:type="dxa"/>
            </w:tcMar>
            <w:vAlign w:val="center"/>
          </w:tcPr>
          <w:p w14:paraId="4FB81365">
            <w:pPr>
              <w:pStyle w:val="76"/>
              <w:rPr>
                <w:rFonts w:hint="default" w:ascii="Times New Roman" w:hAnsi="Times New Roman" w:eastAsia="宋体" w:cs="Times New Roman"/>
                <w:sz w:val="24"/>
                <w:szCs w:val="24"/>
                <w:lang w:eastAsia="zh-CN"/>
              </w:rPr>
            </w:pPr>
            <w:bookmarkStart w:id="279" w:name="_Hlk128475667"/>
            <w:r>
              <w:rPr>
                <w:rFonts w:hint="default" w:ascii="Times New Roman" w:hAnsi="Times New Roman" w:eastAsia="宋体" w:cs="Times New Roman"/>
                <w:sz w:val="24"/>
                <w:szCs w:val="24"/>
              </w:rPr>
              <w:t>影响程度分级</w:t>
            </w:r>
          </w:p>
        </w:tc>
        <w:tc>
          <w:tcPr>
            <w:tcW w:w="1979" w:type="dxa"/>
            <w:tcMar>
              <w:top w:w="0" w:type="dxa"/>
              <w:left w:w="28" w:type="dxa"/>
              <w:bottom w:w="0" w:type="dxa"/>
              <w:right w:w="28" w:type="dxa"/>
            </w:tcMar>
            <w:vAlign w:val="center"/>
          </w:tcPr>
          <w:p w14:paraId="63CCE4A7">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地质灾害</w:t>
            </w:r>
          </w:p>
        </w:tc>
        <w:tc>
          <w:tcPr>
            <w:tcW w:w="2811" w:type="dxa"/>
            <w:tcMar>
              <w:top w:w="0" w:type="dxa"/>
              <w:left w:w="28" w:type="dxa"/>
              <w:bottom w:w="0" w:type="dxa"/>
              <w:right w:w="28" w:type="dxa"/>
            </w:tcMar>
            <w:vAlign w:val="center"/>
          </w:tcPr>
          <w:p w14:paraId="466CC823">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含水层</w:t>
            </w:r>
          </w:p>
        </w:tc>
        <w:tc>
          <w:tcPr>
            <w:tcW w:w="1862" w:type="dxa"/>
            <w:tcMar>
              <w:top w:w="0" w:type="dxa"/>
              <w:left w:w="28" w:type="dxa"/>
              <w:bottom w:w="0" w:type="dxa"/>
              <w:right w:w="28" w:type="dxa"/>
            </w:tcMar>
            <w:vAlign w:val="center"/>
          </w:tcPr>
          <w:p w14:paraId="5646CF04">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地形地貌景观</w:t>
            </w:r>
          </w:p>
        </w:tc>
        <w:tc>
          <w:tcPr>
            <w:tcW w:w="0" w:type="auto"/>
            <w:tcMar>
              <w:top w:w="0" w:type="dxa"/>
              <w:left w:w="28" w:type="dxa"/>
              <w:bottom w:w="0" w:type="dxa"/>
              <w:right w:w="28" w:type="dxa"/>
            </w:tcMar>
            <w:vAlign w:val="center"/>
          </w:tcPr>
          <w:p w14:paraId="7580A04C">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土地资源</w:t>
            </w:r>
          </w:p>
        </w:tc>
      </w:tr>
      <w:tr w14:paraId="7535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trPr>
        <w:tc>
          <w:tcPr>
            <w:tcW w:w="697" w:type="dxa"/>
            <w:tcMar>
              <w:top w:w="0" w:type="dxa"/>
              <w:left w:w="28" w:type="dxa"/>
              <w:bottom w:w="0" w:type="dxa"/>
              <w:right w:w="28" w:type="dxa"/>
            </w:tcMar>
            <w:vAlign w:val="center"/>
          </w:tcPr>
          <w:p w14:paraId="259065A9">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严重</w:t>
            </w:r>
          </w:p>
        </w:tc>
        <w:tc>
          <w:tcPr>
            <w:tcW w:w="1979" w:type="dxa"/>
            <w:tcMar>
              <w:top w:w="0" w:type="dxa"/>
              <w:left w:w="28" w:type="dxa"/>
              <w:bottom w:w="0" w:type="dxa"/>
              <w:right w:w="28" w:type="dxa"/>
            </w:tcMar>
            <w:vAlign w:val="center"/>
          </w:tcPr>
          <w:p w14:paraId="2F98C296">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地质灾害规模大，发生的可能性大；影响到城市、乡镇、重要行政村、重要交通干线、重要工程设施及各类保护区安全；造成或可能造成直接经济损失大于500万元；受威胁人数大于100人。</w:t>
            </w:r>
          </w:p>
        </w:tc>
        <w:tc>
          <w:tcPr>
            <w:tcW w:w="2811" w:type="dxa"/>
            <w:tcMar>
              <w:top w:w="0" w:type="dxa"/>
              <w:left w:w="28" w:type="dxa"/>
              <w:bottom w:w="0" w:type="dxa"/>
              <w:right w:w="28" w:type="dxa"/>
            </w:tcMar>
            <w:vAlign w:val="center"/>
          </w:tcPr>
          <w:p w14:paraId="126DC531">
            <w:pPr>
              <w:pStyle w:val="76"/>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矿床充水主要含水层结构破坏，产生导水通道；矿井正常涌水量大于10000m³/d；区域地下水水位下降；矿区周围主要含水层（带）水位大幅下降，或呈疏干状态，地表水体漏失严重；不同含水层（组）串通水质恶化；影响集中水源地供水，矿区及周围生产、生活供水困难。</w:t>
            </w:r>
          </w:p>
        </w:tc>
        <w:tc>
          <w:tcPr>
            <w:tcW w:w="1862" w:type="dxa"/>
            <w:tcMar>
              <w:top w:w="0" w:type="dxa"/>
              <w:left w:w="28" w:type="dxa"/>
              <w:bottom w:w="0" w:type="dxa"/>
              <w:right w:w="28" w:type="dxa"/>
            </w:tcMar>
            <w:vAlign w:val="center"/>
          </w:tcPr>
          <w:p w14:paraId="1832B455">
            <w:pPr>
              <w:pStyle w:val="76"/>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对原生的地形地貌景观影响和破坏程度大；对各类自然保护区、人文景观、风景旅游区、城市周围、主要交通干线两侧可视范围内地形地貌景观影响严重。</w:t>
            </w:r>
          </w:p>
        </w:tc>
        <w:tc>
          <w:tcPr>
            <w:tcW w:w="0" w:type="auto"/>
            <w:tcMar>
              <w:top w:w="0" w:type="dxa"/>
              <w:left w:w="28" w:type="dxa"/>
              <w:bottom w:w="0" w:type="dxa"/>
              <w:right w:w="28" w:type="dxa"/>
            </w:tcMar>
            <w:vAlign w:val="center"/>
          </w:tcPr>
          <w:p w14:paraId="6C3CD7F3">
            <w:pPr>
              <w:pStyle w:val="76"/>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破坏基本农田；破坏耕地大于2h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；破坏林地或草地大于4h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；破坏荒地或未开发利用土地大于20h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w:t>
            </w:r>
          </w:p>
        </w:tc>
      </w:tr>
      <w:tr w14:paraId="6B53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trPr>
        <w:tc>
          <w:tcPr>
            <w:tcW w:w="697" w:type="dxa"/>
            <w:tcMar>
              <w:top w:w="0" w:type="dxa"/>
              <w:left w:w="28" w:type="dxa"/>
              <w:bottom w:w="0" w:type="dxa"/>
              <w:right w:w="28" w:type="dxa"/>
            </w:tcMar>
            <w:vAlign w:val="center"/>
          </w:tcPr>
          <w:p w14:paraId="1E77523A">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较严重</w:t>
            </w:r>
          </w:p>
        </w:tc>
        <w:tc>
          <w:tcPr>
            <w:tcW w:w="1979" w:type="dxa"/>
            <w:tcMar>
              <w:top w:w="0" w:type="dxa"/>
              <w:left w:w="28" w:type="dxa"/>
              <w:bottom w:w="0" w:type="dxa"/>
              <w:right w:w="28" w:type="dxa"/>
            </w:tcMar>
            <w:vAlign w:val="center"/>
          </w:tcPr>
          <w:p w14:paraId="629A42ED">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地质灾害规模中等，发生的可能性较大；影响到村庄、居民聚居区、一般交通线和较重要工程设施安全；造成或可能造成直接经济损失100～500万元；受威胁人数10～100人。</w:t>
            </w:r>
          </w:p>
        </w:tc>
        <w:tc>
          <w:tcPr>
            <w:tcW w:w="2811" w:type="dxa"/>
            <w:tcMar>
              <w:top w:w="0" w:type="dxa"/>
              <w:left w:w="28" w:type="dxa"/>
              <w:bottom w:w="0" w:type="dxa"/>
              <w:right w:w="28" w:type="dxa"/>
            </w:tcMar>
            <w:vAlign w:val="center"/>
          </w:tcPr>
          <w:p w14:paraId="53065F5B">
            <w:pPr>
              <w:pStyle w:val="76"/>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矿井正常涌水量3000—10000m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rPr>
              <w:t>/d；矿区及周围主要含水层（带）水位下降幅度较大，地下水呈半疏干状态；矿区及周围地表水体漏失较严重；影响矿区及周围部分生产生活供水。</w:t>
            </w:r>
          </w:p>
        </w:tc>
        <w:tc>
          <w:tcPr>
            <w:tcW w:w="1862" w:type="dxa"/>
            <w:tcMar>
              <w:top w:w="0" w:type="dxa"/>
              <w:left w:w="28" w:type="dxa"/>
              <w:bottom w:w="0" w:type="dxa"/>
              <w:right w:w="28" w:type="dxa"/>
            </w:tcMar>
            <w:vAlign w:val="center"/>
          </w:tcPr>
          <w:p w14:paraId="3684F70F">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对原生的地形地貌景观影响和破坏程度较大；对各类自然保护区、人文景观、风景旅游区、城市周围、主要交通干线两侧可视范围内地形地貌景观影响较重。</w:t>
            </w:r>
          </w:p>
        </w:tc>
        <w:tc>
          <w:tcPr>
            <w:tcW w:w="0" w:type="auto"/>
            <w:tcMar>
              <w:top w:w="0" w:type="dxa"/>
              <w:left w:w="28" w:type="dxa"/>
              <w:bottom w:w="0" w:type="dxa"/>
              <w:right w:w="28" w:type="dxa"/>
            </w:tcMar>
            <w:vAlign w:val="center"/>
          </w:tcPr>
          <w:p w14:paraId="2606BB7D">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破坏耕地小于等于2h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；破坏林地或草地2-4h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；破坏荒山或未开发利用土地10-20h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w:t>
            </w:r>
          </w:p>
        </w:tc>
      </w:tr>
      <w:tr w14:paraId="1651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697" w:type="dxa"/>
            <w:tcMar>
              <w:top w:w="0" w:type="dxa"/>
              <w:left w:w="28" w:type="dxa"/>
              <w:bottom w:w="0" w:type="dxa"/>
              <w:right w:w="28" w:type="dxa"/>
            </w:tcMar>
            <w:vAlign w:val="center"/>
          </w:tcPr>
          <w:p w14:paraId="7C16F32A">
            <w:pPr>
              <w:pStyle w:val="7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较轻</w:t>
            </w:r>
          </w:p>
        </w:tc>
        <w:tc>
          <w:tcPr>
            <w:tcW w:w="1979" w:type="dxa"/>
            <w:tcMar>
              <w:top w:w="0" w:type="dxa"/>
              <w:left w:w="28" w:type="dxa"/>
              <w:bottom w:w="0" w:type="dxa"/>
              <w:right w:w="28" w:type="dxa"/>
            </w:tcMar>
            <w:vAlign w:val="center"/>
          </w:tcPr>
          <w:p w14:paraId="177B7E15">
            <w:pPr>
              <w:pStyle w:val="7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地质灾害规模小，发生的可能性小；影响到分散性居民、一般性小规模建筑及设施；造成或可能造成直接经济损失小于100万元；受威胁人数小于10人。</w:t>
            </w:r>
          </w:p>
        </w:tc>
        <w:tc>
          <w:tcPr>
            <w:tcW w:w="2811" w:type="dxa"/>
            <w:tcMar>
              <w:top w:w="0" w:type="dxa"/>
              <w:left w:w="28" w:type="dxa"/>
              <w:bottom w:w="0" w:type="dxa"/>
              <w:right w:w="28" w:type="dxa"/>
            </w:tcMar>
            <w:vAlign w:val="center"/>
          </w:tcPr>
          <w:p w14:paraId="77A0ADCA">
            <w:pPr>
              <w:pStyle w:val="76"/>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矿井正常涌水量小于3000m³/d；矿区及周围主要含水层水位下降幅度小；矿区及周围地表水体未漏失；未影响到矿区及周围生产生活供水。</w:t>
            </w:r>
          </w:p>
        </w:tc>
        <w:tc>
          <w:tcPr>
            <w:tcW w:w="1862" w:type="dxa"/>
            <w:tcMar>
              <w:top w:w="0" w:type="dxa"/>
              <w:left w:w="28" w:type="dxa"/>
              <w:bottom w:w="0" w:type="dxa"/>
              <w:right w:w="28" w:type="dxa"/>
            </w:tcMar>
            <w:vAlign w:val="center"/>
          </w:tcPr>
          <w:p w14:paraId="6A380721">
            <w:pPr>
              <w:pStyle w:val="7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对原生的地形地貌景观影响和破坏程度小；对各类自然保护区、人文景观、风景旅游区、城市周围、主要交通干线两侧可视范围内地形地貌景观影响较轻。</w:t>
            </w:r>
          </w:p>
        </w:tc>
        <w:tc>
          <w:tcPr>
            <w:tcW w:w="0" w:type="auto"/>
            <w:tcMar>
              <w:top w:w="0" w:type="dxa"/>
              <w:left w:w="28" w:type="dxa"/>
              <w:bottom w:w="0" w:type="dxa"/>
              <w:right w:w="28" w:type="dxa"/>
            </w:tcMar>
            <w:vAlign w:val="center"/>
          </w:tcPr>
          <w:p w14:paraId="02767ACC">
            <w:pPr>
              <w:pStyle w:val="7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破坏林地或草地小于等于2h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；破坏荒山或未开发利用土地小于等于10h</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rPr>
              <w:t>。</w:t>
            </w:r>
          </w:p>
        </w:tc>
      </w:tr>
      <w:bookmarkEnd w:id="279"/>
    </w:tbl>
    <w:p w14:paraId="530BC8D9">
      <w:pPr>
        <w:spacing w:line="360" w:lineRule="auto"/>
        <w:rPr>
          <w:sz w:val="28"/>
          <w:szCs w:val="28"/>
        </w:rPr>
      </w:pPr>
      <w:bookmarkStart w:id="280" w:name="_Hlk128475647"/>
      <w:r>
        <w:rPr>
          <w:rFonts w:hint="eastAsia"/>
          <w:sz w:val="28"/>
          <w:szCs w:val="28"/>
        </w:rPr>
        <w:t>（3）土地损毁评价标准</w:t>
      </w:r>
    </w:p>
    <w:p w14:paraId="06250613">
      <w:pPr>
        <w:spacing w:line="360" w:lineRule="auto"/>
        <w:rPr>
          <w:sz w:val="28"/>
          <w:szCs w:val="28"/>
        </w:rPr>
      </w:pPr>
      <w:r>
        <w:rPr>
          <w:rFonts w:hint="eastAsia"/>
          <w:sz w:val="28"/>
          <w:szCs w:val="28"/>
        </w:rPr>
        <w:t>该工程项目在采矿生产过程中对土地的损毁形式为挖损、压占，根据类似工程的土地损毁程度调查情况，参考水土保持、地质灾害评估等学科的实际经验数据，目前较公认采用的标准如下：</w:t>
      </w:r>
    </w:p>
    <w:p w14:paraId="5566C731">
      <w:pPr>
        <w:spacing w:line="360" w:lineRule="auto"/>
        <w:rPr>
          <w:sz w:val="28"/>
          <w:szCs w:val="28"/>
        </w:rPr>
      </w:pPr>
      <w:r>
        <w:rPr>
          <w:rFonts w:hint="eastAsia"/>
          <w:sz w:val="28"/>
          <w:szCs w:val="28"/>
        </w:rPr>
        <w:t>①土地挖损损毁程度等级标准</w:t>
      </w:r>
    </w:p>
    <w:p w14:paraId="62F476CB">
      <w:pPr>
        <w:spacing w:line="360" w:lineRule="auto"/>
        <w:rPr>
          <w:sz w:val="28"/>
          <w:szCs w:val="28"/>
        </w:rPr>
      </w:pPr>
      <w:r>
        <w:rPr>
          <w:rFonts w:hint="eastAsia"/>
          <w:sz w:val="28"/>
          <w:szCs w:val="28"/>
        </w:rPr>
        <w:t>挖损地损毁程度等级采用挖损深度、挖损面积两项指标进行评价</w:t>
      </w:r>
      <w:r>
        <w:rPr>
          <w:rFonts w:hint="eastAsia"/>
          <w:sz w:val="28"/>
          <w:szCs w:val="28"/>
          <w:highlight w:val="none"/>
        </w:rPr>
        <w:t>（表3-2）。</w:t>
      </w:r>
      <w:r>
        <w:rPr>
          <w:rFonts w:hint="eastAsia"/>
          <w:sz w:val="28"/>
          <w:szCs w:val="28"/>
        </w:rPr>
        <w:t>两项因子指标中有一项满足即判为该等级。</w:t>
      </w:r>
    </w:p>
    <w:p w14:paraId="577E3B56">
      <w:pPr>
        <w:pStyle w:val="9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sz w:val="24"/>
          <w:szCs w:val="24"/>
          <w:lang w:val="en-US" w:eastAsia="zh-CN"/>
        </w:rPr>
      </w:pPr>
      <w:r>
        <w:rPr>
          <w:rFonts w:hint="eastAsia"/>
          <w:sz w:val="24"/>
          <w:szCs w:val="24"/>
          <w:highlight w:val="none"/>
          <w:lang w:val="en-US" w:eastAsia="zh-CN"/>
        </w:rPr>
        <w:t xml:space="preserve">表3-2 </w:t>
      </w:r>
      <w:r>
        <w:rPr>
          <w:rFonts w:hint="eastAsia"/>
          <w:sz w:val="24"/>
          <w:szCs w:val="24"/>
          <w:lang w:val="en-US" w:eastAsia="zh-CN"/>
        </w:rPr>
        <w:t xml:space="preserve">    挖损地损毁程度评价因素及等级标准表</w:t>
      </w:r>
    </w:p>
    <w:tbl>
      <w:tblPr>
        <w:tblStyle w:val="33"/>
        <w:tblW w:w="4975" w:type="pct"/>
        <w:tblInd w:w="0" w:type="dxa"/>
        <w:tblLayout w:type="autofit"/>
        <w:tblCellMar>
          <w:top w:w="0" w:type="dxa"/>
          <w:left w:w="108" w:type="dxa"/>
          <w:bottom w:w="0" w:type="dxa"/>
          <w:right w:w="108" w:type="dxa"/>
        </w:tblCellMar>
      </w:tblPr>
      <w:tblGrid>
        <w:gridCol w:w="1584"/>
        <w:gridCol w:w="1993"/>
        <w:gridCol w:w="1792"/>
        <w:gridCol w:w="1792"/>
        <w:gridCol w:w="1798"/>
      </w:tblGrid>
      <w:tr w14:paraId="518B6621">
        <w:tblPrEx>
          <w:tblCellMar>
            <w:top w:w="0" w:type="dxa"/>
            <w:left w:w="108" w:type="dxa"/>
            <w:bottom w:w="0" w:type="dxa"/>
            <w:right w:w="108" w:type="dxa"/>
          </w:tblCellMar>
        </w:tblPrEx>
        <w:trPr>
          <w:trHeight w:val="436" w:hRule="atLeast"/>
        </w:trPr>
        <w:tc>
          <w:tcPr>
            <w:tcW w:w="884" w:type="pct"/>
            <w:vMerge w:val="restart"/>
            <w:tcBorders>
              <w:top w:val="single" w:color="auto" w:sz="4" w:space="0"/>
              <w:left w:val="single" w:color="auto" w:sz="4" w:space="0"/>
              <w:bottom w:val="single" w:color="auto" w:sz="4" w:space="0"/>
              <w:right w:val="single" w:color="auto" w:sz="4" w:space="0"/>
            </w:tcBorders>
            <w:vAlign w:val="center"/>
          </w:tcPr>
          <w:p w14:paraId="20B73A2C">
            <w:pPr>
              <w:pStyle w:val="76"/>
              <w:jc w:val="center"/>
              <w:rPr>
                <w:rFonts w:hint="eastAsia" w:eastAsia="宋体"/>
                <w:sz w:val="24"/>
                <w:szCs w:val="24"/>
                <w:lang w:eastAsia="zh-CN"/>
              </w:rPr>
            </w:pPr>
            <w:r>
              <w:rPr>
                <w:rFonts w:hint="eastAsia"/>
                <w:sz w:val="24"/>
                <w:szCs w:val="24"/>
              </w:rPr>
              <w:t>评价因素</w:t>
            </w:r>
          </w:p>
        </w:tc>
        <w:tc>
          <w:tcPr>
            <w:tcW w:w="1112" w:type="pct"/>
            <w:vMerge w:val="restart"/>
            <w:tcBorders>
              <w:top w:val="single" w:color="auto" w:sz="4" w:space="0"/>
              <w:left w:val="single" w:color="auto" w:sz="4" w:space="0"/>
              <w:bottom w:val="single" w:color="auto" w:sz="4" w:space="0"/>
              <w:right w:val="single" w:color="auto" w:sz="4" w:space="0"/>
            </w:tcBorders>
            <w:vAlign w:val="center"/>
          </w:tcPr>
          <w:p w14:paraId="303F5AFD">
            <w:pPr>
              <w:pStyle w:val="76"/>
              <w:jc w:val="center"/>
              <w:rPr>
                <w:rFonts w:hint="eastAsia" w:eastAsia="宋体"/>
                <w:sz w:val="24"/>
                <w:szCs w:val="24"/>
                <w:lang w:eastAsia="zh-CN"/>
              </w:rPr>
            </w:pPr>
            <w:r>
              <w:rPr>
                <w:rFonts w:hint="eastAsia"/>
                <w:sz w:val="24"/>
                <w:szCs w:val="24"/>
              </w:rPr>
              <w:t>评价因子</w:t>
            </w:r>
          </w:p>
        </w:tc>
        <w:tc>
          <w:tcPr>
            <w:tcW w:w="3003" w:type="pct"/>
            <w:gridSpan w:val="3"/>
            <w:tcBorders>
              <w:top w:val="single" w:color="auto" w:sz="4" w:space="0"/>
              <w:left w:val="nil"/>
              <w:bottom w:val="single" w:color="auto" w:sz="4" w:space="0"/>
              <w:right w:val="single" w:color="auto" w:sz="4" w:space="0"/>
            </w:tcBorders>
            <w:vAlign w:val="center"/>
          </w:tcPr>
          <w:p w14:paraId="09926DCF">
            <w:pPr>
              <w:pStyle w:val="76"/>
              <w:jc w:val="center"/>
              <w:rPr>
                <w:rFonts w:hint="eastAsia" w:eastAsia="宋体"/>
                <w:sz w:val="24"/>
                <w:szCs w:val="24"/>
                <w:lang w:eastAsia="zh-CN"/>
              </w:rPr>
            </w:pPr>
            <w:r>
              <w:rPr>
                <w:rFonts w:hint="eastAsia"/>
                <w:sz w:val="24"/>
                <w:szCs w:val="24"/>
              </w:rPr>
              <w:t>评价等级</w:t>
            </w:r>
          </w:p>
        </w:tc>
      </w:tr>
      <w:tr w14:paraId="67651CB6">
        <w:tblPrEx>
          <w:tblCellMar>
            <w:top w:w="0" w:type="dxa"/>
            <w:left w:w="108" w:type="dxa"/>
            <w:bottom w:w="0" w:type="dxa"/>
            <w:right w:w="108" w:type="dxa"/>
          </w:tblCellMar>
        </w:tblPrEx>
        <w:trPr>
          <w:trHeight w:val="436" w:hRule="atLeast"/>
        </w:trPr>
        <w:tc>
          <w:tcPr>
            <w:tcW w:w="884" w:type="pct"/>
            <w:vMerge w:val="continue"/>
            <w:tcBorders>
              <w:top w:val="single" w:color="auto" w:sz="4" w:space="0"/>
              <w:left w:val="single" w:color="auto" w:sz="4" w:space="0"/>
              <w:bottom w:val="single" w:color="auto" w:sz="4" w:space="0"/>
              <w:right w:val="single" w:color="auto" w:sz="4" w:space="0"/>
            </w:tcBorders>
            <w:vAlign w:val="center"/>
          </w:tcPr>
          <w:p w14:paraId="6BD9E836">
            <w:pPr>
              <w:pStyle w:val="76"/>
              <w:jc w:val="center"/>
              <w:rPr>
                <w:sz w:val="24"/>
                <w:szCs w:val="24"/>
              </w:rPr>
            </w:pPr>
          </w:p>
        </w:tc>
        <w:tc>
          <w:tcPr>
            <w:tcW w:w="1112" w:type="pct"/>
            <w:vMerge w:val="continue"/>
            <w:tcBorders>
              <w:top w:val="single" w:color="auto" w:sz="4" w:space="0"/>
              <w:left w:val="single" w:color="auto" w:sz="4" w:space="0"/>
              <w:bottom w:val="single" w:color="auto" w:sz="4" w:space="0"/>
              <w:right w:val="single" w:color="auto" w:sz="4" w:space="0"/>
            </w:tcBorders>
            <w:vAlign w:val="center"/>
          </w:tcPr>
          <w:p w14:paraId="21AE52DC">
            <w:pPr>
              <w:pStyle w:val="76"/>
              <w:jc w:val="center"/>
              <w:rPr>
                <w:sz w:val="24"/>
                <w:szCs w:val="24"/>
              </w:rPr>
            </w:pPr>
          </w:p>
        </w:tc>
        <w:tc>
          <w:tcPr>
            <w:tcW w:w="1000" w:type="pct"/>
            <w:tcBorders>
              <w:top w:val="nil"/>
              <w:left w:val="nil"/>
              <w:bottom w:val="single" w:color="auto" w:sz="4" w:space="0"/>
              <w:right w:val="single" w:color="auto" w:sz="4" w:space="0"/>
            </w:tcBorders>
            <w:vAlign w:val="center"/>
          </w:tcPr>
          <w:p w14:paraId="37AD837C">
            <w:pPr>
              <w:pStyle w:val="76"/>
              <w:jc w:val="center"/>
              <w:rPr>
                <w:rFonts w:hint="eastAsia" w:eastAsia="宋体"/>
                <w:sz w:val="24"/>
                <w:szCs w:val="24"/>
                <w:lang w:eastAsia="zh-CN"/>
              </w:rPr>
            </w:pPr>
            <w:r>
              <w:rPr>
                <w:rFonts w:hint="eastAsia"/>
                <w:sz w:val="24"/>
                <w:szCs w:val="24"/>
              </w:rPr>
              <w:t>轻度损毁</w:t>
            </w:r>
          </w:p>
        </w:tc>
        <w:tc>
          <w:tcPr>
            <w:tcW w:w="1000" w:type="pct"/>
            <w:tcBorders>
              <w:top w:val="nil"/>
              <w:left w:val="nil"/>
              <w:bottom w:val="single" w:color="auto" w:sz="4" w:space="0"/>
              <w:right w:val="single" w:color="auto" w:sz="4" w:space="0"/>
            </w:tcBorders>
            <w:vAlign w:val="center"/>
          </w:tcPr>
          <w:p w14:paraId="169A036B">
            <w:pPr>
              <w:pStyle w:val="76"/>
              <w:jc w:val="center"/>
              <w:rPr>
                <w:rFonts w:hint="eastAsia" w:eastAsia="宋体"/>
                <w:sz w:val="24"/>
                <w:szCs w:val="24"/>
                <w:lang w:eastAsia="zh-CN"/>
              </w:rPr>
            </w:pPr>
            <w:r>
              <w:rPr>
                <w:rFonts w:hint="eastAsia"/>
                <w:sz w:val="24"/>
                <w:szCs w:val="24"/>
              </w:rPr>
              <w:t>中度损毁</w:t>
            </w:r>
          </w:p>
        </w:tc>
        <w:tc>
          <w:tcPr>
            <w:tcW w:w="1002" w:type="pct"/>
            <w:tcBorders>
              <w:top w:val="nil"/>
              <w:left w:val="nil"/>
              <w:bottom w:val="single" w:color="auto" w:sz="4" w:space="0"/>
              <w:right w:val="single" w:color="auto" w:sz="4" w:space="0"/>
            </w:tcBorders>
            <w:vAlign w:val="center"/>
          </w:tcPr>
          <w:p w14:paraId="2D81CB68">
            <w:pPr>
              <w:pStyle w:val="76"/>
              <w:jc w:val="center"/>
              <w:rPr>
                <w:sz w:val="24"/>
                <w:szCs w:val="24"/>
              </w:rPr>
            </w:pPr>
            <w:r>
              <w:rPr>
                <w:rFonts w:hint="eastAsia"/>
                <w:sz w:val="24"/>
                <w:szCs w:val="24"/>
              </w:rPr>
              <w:t>重度损毁</w:t>
            </w:r>
          </w:p>
        </w:tc>
      </w:tr>
      <w:tr w14:paraId="7ED160DB">
        <w:tblPrEx>
          <w:tblCellMar>
            <w:top w:w="0" w:type="dxa"/>
            <w:left w:w="108" w:type="dxa"/>
            <w:bottom w:w="0" w:type="dxa"/>
            <w:right w:w="108" w:type="dxa"/>
          </w:tblCellMar>
        </w:tblPrEx>
        <w:trPr>
          <w:trHeight w:val="756" w:hRule="atLeast"/>
        </w:trPr>
        <w:tc>
          <w:tcPr>
            <w:tcW w:w="884" w:type="pct"/>
            <w:vMerge w:val="restart"/>
            <w:tcBorders>
              <w:top w:val="nil"/>
              <w:left w:val="single" w:color="auto" w:sz="4" w:space="0"/>
              <w:bottom w:val="single" w:color="auto" w:sz="4" w:space="0"/>
              <w:right w:val="single" w:color="auto" w:sz="4" w:space="0"/>
            </w:tcBorders>
            <w:vAlign w:val="center"/>
          </w:tcPr>
          <w:p w14:paraId="2D0B5A58">
            <w:pPr>
              <w:pStyle w:val="76"/>
              <w:jc w:val="center"/>
              <w:rPr>
                <w:rFonts w:hint="eastAsia" w:eastAsia="宋体"/>
                <w:sz w:val="24"/>
                <w:szCs w:val="24"/>
                <w:lang w:eastAsia="zh-CN"/>
              </w:rPr>
            </w:pPr>
            <w:r>
              <w:rPr>
                <w:rFonts w:hint="eastAsia"/>
                <w:sz w:val="24"/>
                <w:szCs w:val="24"/>
              </w:rPr>
              <w:t>地表挖损</w:t>
            </w:r>
          </w:p>
        </w:tc>
        <w:tc>
          <w:tcPr>
            <w:tcW w:w="1112" w:type="pct"/>
            <w:tcBorders>
              <w:top w:val="nil"/>
              <w:left w:val="nil"/>
              <w:bottom w:val="single" w:color="auto" w:sz="4" w:space="0"/>
              <w:right w:val="single" w:color="auto" w:sz="4" w:space="0"/>
            </w:tcBorders>
            <w:vAlign w:val="center"/>
          </w:tcPr>
          <w:p w14:paraId="2795AED9">
            <w:pPr>
              <w:pStyle w:val="76"/>
              <w:jc w:val="center"/>
              <w:rPr>
                <w:sz w:val="24"/>
                <w:szCs w:val="24"/>
              </w:rPr>
            </w:pPr>
            <w:r>
              <w:rPr>
                <w:rFonts w:hint="eastAsia"/>
                <w:sz w:val="24"/>
                <w:szCs w:val="24"/>
              </w:rPr>
              <w:t>挖损深度（m）</w:t>
            </w:r>
          </w:p>
        </w:tc>
        <w:tc>
          <w:tcPr>
            <w:tcW w:w="1000" w:type="pct"/>
            <w:tcBorders>
              <w:top w:val="nil"/>
              <w:left w:val="nil"/>
              <w:bottom w:val="single" w:color="auto" w:sz="4" w:space="0"/>
              <w:right w:val="single" w:color="auto" w:sz="4" w:space="0"/>
            </w:tcBorders>
            <w:vAlign w:val="center"/>
          </w:tcPr>
          <w:p w14:paraId="34617C3F">
            <w:pPr>
              <w:pStyle w:val="76"/>
              <w:jc w:val="center"/>
              <w:rPr>
                <w:rFonts w:hint="eastAsia" w:eastAsia="宋体"/>
                <w:sz w:val="24"/>
                <w:szCs w:val="24"/>
                <w:lang w:eastAsia="zh-CN"/>
              </w:rPr>
            </w:pPr>
            <w:r>
              <w:rPr>
                <w:rFonts w:hint="eastAsia"/>
                <w:sz w:val="24"/>
                <w:szCs w:val="24"/>
              </w:rPr>
              <w:t>＜2</w:t>
            </w:r>
          </w:p>
        </w:tc>
        <w:tc>
          <w:tcPr>
            <w:tcW w:w="1000" w:type="pct"/>
            <w:tcBorders>
              <w:top w:val="nil"/>
              <w:left w:val="nil"/>
              <w:bottom w:val="single" w:color="auto" w:sz="4" w:space="0"/>
              <w:right w:val="single" w:color="auto" w:sz="4" w:space="0"/>
            </w:tcBorders>
            <w:vAlign w:val="center"/>
          </w:tcPr>
          <w:p w14:paraId="1AE84652">
            <w:pPr>
              <w:pStyle w:val="76"/>
              <w:jc w:val="center"/>
              <w:rPr>
                <w:sz w:val="24"/>
                <w:szCs w:val="24"/>
              </w:rPr>
            </w:pPr>
            <w:r>
              <w:rPr>
                <w:rFonts w:hint="eastAsia"/>
                <w:sz w:val="24"/>
                <w:szCs w:val="24"/>
              </w:rPr>
              <w:t>2-</w:t>
            </w:r>
            <w:r>
              <w:rPr>
                <w:sz w:val="24"/>
                <w:szCs w:val="24"/>
              </w:rPr>
              <w:t>5</w:t>
            </w:r>
          </w:p>
        </w:tc>
        <w:tc>
          <w:tcPr>
            <w:tcW w:w="1002" w:type="pct"/>
            <w:tcBorders>
              <w:top w:val="nil"/>
              <w:left w:val="nil"/>
              <w:bottom w:val="single" w:color="auto" w:sz="4" w:space="0"/>
              <w:right w:val="single" w:color="auto" w:sz="4" w:space="0"/>
            </w:tcBorders>
            <w:vAlign w:val="center"/>
          </w:tcPr>
          <w:p w14:paraId="5BDE6B90">
            <w:pPr>
              <w:pStyle w:val="76"/>
              <w:jc w:val="center"/>
              <w:rPr>
                <w:rFonts w:hint="eastAsia" w:eastAsia="宋体"/>
                <w:sz w:val="24"/>
                <w:szCs w:val="24"/>
                <w:lang w:eastAsia="zh-CN"/>
              </w:rPr>
            </w:pPr>
            <w:r>
              <w:rPr>
                <w:rFonts w:hint="eastAsia"/>
                <w:sz w:val="24"/>
                <w:szCs w:val="24"/>
              </w:rPr>
              <w:t>＞5</w:t>
            </w:r>
          </w:p>
        </w:tc>
      </w:tr>
      <w:tr w14:paraId="3F288132">
        <w:tblPrEx>
          <w:tblCellMar>
            <w:top w:w="0" w:type="dxa"/>
            <w:left w:w="108" w:type="dxa"/>
            <w:bottom w:w="0" w:type="dxa"/>
            <w:right w:w="108" w:type="dxa"/>
          </w:tblCellMar>
        </w:tblPrEx>
        <w:trPr>
          <w:trHeight w:val="458" w:hRule="atLeast"/>
        </w:trPr>
        <w:tc>
          <w:tcPr>
            <w:tcW w:w="884" w:type="pct"/>
            <w:vMerge w:val="continue"/>
            <w:tcBorders>
              <w:top w:val="nil"/>
              <w:left w:val="single" w:color="auto" w:sz="4" w:space="0"/>
              <w:bottom w:val="single" w:color="auto" w:sz="4" w:space="0"/>
              <w:right w:val="single" w:color="auto" w:sz="4" w:space="0"/>
            </w:tcBorders>
            <w:vAlign w:val="center"/>
          </w:tcPr>
          <w:p w14:paraId="417DA0D4">
            <w:pPr>
              <w:pStyle w:val="76"/>
              <w:jc w:val="center"/>
              <w:rPr>
                <w:sz w:val="24"/>
                <w:szCs w:val="24"/>
              </w:rPr>
            </w:pPr>
          </w:p>
        </w:tc>
        <w:tc>
          <w:tcPr>
            <w:tcW w:w="1112" w:type="pct"/>
            <w:tcBorders>
              <w:top w:val="nil"/>
              <w:left w:val="nil"/>
              <w:bottom w:val="single" w:color="auto" w:sz="4" w:space="0"/>
              <w:right w:val="single" w:color="auto" w:sz="4" w:space="0"/>
            </w:tcBorders>
            <w:vAlign w:val="center"/>
          </w:tcPr>
          <w:p w14:paraId="0B8FB4D1">
            <w:pPr>
              <w:pStyle w:val="76"/>
              <w:jc w:val="center"/>
              <w:rPr>
                <w:rFonts w:hint="eastAsia" w:eastAsia="宋体"/>
                <w:sz w:val="24"/>
                <w:szCs w:val="24"/>
                <w:lang w:eastAsia="zh-CN"/>
              </w:rPr>
            </w:pPr>
            <w:r>
              <w:rPr>
                <w:rFonts w:hint="eastAsia"/>
                <w:sz w:val="24"/>
                <w:szCs w:val="24"/>
              </w:rPr>
              <w:t>挖损面积(hm</w:t>
            </w:r>
            <w:r>
              <w:rPr>
                <w:rFonts w:hint="eastAsia"/>
                <w:sz w:val="24"/>
                <w:szCs w:val="24"/>
                <w:vertAlign w:val="superscript"/>
              </w:rPr>
              <w:t>2</w:t>
            </w:r>
            <w:r>
              <w:rPr>
                <w:rFonts w:hint="eastAsia"/>
                <w:sz w:val="24"/>
                <w:szCs w:val="24"/>
              </w:rPr>
              <w:t>)</w:t>
            </w:r>
          </w:p>
        </w:tc>
        <w:tc>
          <w:tcPr>
            <w:tcW w:w="1000" w:type="pct"/>
            <w:tcBorders>
              <w:top w:val="nil"/>
              <w:left w:val="nil"/>
              <w:bottom w:val="single" w:color="auto" w:sz="4" w:space="0"/>
              <w:right w:val="single" w:color="auto" w:sz="4" w:space="0"/>
            </w:tcBorders>
            <w:vAlign w:val="center"/>
          </w:tcPr>
          <w:p w14:paraId="23187A90">
            <w:pPr>
              <w:pStyle w:val="76"/>
              <w:jc w:val="center"/>
              <w:rPr>
                <w:rFonts w:hint="eastAsia" w:eastAsia="宋体"/>
                <w:sz w:val="24"/>
                <w:szCs w:val="24"/>
                <w:lang w:eastAsia="zh-CN"/>
              </w:rPr>
            </w:pPr>
            <w:r>
              <w:rPr>
                <w:rFonts w:hint="eastAsia"/>
                <w:sz w:val="24"/>
                <w:szCs w:val="24"/>
              </w:rPr>
              <w:t>＜1</w:t>
            </w:r>
          </w:p>
        </w:tc>
        <w:tc>
          <w:tcPr>
            <w:tcW w:w="1000" w:type="pct"/>
            <w:tcBorders>
              <w:top w:val="nil"/>
              <w:left w:val="nil"/>
              <w:bottom w:val="single" w:color="auto" w:sz="4" w:space="0"/>
              <w:right w:val="single" w:color="auto" w:sz="4" w:space="0"/>
            </w:tcBorders>
            <w:vAlign w:val="center"/>
          </w:tcPr>
          <w:p w14:paraId="7D22A879">
            <w:pPr>
              <w:pStyle w:val="76"/>
              <w:jc w:val="center"/>
              <w:rPr>
                <w:sz w:val="24"/>
                <w:szCs w:val="24"/>
              </w:rPr>
            </w:pPr>
            <w:r>
              <w:rPr>
                <w:rFonts w:hint="eastAsia"/>
                <w:sz w:val="24"/>
                <w:szCs w:val="24"/>
              </w:rPr>
              <w:t>1-</w:t>
            </w:r>
            <w:r>
              <w:rPr>
                <w:sz w:val="24"/>
                <w:szCs w:val="24"/>
              </w:rPr>
              <w:t>10</w:t>
            </w:r>
          </w:p>
        </w:tc>
        <w:tc>
          <w:tcPr>
            <w:tcW w:w="1002" w:type="pct"/>
            <w:tcBorders>
              <w:top w:val="nil"/>
              <w:left w:val="nil"/>
              <w:bottom w:val="single" w:color="auto" w:sz="4" w:space="0"/>
              <w:right w:val="single" w:color="auto" w:sz="4" w:space="0"/>
            </w:tcBorders>
            <w:vAlign w:val="center"/>
          </w:tcPr>
          <w:p w14:paraId="35A612B5">
            <w:pPr>
              <w:pStyle w:val="76"/>
              <w:jc w:val="center"/>
              <w:rPr>
                <w:rFonts w:hint="eastAsia" w:eastAsia="宋体"/>
                <w:sz w:val="24"/>
                <w:szCs w:val="24"/>
                <w:lang w:eastAsia="zh-CN"/>
              </w:rPr>
            </w:pPr>
            <w:r>
              <w:rPr>
                <w:rFonts w:hint="eastAsia"/>
                <w:sz w:val="24"/>
                <w:szCs w:val="24"/>
              </w:rPr>
              <w:t>＞10</w:t>
            </w:r>
          </w:p>
        </w:tc>
      </w:tr>
    </w:tbl>
    <w:p w14:paraId="0FF13408">
      <w:pPr>
        <w:spacing w:line="360" w:lineRule="auto"/>
        <w:rPr>
          <w:sz w:val="28"/>
          <w:szCs w:val="28"/>
        </w:rPr>
      </w:pPr>
      <w:r>
        <w:rPr>
          <w:rFonts w:hint="eastAsia"/>
          <w:sz w:val="28"/>
          <w:szCs w:val="28"/>
        </w:rPr>
        <w:t>②土地压占地损毁程度等级标准</w:t>
      </w:r>
    </w:p>
    <w:p w14:paraId="3365DAB8">
      <w:pPr>
        <w:spacing w:line="360" w:lineRule="auto"/>
        <w:rPr>
          <w:sz w:val="28"/>
          <w:szCs w:val="28"/>
        </w:rPr>
      </w:pPr>
      <w:r>
        <w:rPr>
          <w:rFonts w:hint="eastAsia"/>
          <w:sz w:val="28"/>
          <w:szCs w:val="28"/>
        </w:rPr>
        <w:t>压占地损毁程度等级采用压占面积和堆填高度两项指标进行评价（表3-3）。两项因子指标中有一项满足即判为该等级。</w:t>
      </w:r>
    </w:p>
    <w:p w14:paraId="65848714">
      <w:pPr>
        <w:pStyle w:val="9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sz w:val="24"/>
          <w:szCs w:val="24"/>
          <w:lang w:val="en-US" w:eastAsia="zh-CN"/>
        </w:rPr>
      </w:pPr>
      <w:r>
        <w:rPr>
          <w:rFonts w:hint="eastAsia"/>
          <w:sz w:val="24"/>
          <w:szCs w:val="24"/>
          <w:lang w:val="en-US" w:eastAsia="zh-CN"/>
        </w:rPr>
        <w:t>表3-3      压占地损毁程度评价因素及等级标准表</w:t>
      </w:r>
    </w:p>
    <w:tbl>
      <w:tblPr>
        <w:tblStyle w:val="3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5"/>
        <w:gridCol w:w="2293"/>
        <w:gridCol w:w="1656"/>
        <w:gridCol w:w="1800"/>
        <w:gridCol w:w="1803"/>
      </w:tblGrid>
      <w:tr w14:paraId="4AE9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03" w:type="pct"/>
            <w:vMerge w:val="restart"/>
            <w:vAlign w:val="center"/>
          </w:tcPr>
          <w:p w14:paraId="283EF9FC">
            <w:pPr>
              <w:pStyle w:val="59"/>
              <w:framePr w:wrap="auto" w:vAnchor="margin" w:hAnchor="text" w:yAlign="inline"/>
              <w:jc w:val="center"/>
              <w:rPr>
                <w:rFonts w:hint="eastAsia" w:eastAsia="宋体"/>
                <w:sz w:val="24"/>
                <w:szCs w:val="24"/>
                <w:lang w:eastAsia="zh-CN"/>
              </w:rPr>
            </w:pPr>
            <w:r>
              <w:rPr>
                <w:rFonts w:hint="eastAsia"/>
                <w:sz w:val="24"/>
                <w:szCs w:val="24"/>
              </w:rPr>
              <w:t>评价因素</w:t>
            </w:r>
          </w:p>
        </w:tc>
        <w:tc>
          <w:tcPr>
            <w:tcW w:w="1274" w:type="pct"/>
            <w:vMerge w:val="restart"/>
            <w:vAlign w:val="center"/>
          </w:tcPr>
          <w:p w14:paraId="13090BB8">
            <w:pPr>
              <w:pStyle w:val="59"/>
              <w:framePr w:wrap="auto" w:vAnchor="margin" w:hAnchor="text" w:yAlign="inline"/>
              <w:jc w:val="center"/>
              <w:rPr>
                <w:rFonts w:hint="eastAsia" w:eastAsia="宋体"/>
                <w:sz w:val="24"/>
                <w:szCs w:val="24"/>
                <w:lang w:eastAsia="zh-CN"/>
              </w:rPr>
            </w:pPr>
            <w:r>
              <w:rPr>
                <w:rFonts w:hint="eastAsia"/>
                <w:sz w:val="24"/>
                <w:szCs w:val="24"/>
              </w:rPr>
              <w:t>评价因子</w:t>
            </w:r>
          </w:p>
        </w:tc>
        <w:tc>
          <w:tcPr>
            <w:tcW w:w="2922" w:type="pct"/>
            <w:gridSpan w:val="3"/>
            <w:vAlign w:val="center"/>
          </w:tcPr>
          <w:p w14:paraId="5D135D25">
            <w:pPr>
              <w:pStyle w:val="59"/>
              <w:framePr w:wrap="auto" w:vAnchor="margin" w:hAnchor="text" w:yAlign="inline"/>
              <w:jc w:val="center"/>
              <w:rPr>
                <w:rFonts w:hint="eastAsia" w:eastAsia="宋体"/>
                <w:sz w:val="24"/>
                <w:szCs w:val="24"/>
                <w:lang w:eastAsia="zh-CN"/>
              </w:rPr>
            </w:pPr>
            <w:r>
              <w:rPr>
                <w:rFonts w:hint="eastAsia"/>
                <w:sz w:val="24"/>
                <w:szCs w:val="24"/>
              </w:rPr>
              <w:t>评价等级</w:t>
            </w:r>
          </w:p>
        </w:tc>
      </w:tr>
      <w:tr w14:paraId="7DFA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03" w:type="pct"/>
            <w:vMerge w:val="continue"/>
            <w:vAlign w:val="center"/>
          </w:tcPr>
          <w:p w14:paraId="71C90D7C">
            <w:pPr>
              <w:pStyle w:val="59"/>
              <w:framePr w:wrap="auto" w:vAnchor="margin" w:hAnchor="text" w:yAlign="inline"/>
              <w:jc w:val="center"/>
              <w:rPr>
                <w:sz w:val="24"/>
                <w:szCs w:val="24"/>
              </w:rPr>
            </w:pPr>
          </w:p>
        </w:tc>
        <w:tc>
          <w:tcPr>
            <w:tcW w:w="1274" w:type="pct"/>
            <w:vMerge w:val="continue"/>
            <w:vAlign w:val="center"/>
          </w:tcPr>
          <w:p w14:paraId="491746AE">
            <w:pPr>
              <w:pStyle w:val="59"/>
              <w:framePr w:wrap="auto" w:vAnchor="margin" w:hAnchor="text" w:yAlign="inline"/>
              <w:jc w:val="center"/>
              <w:rPr>
                <w:sz w:val="24"/>
                <w:szCs w:val="24"/>
              </w:rPr>
            </w:pPr>
          </w:p>
        </w:tc>
        <w:tc>
          <w:tcPr>
            <w:tcW w:w="920" w:type="pct"/>
            <w:vAlign w:val="center"/>
          </w:tcPr>
          <w:p w14:paraId="1CFF6C23">
            <w:pPr>
              <w:pStyle w:val="59"/>
              <w:framePr w:wrap="auto" w:vAnchor="margin" w:hAnchor="text" w:yAlign="inline"/>
              <w:jc w:val="center"/>
              <w:rPr>
                <w:rFonts w:hint="eastAsia" w:eastAsia="宋体"/>
                <w:sz w:val="24"/>
                <w:szCs w:val="24"/>
                <w:lang w:eastAsia="zh-CN"/>
              </w:rPr>
            </w:pPr>
            <w:r>
              <w:rPr>
                <w:rFonts w:hint="eastAsia"/>
                <w:sz w:val="24"/>
                <w:szCs w:val="24"/>
              </w:rPr>
              <w:t>轻度损毁</w:t>
            </w:r>
          </w:p>
        </w:tc>
        <w:tc>
          <w:tcPr>
            <w:tcW w:w="1000" w:type="pct"/>
            <w:vAlign w:val="center"/>
          </w:tcPr>
          <w:p w14:paraId="0DE435E9">
            <w:pPr>
              <w:pStyle w:val="59"/>
              <w:framePr w:wrap="auto" w:vAnchor="margin" w:hAnchor="text" w:yAlign="inline"/>
              <w:jc w:val="center"/>
              <w:rPr>
                <w:rFonts w:hint="eastAsia" w:eastAsia="宋体"/>
                <w:sz w:val="24"/>
                <w:szCs w:val="24"/>
                <w:lang w:eastAsia="zh-CN"/>
              </w:rPr>
            </w:pPr>
            <w:r>
              <w:rPr>
                <w:rFonts w:hint="eastAsia"/>
                <w:sz w:val="24"/>
                <w:szCs w:val="24"/>
              </w:rPr>
              <w:t>中度损毁</w:t>
            </w:r>
          </w:p>
        </w:tc>
        <w:tc>
          <w:tcPr>
            <w:tcW w:w="1001" w:type="pct"/>
            <w:vAlign w:val="center"/>
          </w:tcPr>
          <w:p w14:paraId="06F4F228">
            <w:pPr>
              <w:pStyle w:val="59"/>
              <w:framePr w:wrap="auto" w:vAnchor="margin" w:hAnchor="text" w:yAlign="inline"/>
              <w:jc w:val="center"/>
              <w:rPr>
                <w:sz w:val="24"/>
                <w:szCs w:val="24"/>
              </w:rPr>
            </w:pPr>
            <w:r>
              <w:rPr>
                <w:rFonts w:hint="eastAsia"/>
                <w:sz w:val="24"/>
                <w:szCs w:val="24"/>
              </w:rPr>
              <w:t>重度损毁</w:t>
            </w:r>
          </w:p>
        </w:tc>
      </w:tr>
      <w:tr w14:paraId="038F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3" w:type="pct"/>
            <w:vMerge w:val="restart"/>
            <w:vAlign w:val="center"/>
          </w:tcPr>
          <w:p w14:paraId="11CFAF72">
            <w:pPr>
              <w:pStyle w:val="59"/>
              <w:framePr w:wrap="auto" w:vAnchor="margin" w:hAnchor="text" w:yAlign="inline"/>
              <w:jc w:val="center"/>
              <w:rPr>
                <w:rFonts w:hint="eastAsia" w:eastAsia="宋体"/>
                <w:sz w:val="24"/>
                <w:szCs w:val="24"/>
                <w:lang w:eastAsia="zh-CN"/>
              </w:rPr>
            </w:pPr>
            <w:r>
              <w:rPr>
                <w:rFonts w:hint="eastAsia"/>
                <w:sz w:val="24"/>
                <w:szCs w:val="24"/>
              </w:rPr>
              <w:t>地表压占</w:t>
            </w:r>
          </w:p>
        </w:tc>
        <w:tc>
          <w:tcPr>
            <w:tcW w:w="1274" w:type="pct"/>
            <w:vAlign w:val="center"/>
          </w:tcPr>
          <w:p w14:paraId="678A62C8">
            <w:pPr>
              <w:pStyle w:val="59"/>
              <w:framePr w:wrap="auto" w:vAnchor="margin" w:hAnchor="text" w:yAlign="inline"/>
              <w:jc w:val="center"/>
              <w:rPr>
                <w:rFonts w:hint="eastAsia" w:eastAsia="宋体"/>
                <w:sz w:val="24"/>
                <w:szCs w:val="24"/>
                <w:lang w:eastAsia="zh-CN"/>
              </w:rPr>
            </w:pPr>
            <w:r>
              <w:rPr>
                <w:rFonts w:hint="eastAsia"/>
                <w:sz w:val="24"/>
                <w:szCs w:val="24"/>
              </w:rPr>
              <w:t>压占面积(hm</w:t>
            </w:r>
            <w:r>
              <w:rPr>
                <w:rFonts w:hint="eastAsia"/>
                <w:sz w:val="24"/>
                <w:szCs w:val="24"/>
                <w:vertAlign w:val="superscript"/>
              </w:rPr>
              <w:t>2</w:t>
            </w:r>
            <w:r>
              <w:rPr>
                <w:rFonts w:hint="eastAsia"/>
                <w:sz w:val="24"/>
                <w:szCs w:val="24"/>
              </w:rPr>
              <w:t>)</w:t>
            </w:r>
          </w:p>
        </w:tc>
        <w:tc>
          <w:tcPr>
            <w:tcW w:w="920" w:type="pct"/>
            <w:vAlign w:val="center"/>
          </w:tcPr>
          <w:p w14:paraId="42FC7F9A">
            <w:pPr>
              <w:pStyle w:val="59"/>
              <w:framePr w:wrap="auto" w:vAnchor="margin" w:hAnchor="text" w:yAlign="inline"/>
              <w:jc w:val="center"/>
              <w:rPr>
                <w:sz w:val="24"/>
                <w:szCs w:val="24"/>
              </w:rPr>
            </w:pPr>
            <w:r>
              <w:rPr>
                <w:rFonts w:hint="eastAsia"/>
                <w:sz w:val="24"/>
                <w:szCs w:val="24"/>
              </w:rPr>
              <w:t>＜1</w:t>
            </w:r>
          </w:p>
        </w:tc>
        <w:tc>
          <w:tcPr>
            <w:tcW w:w="1000" w:type="pct"/>
            <w:vAlign w:val="center"/>
          </w:tcPr>
          <w:p w14:paraId="6BB814D4">
            <w:pPr>
              <w:pStyle w:val="59"/>
              <w:framePr w:wrap="auto" w:vAnchor="margin" w:hAnchor="text" w:yAlign="inline"/>
              <w:jc w:val="center"/>
              <w:rPr>
                <w:sz w:val="24"/>
                <w:szCs w:val="24"/>
              </w:rPr>
            </w:pPr>
            <w:r>
              <w:rPr>
                <w:sz w:val="24"/>
                <w:szCs w:val="24"/>
              </w:rPr>
              <w:t>1-10</w:t>
            </w:r>
          </w:p>
        </w:tc>
        <w:tc>
          <w:tcPr>
            <w:tcW w:w="1001" w:type="pct"/>
            <w:vAlign w:val="center"/>
          </w:tcPr>
          <w:p w14:paraId="1003F9B6">
            <w:pPr>
              <w:pStyle w:val="59"/>
              <w:framePr w:wrap="auto" w:vAnchor="margin" w:hAnchor="text" w:yAlign="inline"/>
              <w:jc w:val="center"/>
              <w:rPr>
                <w:sz w:val="24"/>
                <w:szCs w:val="24"/>
              </w:rPr>
            </w:pPr>
            <w:r>
              <w:rPr>
                <w:rFonts w:hint="eastAsia"/>
                <w:sz w:val="24"/>
                <w:szCs w:val="24"/>
              </w:rPr>
              <w:t>＞10</w:t>
            </w:r>
          </w:p>
        </w:tc>
      </w:tr>
      <w:tr w14:paraId="4B73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03" w:type="pct"/>
            <w:vMerge w:val="continue"/>
            <w:vAlign w:val="center"/>
          </w:tcPr>
          <w:p w14:paraId="31A6827A">
            <w:pPr>
              <w:pStyle w:val="59"/>
              <w:framePr w:wrap="auto" w:vAnchor="margin" w:hAnchor="text" w:yAlign="inline"/>
              <w:jc w:val="center"/>
              <w:rPr>
                <w:sz w:val="24"/>
                <w:szCs w:val="24"/>
              </w:rPr>
            </w:pPr>
          </w:p>
        </w:tc>
        <w:tc>
          <w:tcPr>
            <w:tcW w:w="1274" w:type="pct"/>
            <w:vAlign w:val="center"/>
          </w:tcPr>
          <w:p w14:paraId="5BE84FB8">
            <w:pPr>
              <w:pStyle w:val="59"/>
              <w:framePr w:wrap="auto" w:vAnchor="margin" w:hAnchor="text" w:yAlign="inline"/>
              <w:jc w:val="center"/>
              <w:rPr>
                <w:rFonts w:hint="eastAsia" w:eastAsia="宋体"/>
                <w:sz w:val="24"/>
                <w:szCs w:val="24"/>
                <w:lang w:eastAsia="zh-CN"/>
              </w:rPr>
            </w:pPr>
            <w:r>
              <w:rPr>
                <w:rFonts w:hint="eastAsia"/>
                <w:sz w:val="24"/>
                <w:szCs w:val="24"/>
              </w:rPr>
              <w:t>堆填高度（m）</w:t>
            </w:r>
          </w:p>
        </w:tc>
        <w:tc>
          <w:tcPr>
            <w:tcW w:w="920" w:type="pct"/>
            <w:vAlign w:val="center"/>
          </w:tcPr>
          <w:p w14:paraId="7A473808">
            <w:pPr>
              <w:pStyle w:val="59"/>
              <w:framePr w:wrap="auto" w:vAnchor="margin" w:hAnchor="text" w:yAlign="inline"/>
              <w:jc w:val="center"/>
              <w:rPr>
                <w:sz w:val="24"/>
                <w:szCs w:val="24"/>
              </w:rPr>
            </w:pPr>
            <w:r>
              <w:rPr>
                <w:rFonts w:hint="eastAsia"/>
                <w:sz w:val="24"/>
                <w:szCs w:val="24"/>
              </w:rPr>
              <w:t>＜5</w:t>
            </w:r>
          </w:p>
        </w:tc>
        <w:tc>
          <w:tcPr>
            <w:tcW w:w="1000" w:type="pct"/>
            <w:vAlign w:val="center"/>
          </w:tcPr>
          <w:p w14:paraId="193D8438">
            <w:pPr>
              <w:pStyle w:val="59"/>
              <w:framePr w:wrap="auto" w:vAnchor="margin" w:hAnchor="text" w:yAlign="inline"/>
              <w:jc w:val="center"/>
              <w:rPr>
                <w:sz w:val="24"/>
                <w:szCs w:val="24"/>
              </w:rPr>
            </w:pPr>
            <w:r>
              <w:rPr>
                <w:sz w:val="24"/>
                <w:szCs w:val="24"/>
              </w:rPr>
              <w:t>5-10</w:t>
            </w:r>
          </w:p>
        </w:tc>
        <w:tc>
          <w:tcPr>
            <w:tcW w:w="1001" w:type="pct"/>
            <w:vAlign w:val="center"/>
          </w:tcPr>
          <w:p w14:paraId="68060ED1">
            <w:pPr>
              <w:pStyle w:val="59"/>
              <w:framePr w:wrap="auto" w:vAnchor="margin" w:hAnchor="text" w:yAlign="inline"/>
              <w:jc w:val="center"/>
              <w:rPr>
                <w:sz w:val="24"/>
                <w:szCs w:val="24"/>
              </w:rPr>
            </w:pPr>
            <w:r>
              <w:rPr>
                <w:rFonts w:hint="eastAsia"/>
                <w:sz w:val="24"/>
                <w:szCs w:val="24"/>
              </w:rPr>
              <w:t>＞10</w:t>
            </w:r>
          </w:p>
        </w:tc>
      </w:tr>
    </w:tbl>
    <w:p w14:paraId="1FFC6A63">
      <w:pPr>
        <w:spacing w:line="360" w:lineRule="auto"/>
        <w:rPr>
          <w:sz w:val="28"/>
          <w:szCs w:val="28"/>
        </w:rPr>
      </w:pPr>
      <w:r>
        <w:rPr>
          <w:rFonts w:hint="eastAsia"/>
          <w:sz w:val="28"/>
          <w:szCs w:val="28"/>
        </w:rPr>
        <w:t>（4）生态受损与退化评价标准</w:t>
      </w:r>
    </w:p>
    <w:p w14:paraId="318A0ED0">
      <w:pPr>
        <w:spacing w:line="360" w:lineRule="auto"/>
        <w:rPr>
          <w:sz w:val="28"/>
          <w:szCs w:val="28"/>
        </w:rPr>
      </w:pPr>
      <w:r>
        <w:rPr>
          <w:sz w:val="28"/>
          <w:szCs w:val="28"/>
        </w:rPr>
        <w:t>以选定的参照生态系统为评价目标，将受损区块的损毁程度由轻到重分为轻度受损、中度受损、重度受损三个等级。</w:t>
      </w:r>
    </w:p>
    <w:p w14:paraId="186719E8">
      <w:pPr>
        <w:spacing w:line="360" w:lineRule="auto"/>
        <w:rPr>
          <w:sz w:val="28"/>
          <w:szCs w:val="28"/>
        </w:rPr>
      </w:pPr>
      <w:r>
        <w:rPr>
          <w:rFonts w:hint="eastAsia"/>
          <w:sz w:val="28"/>
          <w:szCs w:val="28"/>
        </w:rPr>
        <w:t>（5）综合评价分级标准</w:t>
      </w:r>
    </w:p>
    <w:p w14:paraId="465992AD">
      <w:pPr>
        <w:spacing w:line="360" w:lineRule="auto"/>
        <w:rPr>
          <w:sz w:val="28"/>
          <w:szCs w:val="28"/>
        </w:rPr>
      </w:pPr>
      <w:r>
        <w:rPr>
          <w:rFonts w:hint="eastAsia"/>
          <w:sz w:val="28"/>
          <w:szCs w:val="28"/>
        </w:rPr>
        <w:t>分为轻度、中度、重度三个等级，受损区块综合评价结果采用上一级别优先原则，只要受损区块中任一类型问题的损毁程度有一条符合即为该级别。</w:t>
      </w:r>
    </w:p>
    <w:p w14:paraId="755CD5EE">
      <w:pPr>
        <w:pStyle w:val="7"/>
        <w:spacing w:line="360" w:lineRule="auto"/>
        <w:rPr>
          <w:rFonts w:hint="eastAsia"/>
          <w:sz w:val="28"/>
          <w:szCs w:val="28"/>
        </w:rPr>
      </w:pPr>
      <w:r>
        <w:rPr>
          <w:rFonts w:hint="eastAsia"/>
          <w:sz w:val="28"/>
          <w:szCs w:val="28"/>
        </w:rPr>
        <w:t>3.评价单元划分</w:t>
      </w:r>
    </w:p>
    <w:p w14:paraId="0587F88F">
      <w:pPr>
        <w:spacing w:line="360" w:lineRule="auto"/>
        <w:rPr>
          <w:sz w:val="28"/>
          <w:szCs w:val="28"/>
          <w:highlight w:val="none"/>
        </w:rPr>
      </w:pPr>
      <w:r>
        <w:rPr>
          <w:rFonts w:hint="eastAsia"/>
          <w:sz w:val="28"/>
          <w:szCs w:val="28"/>
          <w:highlight w:val="none"/>
        </w:rPr>
        <w:t>根据矿山平面布置、开采设计及地形地貌、破坏情况等，将评估区评价单元划分为</w:t>
      </w:r>
      <w:r>
        <w:rPr>
          <w:rFonts w:hint="eastAsia" w:ascii="宋体" w:hAnsi="宋体"/>
          <w:sz w:val="28"/>
          <w:szCs w:val="28"/>
          <w:highlight w:val="none"/>
        </w:rPr>
        <w:t>露天采场、复垦用土临时堆场</w:t>
      </w:r>
      <w:r>
        <w:rPr>
          <w:rFonts w:hint="eastAsia" w:ascii="宋体" w:hAnsi="宋体"/>
          <w:sz w:val="28"/>
          <w:szCs w:val="28"/>
          <w:highlight w:val="none"/>
          <w:lang w:eastAsia="zh-CN"/>
        </w:rPr>
        <w:t>、排土场、破碎站、办公生活区</w:t>
      </w:r>
      <w:r>
        <w:rPr>
          <w:rFonts w:hint="eastAsia"/>
          <w:sz w:val="28"/>
          <w:szCs w:val="28"/>
          <w:highlight w:val="none"/>
        </w:rPr>
        <w:t>（表3-4，图3-1），其中已破坏区域面积</w:t>
      </w:r>
      <w:r>
        <w:rPr>
          <w:rFonts w:hint="eastAsia"/>
          <w:sz w:val="28"/>
          <w:szCs w:val="28"/>
          <w:highlight w:val="none"/>
          <w:lang w:val="en-US" w:eastAsia="zh-CN"/>
        </w:rPr>
        <w:t>7.5067</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rPr>
        <w:t>，拟破坏区域面积</w:t>
      </w:r>
      <w:r>
        <w:rPr>
          <w:rFonts w:hint="eastAsia"/>
          <w:sz w:val="28"/>
          <w:szCs w:val="28"/>
          <w:highlight w:val="none"/>
          <w:lang w:val="en-US" w:eastAsia="zh-CN"/>
        </w:rPr>
        <w:t>10.4304</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rPr>
        <w:t>，其他</w:t>
      </w:r>
      <w:r>
        <w:rPr>
          <w:rFonts w:hint="eastAsia"/>
          <w:sz w:val="28"/>
          <w:szCs w:val="28"/>
          <w:highlight w:val="none"/>
          <w:lang w:val="en-US" w:eastAsia="zh-CN"/>
        </w:rPr>
        <w:t>外围</w:t>
      </w:r>
      <w:r>
        <w:rPr>
          <w:rFonts w:hint="eastAsia"/>
          <w:sz w:val="28"/>
          <w:szCs w:val="28"/>
          <w:highlight w:val="none"/>
        </w:rPr>
        <w:t>区域面积</w:t>
      </w:r>
      <w:r>
        <w:rPr>
          <w:rFonts w:hint="eastAsia"/>
          <w:sz w:val="28"/>
          <w:szCs w:val="28"/>
          <w:highlight w:val="none"/>
          <w:lang w:val="en-US" w:eastAsia="zh-CN"/>
        </w:rPr>
        <w:t>6.9269</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rPr>
        <w:t>。</w:t>
      </w:r>
    </w:p>
    <w:p w14:paraId="4C574B68">
      <w:pPr>
        <w:pStyle w:val="45"/>
        <w:ind w:firstLine="1928" w:firstLineChars="800"/>
        <w:rPr>
          <w:rFonts w:hint="eastAsia" w:ascii="宋体" w:hAnsi="宋体" w:eastAsia="宋体" w:cs="宋体"/>
          <w:b/>
          <w:bCs/>
          <w:sz w:val="24"/>
          <w:szCs w:val="20"/>
          <w:highlight w:val="none"/>
        </w:rPr>
      </w:pPr>
      <w:r>
        <w:rPr>
          <w:rFonts w:hint="eastAsia" w:ascii="宋体" w:hAnsi="宋体" w:eastAsia="宋体" w:cs="宋体"/>
          <w:b/>
          <w:bCs/>
          <w:sz w:val="24"/>
          <w:szCs w:val="20"/>
          <w:highlight w:val="none"/>
        </w:rPr>
        <w:t>表3-4       矿区生态环境问题评价单元划分表</w:t>
      </w:r>
    </w:p>
    <w:tbl>
      <w:tblPr>
        <w:tblStyle w:val="33"/>
        <w:tblW w:w="4860" w:type="pct"/>
        <w:tblInd w:w="-1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3"/>
        <w:gridCol w:w="1769"/>
        <w:gridCol w:w="1423"/>
        <w:gridCol w:w="1128"/>
        <w:gridCol w:w="977"/>
        <w:gridCol w:w="2015"/>
      </w:tblGrid>
      <w:tr w14:paraId="67BF5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3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02538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3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A8D93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包含范围</w:t>
            </w:r>
          </w:p>
        </w:tc>
        <w:tc>
          <w:tcPr>
            <w:tcW w:w="829"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FBC80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位置</w:t>
            </w:r>
          </w:p>
        </w:tc>
        <w:tc>
          <w:tcPr>
            <w:tcW w:w="122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DE5A4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面积（</w:t>
            </w:r>
            <w:r>
              <w:rPr>
                <w:rFonts w:hint="default" w:ascii="Times New Roman" w:hAnsi="Times New Roman" w:eastAsia="宋体" w:cs="Times New Roman"/>
                <w:i w:val="0"/>
                <w:iCs w:val="0"/>
                <w:color w:val="000000"/>
                <w:kern w:val="0"/>
                <w:sz w:val="24"/>
                <w:szCs w:val="24"/>
                <w:u w:val="none"/>
                <w:lang w:val="en-US" w:eastAsia="zh-CN" w:bidi="ar"/>
              </w:rPr>
              <w:t>hm</w:t>
            </w:r>
            <w:r>
              <w:rPr>
                <w:rFonts w:hint="eastAsia" w:ascii="宋体" w:hAnsi="宋体" w:eastAsia="宋体" w:cs="宋体"/>
                <w:i w:val="0"/>
                <w:iCs w:val="0"/>
                <w:color w:val="000000"/>
                <w:kern w:val="0"/>
                <w:sz w:val="24"/>
                <w:szCs w:val="24"/>
                <w:u w:val="none"/>
                <w:lang w:val="en-US" w:eastAsia="zh-CN" w:bidi="ar"/>
              </w:rPr>
              <w:t>²）</w:t>
            </w:r>
          </w:p>
        </w:tc>
        <w:tc>
          <w:tcPr>
            <w:tcW w:w="117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4039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CF9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BE946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3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514DA9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0F0DC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1DE76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单元面积</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0EC25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117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F547B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4B02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5969E7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受损区块1</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45A8B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露天采场</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AD6DA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采矿权内大部</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A55FE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8.3331</w:t>
            </w:r>
          </w:p>
        </w:tc>
        <w:tc>
          <w:tcPr>
            <w:tcW w:w="569"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E242A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10.4304</w:t>
            </w:r>
          </w:p>
        </w:tc>
        <w:tc>
          <w:tcPr>
            <w:tcW w:w="1174" w:type="pct"/>
            <w:tcBorders>
              <w:top w:val="single" w:color="000000" w:sz="4" w:space="0"/>
              <w:left w:val="single" w:color="000000" w:sz="4" w:space="0"/>
              <w:bottom w:val="single" w:color="000000" w:sz="4" w:space="0"/>
              <w:right w:val="single" w:color="000000" w:sz="4" w:space="0"/>
            </w:tcBorders>
            <w:shd w:val="clear" w:color="auto" w:fill="auto"/>
            <w:tcMar>
              <w:top w:w="0" w:type="dxa"/>
              <w:left w:w="17" w:type="dxa"/>
              <w:bottom w:w="0" w:type="dxa"/>
              <w:right w:w="17" w:type="dxa"/>
            </w:tcMar>
            <w:vAlign w:val="center"/>
          </w:tcPr>
          <w:p w14:paraId="6A264D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不包含与历史采坑一重叠区域</w:t>
            </w:r>
          </w:p>
        </w:tc>
      </w:tr>
      <w:tr w14:paraId="79FE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D61AE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受损区块2</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E8479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复垦用土临时堆场</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D409A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采矿权南侧</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C1CAF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1.4921</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86378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174" w:type="pct"/>
            <w:tcBorders>
              <w:top w:val="single" w:color="000000" w:sz="4" w:space="0"/>
              <w:left w:val="single" w:color="000000" w:sz="4" w:space="0"/>
              <w:bottom w:val="single" w:color="000000" w:sz="4" w:space="0"/>
              <w:right w:val="single" w:color="000000" w:sz="4" w:space="0"/>
            </w:tcBorders>
            <w:shd w:val="clear" w:color="auto" w:fill="auto"/>
            <w:tcMar>
              <w:top w:w="0" w:type="dxa"/>
              <w:left w:w="17" w:type="dxa"/>
              <w:bottom w:w="0" w:type="dxa"/>
              <w:right w:w="17" w:type="dxa"/>
            </w:tcMar>
            <w:vAlign w:val="center"/>
          </w:tcPr>
          <w:p w14:paraId="76AC85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26CC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9DE55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受损区块3</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DD0F3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破碎站</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26DB1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采矿权南侧</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EA508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0.6052</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347CA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174" w:type="pct"/>
            <w:tcBorders>
              <w:top w:val="single" w:color="000000" w:sz="4" w:space="0"/>
              <w:left w:val="single" w:color="000000" w:sz="4" w:space="0"/>
              <w:bottom w:val="single" w:color="000000" w:sz="4" w:space="0"/>
              <w:right w:val="single" w:color="000000" w:sz="4" w:space="0"/>
            </w:tcBorders>
            <w:shd w:val="clear" w:color="auto" w:fill="auto"/>
            <w:tcMar>
              <w:top w:w="0" w:type="dxa"/>
              <w:left w:w="17" w:type="dxa"/>
              <w:bottom w:w="0" w:type="dxa"/>
              <w:right w:w="17" w:type="dxa"/>
            </w:tcMar>
            <w:vAlign w:val="center"/>
          </w:tcPr>
          <w:p w14:paraId="5253A7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不包含与原破碎站及废石堆场重叠区域</w:t>
            </w:r>
          </w:p>
        </w:tc>
      </w:tr>
      <w:tr w14:paraId="0708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ECA08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受损区块4</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3CE9E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历史采坑一</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24CA0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采矿权内南侧</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53137F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2.0378</w:t>
            </w:r>
          </w:p>
        </w:tc>
        <w:tc>
          <w:tcPr>
            <w:tcW w:w="569"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DF8ED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7.5067</w:t>
            </w: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85E3A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485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0E4E1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受损区块5</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7F038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排土场（历史采坑二）</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71137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采矿权外西南侧</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DF13F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2.4635</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36AE4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A1CD6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F66B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F529C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受损区块6</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586916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原破碎站及废石堆场</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6D49F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采矿权南侧</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4031D9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2.2880</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44542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93AB5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428D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98220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受损区块7</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79437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办公生活区</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C0281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矿区东南部</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446BA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0.3463</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E9E77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21F44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4C27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83928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受损区块8</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D6BFB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原综合服务区</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541D9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矿区东南部</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7AB56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0.3711</w:t>
            </w: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FDFEA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3CB1E2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6700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9EBFB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受损区块9</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91E4F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其他</w:t>
            </w:r>
            <w:r>
              <w:rPr>
                <w:rFonts w:hint="eastAsia" w:ascii="宋体" w:hAnsi="宋体" w:eastAsia="宋体" w:cs="宋体"/>
                <w:i w:val="0"/>
                <w:iCs w:val="0"/>
                <w:color w:val="000000"/>
                <w:sz w:val="24"/>
                <w:szCs w:val="24"/>
                <w:u w:val="none"/>
                <w:lang w:val="en-US" w:eastAsia="zh-CN"/>
              </w:rPr>
              <w:t>外围</w:t>
            </w:r>
            <w:r>
              <w:rPr>
                <w:rFonts w:hint="eastAsia" w:ascii="宋体" w:hAnsi="宋体" w:eastAsia="宋体" w:cs="宋体"/>
                <w:i w:val="0"/>
                <w:iCs w:val="0"/>
                <w:color w:val="000000"/>
                <w:sz w:val="24"/>
                <w:szCs w:val="24"/>
                <w:u w:val="none"/>
              </w:rPr>
              <w:t>区域</w:t>
            </w: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CFDCB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以上区域外区域</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5FCF0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6.9269</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5DDA29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6.9269</w:t>
            </w: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5AF2C6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不包括与办公生活区重叠区域</w:t>
            </w:r>
          </w:p>
        </w:tc>
      </w:tr>
      <w:tr w14:paraId="37A08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119315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726F57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8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CA4F4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20490E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24.8640</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646CC0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24.8640</w:t>
            </w:r>
          </w:p>
        </w:tc>
        <w:tc>
          <w:tcPr>
            <w:tcW w:w="1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7" w:type="dxa"/>
              <w:bottom w:w="0" w:type="dxa"/>
              <w:right w:w="17" w:type="dxa"/>
            </w:tcMar>
            <w:vAlign w:val="center"/>
          </w:tcPr>
          <w:p w14:paraId="032D6B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bl>
    <w:p w14:paraId="72F892F2">
      <w:pPr>
        <w:pStyle w:val="45"/>
        <w:ind w:firstLine="1928" w:firstLineChars="800"/>
        <w:rPr>
          <w:rFonts w:hint="eastAsia" w:ascii="宋体" w:hAnsi="宋体" w:eastAsia="宋体" w:cs="宋体"/>
          <w:b/>
          <w:bCs/>
          <w:sz w:val="24"/>
          <w:szCs w:val="20"/>
          <w:highlight w:val="none"/>
        </w:rPr>
      </w:pPr>
    </w:p>
    <w:p w14:paraId="01EF963A">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（一）现状问题</w:t>
      </w:r>
    </w:p>
    <w:p w14:paraId="5F62E864">
      <w:pPr>
        <w:pStyle w:val="7"/>
        <w:spacing w:line="360" w:lineRule="auto"/>
        <w:rPr>
          <w:rFonts w:hint="eastAsia"/>
          <w:sz w:val="28"/>
          <w:szCs w:val="28"/>
        </w:rPr>
      </w:pPr>
      <w:r>
        <w:rPr>
          <w:rFonts w:hint="eastAsia"/>
          <w:sz w:val="28"/>
          <w:szCs w:val="28"/>
        </w:rPr>
        <w:t>1.</w:t>
      </w:r>
      <w:bookmarkEnd w:id="274"/>
      <w:bookmarkEnd w:id="275"/>
      <w:bookmarkEnd w:id="276"/>
      <w:bookmarkEnd w:id="277"/>
      <w:bookmarkEnd w:id="278"/>
      <w:r>
        <w:rPr>
          <w:rFonts w:hint="eastAsia"/>
          <w:sz w:val="28"/>
          <w:szCs w:val="28"/>
        </w:rPr>
        <w:t>地质环境影响现状分析</w:t>
      </w:r>
    </w:p>
    <w:p w14:paraId="1CF1DF80">
      <w:pPr>
        <w:spacing w:line="360" w:lineRule="auto"/>
        <w:rPr>
          <w:rFonts w:hint="eastAsia" w:eastAsia="宋体"/>
          <w:b/>
          <w:bCs/>
          <w:sz w:val="28"/>
          <w:szCs w:val="28"/>
          <w:lang w:eastAsia="zh-CN"/>
        </w:rPr>
      </w:pPr>
      <w:r>
        <w:rPr>
          <w:rFonts w:hint="eastAsia"/>
          <w:b/>
          <w:bCs/>
          <w:sz w:val="28"/>
          <w:szCs w:val="28"/>
          <w:lang w:val="en-US" w:eastAsia="zh-CN"/>
        </w:rPr>
        <w:t>（1）矿山地质灾害现状分析</w:t>
      </w:r>
    </w:p>
    <w:p w14:paraId="691B8F4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bCs/>
          <w:iCs/>
          <w:color w:val="000000"/>
          <w:sz w:val="28"/>
          <w:szCs w:val="28"/>
        </w:rPr>
        <w:t>经过对</w:t>
      </w:r>
      <w:r>
        <w:rPr>
          <w:rFonts w:hint="eastAsia"/>
          <w:bCs/>
          <w:iCs/>
          <w:color w:val="000000"/>
          <w:sz w:val="28"/>
          <w:szCs w:val="28"/>
        </w:rPr>
        <w:t>矿区</w:t>
      </w:r>
      <w:r>
        <w:rPr>
          <w:bCs/>
          <w:iCs/>
          <w:color w:val="000000"/>
          <w:sz w:val="28"/>
          <w:szCs w:val="28"/>
        </w:rPr>
        <w:t>现场地质环境调查、走访，</w:t>
      </w:r>
      <w:r>
        <w:rPr>
          <w:rFonts w:hint="eastAsia"/>
          <w:bCs/>
          <w:iCs/>
          <w:color w:val="000000"/>
          <w:sz w:val="28"/>
          <w:szCs w:val="28"/>
        </w:rPr>
        <w:t>现状</w:t>
      </w:r>
      <w:r>
        <w:rPr>
          <w:rFonts w:hint="eastAsia"/>
          <w:bCs/>
          <w:iCs/>
          <w:color w:val="000000"/>
          <w:sz w:val="28"/>
          <w:szCs w:val="28"/>
          <w:lang w:val="en-US" w:eastAsia="zh-CN"/>
        </w:rPr>
        <w:t>拟设采矿权</w:t>
      </w:r>
      <w:r>
        <w:rPr>
          <w:bCs/>
          <w:iCs/>
          <w:color w:val="000000"/>
          <w:sz w:val="28"/>
          <w:szCs w:val="28"/>
        </w:rPr>
        <w:t>内</w:t>
      </w:r>
      <w:r>
        <w:rPr>
          <w:rFonts w:hint="eastAsia"/>
          <w:bCs/>
          <w:iCs/>
          <w:color w:val="000000"/>
          <w:sz w:val="28"/>
          <w:szCs w:val="28"/>
          <w:lang w:eastAsia="zh-CN"/>
        </w:rPr>
        <w:t>、</w:t>
      </w:r>
      <w:r>
        <w:rPr>
          <w:rFonts w:hint="eastAsia"/>
          <w:color w:val="000000"/>
          <w:sz w:val="28"/>
          <w:szCs w:val="28"/>
        </w:rPr>
        <w:t>工业场地</w:t>
      </w:r>
      <w:r>
        <w:rPr>
          <w:rFonts w:hint="eastAsia"/>
          <w:sz w:val="28"/>
          <w:szCs w:val="28"/>
          <w:lang w:val="en-US" w:eastAsia="zh-CN"/>
        </w:rPr>
        <w:t>和采矿附属设施周边</w:t>
      </w:r>
      <w:r>
        <w:rPr>
          <w:color w:val="000000"/>
          <w:sz w:val="28"/>
          <w:szCs w:val="28"/>
        </w:rPr>
        <w:t>未发现崩塌、滑坡</w:t>
      </w:r>
      <w:r>
        <w:rPr>
          <w:rFonts w:hint="eastAsia"/>
          <w:color w:val="000000"/>
          <w:sz w:val="28"/>
          <w:szCs w:val="28"/>
          <w:lang w:eastAsia="zh-CN"/>
        </w:rPr>
        <w:t>、</w:t>
      </w:r>
      <w:r>
        <w:rPr>
          <w:rFonts w:hint="eastAsia"/>
          <w:color w:val="000000"/>
          <w:sz w:val="28"/>
          <w:szCs w:val="28"/>
          <w:lang w:val="en-US" w:eastAsia="zh-CN"/>
        </w:rPr>
        <w:t>泥石流等</w:t>
      </w:r>
      <w:r>
        <w:rPr>
          <w:color w:val="000000"/>
          <w:sz w:val="28"/>
          <w:szCs w:val="28"/>
        </w:rPr>
        <w:t>地质灾害，</w:t>
      </w:r>
      <w:r>
        <w:rPr>
          <w:rFonts w:hint="eastAsia"/>
          <w:color w:val="000000"/>
          <w:sz w:val="28"/>
          <w:szCs w:val="28"/>
        </w:rPr>
        <w:t>水土</w:t>
      </w:r>
      <w:r>
        <w:rPr>
          <w:color w:val="000000"/>
          <w:sz w:val="28"/>
          <w:szCs w:val="28"/>
        </w:rPr>
        <w:t>保持良好，边坡稳定</w:t>
      </w:r>
      <w:r>
        <w:rPr>
          <w:rFonts w:hint="eastAsia"/>
          <w:color w:val="000000"/>
          <w:sz w:val="28"/>
          <w:szCs w:val="28"/>
        </w:rPr>
        <w:t>，</w:t>
      </w:r>
      <w:r>
        <w:rPr>
          <w:color w:val="000000"/>
          <w:sz w:val="28"/>
          <w:szCs w:val="28"/>
        </w:rPr>
        <w:t>现状评估其地质灾害的危害性、危险性小，对矿山地质环境影响程度为</w:t>
      </w:r>
      <w:r>
        <w:rPr>
          <w:b/>
          <w:color w:val="000000"/>
          <w:sz w:val="28"/>
          <w:szCs w:val="28"/>
        </w:rPr>
        <w:t>较轻</w:t>
      </w:r>
      <w:r>
        <w:rPr>
          <w:color w:val="000000"/>
          <w:sz w:val="28"/>
          <w:szCs w:val="28"/>
        </w:rPr>
        <w:t>。</w:t>
      </w:r>
    </w:p>
    <w:p w14:paraId="33CC3DC7">
      <w:pPr>
        <w:keepNext w:val="0"/>
        <w:keepLines w:val="0"/>
        <w:pageBreakBefore w:val="0"/>
        <w:widowControl w:val="0"/>
        <w:kinsoku/>
        <w:wordWrap/>
        <w:overflowPunct/>
        <w:topLinePunct w:val="0"/>
        <w:autoSpaceDE/>
        <w:bidi w:val="0"/>
        <w:adjustRightInd/>
        <w:snapToGrid/>
        <w:spacing w:line="360" w:lineRule="auto"/>
        <w:ind w:firstLine="562" w:firstLineChars="200"/>
        <w:textAlignment w:val="auto"/>
        <w:rPr>
          <w:b/>
          <w:bCs/>
          <w:sz w:val="28"/>
          <w:szCs w:val="28"/>
        </w:rPr>
      </w:pPr>
      <w:r>
        <w:rPr>
          <w:rFonts w:hint="eastAsia"/>
          <w:b/>
          <w:bCs/>
          <w:sz w:val="28"/>
          <w:szCs w:val="28"/>
        </w:rPr>
        <w:t>（</w:t>
      </w:r>
      <w:r>
        <w:rPr>
          <w:rFonts w:hint="eastAsia"/>
          <w:b/>
          <w:bCs/>
          <w:sz w:val="28"/>
          <w:szCs w:val="28"/>
          <w:lang w:val="en-US" w:eastAsia="zh-CN"/>
        </w:rPr>
        <w:t>2</w:t>
      </w:r>
      <w:r>
        <w:rPr>
          <w:rFonts w:hint="eastAsia"/>
          <w:b/>
          <w:bCs/>
          <w:sz w:val="28"/>
          <w:szCs w:val="28"/>
        </w:rPr>
        <w:t>）</w:t>
      </w:r>
      <w:r>
        <w:rPr>
          <w:b/>
          <w:bCs/>
          <w:sz w:val="28"/>
          <w:szCs w:val="28"/>
        </w:rPr>
        <w:t>矿区</w:t>
      </w:r>
      <w:r>
        <w:rPr>
          <w:rFonts w:hint="eastAsia"/>
          <w:b/>
          <w:bCs/>
          <w:sz w:val="28"/>
          <w:szCs w:val="28"/>
        </w:rPr>
        <w:t>含水层</w:t>
      </w:r>
      <w:r>
        <w:rPr>
          <w:b/>
          <w:bCs/>
          <w:sz w:val="28"/>
          <w:szCs w:val="28"/>
        </w:rPr>
        <w:t>破坏现状分析</w:t>
      </w:r>
    </w:p>
    <w:p w14:paraId="63D73349">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rFonts w:hint="eastAsia"/>
          <w:color w:val="000000"/>
          <w:sz w:val="28"/>
          <w:szCs w:val="28"/>
        </w:rPr>
        <w:t>①</w:t>
      </w:r>
      <w:r>
        <w:rPr>
          <w:color w:val="000000"/>
          <w:sz w:val="28"/>
          <w:szCs w:val="28"/>
        </w:rPr>
        <w:t>对水资源影响的现状评估</w:t>
      </w:r>
    </w:p>
    <w:p w14:paraId="63D9BBE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sz w:val="28"/>
          <w:szCs w:val="28"/>
        </w:rPr>
      </w:pPr>
      <w:r>
        <w:rPr>
          <w:rFonts w:hint="eastAsia"/>
          <w:color w:val="000000"/>
          <w:sz w:val="28"/>
          <w:szCs w:val="28"/>
        </w:rPr>
        <w:t>评估区内含水层为</w:t>
      </w:r>
      <w:r>
        <w:rPr>
          <w:rFonts w:hint="eastAsia" w:ascii="宋体" w:hAnsi="宋体"/>
          <w:sz w:val="28"/>
          <w:szCs w:val="28"/>
        </w:rPr>
        <w:t>松散岩类孔隙水</w:t>
      </w:r>
      <w:r>
        <w:rPr>
          <w:rFonts w:hint="eastAsia" w:ascii="宋体" w:hAnsi="宋体"/>
          <w:sz w:val="28"/>
          <w:szCs w:val="28"/>
          <w:lang w:val="en-US" w:eastAsia="zh-CN"/>
        </w:rPr>
        <w:t>含水层和</w:t>
      </w:r>
      <w:r>
        <w:rPr>
          <w:rFonts w:hint="eastAsia" w:ascii="宋体" w:hAnsi="宋体"/>
          <w:sz w:val="28"/>
          <w:szCs w:val="28"/>
        </w:rPr>
        <w:t>火山岩孔洞裂隙水</w:t>
      </w:r>
      <w:r>
        <w:rPr>
          <w:rFonts w:hint="eastAsia" w:ascii="宋体" w:hAnsi="宋体"/>
          <w:sz w:val="28"/>
          <w:szCs w:val="28"/>
          <w:lang w:val="en-US" w:eastAsia="zh-CN"/>
        </w:rPr>
        <w:t>含水层</w:t>
      </w:r>
      <w:r>
        <w:rPr>
          <w:rFonts w:hint="eastAsia" w:ascii="宋体" w:hAnsi="宋体"/>
          <w:sz w:val="28"/>
          <w:szCs w:val="28"/>
        </w:rPr>
        <w:t>。</w:t>
      </w:r>
      <w:r>
        <w:rPr>
          <w:rFonts w:hint="eastAsia"/>
          <w:sz w:val="28"/>
          <w:szCs w:val="28"/>
        </w:rPr>
        <w:t>火山岩孔洞裂隙水赋存于区内火山岩孔隙、裂隙中</w:t>
      </w:r>
      <w:r>
        <w:rPr>
          <w:rFonts w:hint="eastAsia"/>
          <w:sz w:val="28"/>
          <w:szCs w:val="28"/>
          <w:lang w:eastAsia="zh-CN"/>
        </w:rPr>
        <w:t>，</w:t>
      </w:r>
      <w:r>
        <w:rPr>
          <w:sz w:val="28"/>
          <w:szCs w:val="28"/>
        </w:rPr>
        <w:t>第四系中更新世石茆岭组火山岩(Q</w:t>
      </w:r>
      <w:r>
        <w:rPr>
          <w:i/>
          <w:iCs/>
          <w:spacing w:val="-60"/>
          <w:position w:val="6"/>
          <w:sz w:val="28"/>
          <w:szCs w:val="28"/>
        </w:rPr>
        <w:t>^</w:t>
      </w:r>
      <w:r>
        <w:rPr>
          <w:i/>
          <w:sz w:val="28"/>
          <w:szCs w:val="28"/>
        </w:rPr>
        <w:t>s</w:t>
      </w:r>
      <w:r>
        <w:rPr>
          <w:sz w:val="28"/>
          <w:szCs w:val="28"/>
        </w:rPr>
        <w:t>)分布于全矿区内</w:t>
      </w:r>
      <w:r>
        <w:rPr>
          <w:rFonts w:hint="eastAsia"/>
          <w:color w:val="000000"/>
          <w:sz w:val="28"/>
          <w:szCs w:val="28"/>
        </w:rPr>
        <w:t>玄武岩孔洞裂隙含水层</w:t>
      </w:r>
      <w:r>
        <w:rPr>
          <w:color w:val="000000"/>
          <w:sz w:val="28"/>
          <w:szCs w:val="28"/>
        </w:rPr>
        <w:t>分布于全矿区内，为喜马拉雅早期喷出岩，</w:t>
      </w:r>
      <w:r>
        <w:rPr>
          <w:sz w:val="28"/>
          <w:szCs w:val="28"/>
        </w:rPr>
        <w:t>以土黄色玄武质凝灰岩与玄武岩不等厚互层层状产出，上部为玄武岩，下部为玄武质凝灰岩。玄武岩（矿体）气孔构造发育，节理裂隙较发育，其富水性</w:t>
      </w:r>
      <w:r>
        <w:rPr>
          <w:rFonts w:hint="eastAsia"/>
          <w:sz w:val="28"/>
          <w:szCs w:val="28"/>
        </w:rPr>
        <w:t>中等。据位于矿区东南角ZK09地下</w:t>
      </w:r>
      <w:r>
        <w:rPr>
          <w:sz w:val="28"/>
          <w:szCs w:val="28"/>
        </w:rPr>
        <w:t>水</w:t>
      </w:r>
      <w:r>
        <w:rPr>
          <w:rFonts w:hint="eastAsia"/>
          <w:sz w:val="28"/>
          <w:szCs w:val="28"/>
        </w:rPr>
        <w:t>（取水层为深30m处的浅层</w:t>
      </w:r>
      <w:r>
        <w:rPr>
          <w:rFonts w:hint="eastAsia" w:ascii="宋体" w:hAnsi="宋体"/>
          <w:sz w:val="28"/>
          <w:szCs w:val="28"/>
        </w:rPr>
        <w:t>火山岩孔洞裂隙水</w:t>
      </w:r>
      <w:r>
        <w:rPr>
          <w:rFonts w:hint="eastAsia"/>
          <w:sz w:val="28"/>
          <w:szCs w:val="28"/>
        </w:rPr>
        <w:t>）</w:t>
      </w:r>
      <w:r>
        <w:rPr>
          <w:sz w:val="28"/>
          <w:szCs w:val="28"/>
        </w:rPr>
        <w:t>化学样分析结果</w:t>
      </w:r>
      <w:r>
        <w:rPr>
          <w:rFonts w:hint="eastAsia"/>
          <w:sz w:val="28"/>
          <w:szCs w:val="28"/>
        </w:rPr>
        <w:t>，</w:t>
      </w:r>
      <w:r>
        <w:rPr>
          <w:sz w:val="28"/>
          <w:szCs w:val="28"/>
        </w:rPr>
        <w:t>水化学类型为HCO</w:t>
      </w:r>
      <w:r>
        <w:rPr>
          <w:sz w:val="28"/>
          <w:szCs w:val="28"/>
          <w:vertAlign w:val="subscript"/>
        </w:rPr>
        <w:t>3</w:t>
      </w:r>
      <w:r>
        <w:rPr>
          <w:sz w:val="28"/>
          <w:szCs w:val="28"/>
        </w:rPr>
        <w:t>•Cl—Mg•Ca•Na，pH值</w:t>
      </w:r>
      <w:r>
        <w:rPr>
          <w:rFonts w:hint="eastAsia"/>
          <w:sz w:val="28"/>
          <w:szCs w:val="28"/>
        </w:rPr>
        <w:t>8.20</w:t>
      </w:r>
      <w:r>
        <w:rPr>
          <w:sz w:val="28"/>
          <w:szCs w:val="28"/>
        </w:rPr>
        <w:t>，溶解性总固体</w:t>
      </w:r>
      <w:r>
        <w:rPr>
          <w:rFonts w:hint="eastAsia"/>
          <w:sz w:val="28"/>
          <w:szCs w:val="28"/>
        </w:rPr>
        <w:t>323.28m</w:t>
      </w:r>
      <w:r>
        <w:rPr>
          <w:sz w:val="28"/>
          <w:szCs w:val="28"/>
        </w:rPr>
        <w:t>g/L。</w:t>
      </w:r>
    </w:p>
    <w:p w14:paraId="639FAB6E">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left="0" w:leftChars="0" w:firstLine="560" w:firstLineChars="200"/>
        <w:textAlignment w:val="auto"/>
        <w:rPr>
          <w:rFonts w:hint="eastAsia"/>
          <w:color w:val="000000"/>
          <w:sz w:val="28"/>
          <w:szCs w:val="28"/>
        </w:rPr>
      </w:pPr>
      <w:r>
        <w:rPr>
          <w:rFonts w:hint="eastAsia"/>
          <w:sz w:val="28"/>
          <w:szCs w:val="28"/>
          <w:lang w:val="en-US" w:eastAsia="zh-CN"/>
        </w:rPr>
        <w:t>根据</w:t>
      </w:r>
      <w:r>
        <w:rPr>
          <w:rFonts w:hint="eastAsia"/>
          <w:sz w:val="28"/>
          <w:szCs w:val="28"/>
        </w:rPr>
        <w:t>资源储量核实报告</w:t>
      </w:r>
      <w:r>
        <w:rPr>
          <w:rFonts w:hint="eastAsia"/>
          <w:sz w:val="28"/>
          <w:szCs w:val="28"/>
          <w:lang w:val="en-US" w:eastAsia="zh-CN"/>
        </w:rPr>
        <w:t>中</w:t>
      </w:r>
      <w:r>
        <w:rPr>
          <w:rFonts w:hint="eastAsia"/>
          <w:sz w:val="28"/>
          <w:szCs w:val="28"/>
        </w:rPr>
        <w:t>13个钻孔</w:t>
      </w:r>
      <w:r>
        <w:rPr>
          <w:rFonts w:hint="eastAsia"/>
          <w:sz w:val="28"/>
          <w:szCs w:val="28"/>
          <w:lang w:val="en-US" w:eastAsia="zh-CN"/>
        </w:rPr>
        <w:t>数据，</w:t>
      </w:r>
      <w:r>
        <w:rPr>
          <w:rFonts w:hint="eastAsia"/>
          <w:color w:val="000000"/>
          <w:sz w:val="28"/>
          <w:szCs w:val="28"/>
        </w:rPr>
        <w:t>地下水位埋深</w:t>
      </w:r>
      <w:r>
        <w:rPr>
          <w:rFonts w:hint="eastAsia"/>
          <w:color w:val="000000"/>
          <w:sz w:val="28"/>
          <w:szCs w:val="28"/>
          <w:lang w:val="en-US" w:eastAsia="zh-CN"/>
        </w:rPr>
        <w:t>约8</w:t>
      </w:r>
      <w:r>
        <w:rPr>
          <w:rFonts w:hint="eastAsia"/>
          <w:color w:val="000000"/>
          <w:sz w:val="28"/>
          <w:szCs w:val="28"/>
        </w:rPr>
        <w:t>米，地下水位标高</w:t>
      </w:r>
      <w:r>
        <w:rPr>
          <w:rFonts w:hint="eastAsia"/>
          <w:color w:val="000000"/>
          <w:sz w:val="28"/>
          <w:szCs w:val="28"/>
          <w:lang w:val="en-US" w:eastAsia="zh-CN"/>
        </w:rPr>
        <w:t>44.8m－50.4m。</w:t>
      </w:r>
    </w:p>
    <w:p w14:paraId="090E855D">
      <w:pPr>
        <w:spacing w:line="360" w:lineRule="auto"/>
        <w:ind w:firstLine="480"/>
        <w:rPr>
          <w:sz w:val="28"/>
          <w:szCs w:val="28"/>
        </w:rPr>
      </w:pPr>
      <w:r>
        <w:rPr>
          <w:rFonts w:hint="eastAsia"/>
          <w:color w:val="000000"/>
          <w:sz w:val="28"/>
          <w:szCs w:val="28"/>
        </w:rPr>
        <w:t>评估区内</w:t>
      </w:r>
      <w:r>
        <w:rPr>
          <w:sz w:val="28"/>
          <w:szCs w:val="28"/>
        </w:rPr>
        <w:t>地下水主要以大气降雨补给为主，其次是水库、沟渠。水平径流以火山锥为中心呈放射状流动，其水力坡度</w:t>
      </w:r>
      <w:r>
        <w:rPr>
          <w:rFonts w:hint="eastAsia"/>
          <w:sz w:val="28"/>
          <w:szCs w:val="28"/>
        </w:rPr>
        <w:t>约</w:t>
      </w:r>
      <w:r>
        <w:rPr>
          <w:sz w:val="28"/>
          <w:szCs w:val="28"/>
        </w:rPr>
        <w:t>1.</w:t>
      </w:r>
      <w:r>
        <w:rPr>
          <w:rFonts w:hint="eastAsia"/>
          <w:sz w:val="28"/>
          <w:szCs w:val="28"/>
        </w:rPr>
        <w:t>1</w:t>
      </w:r>
      <w:r>
        <w:rPr>
          <w:sz w:val="28"/>
          <w:szCs w:val="28"/>
        </w:rPr>
        <w:t>%，径流条件良好。在水平径流的同时，孔洞裂隙水在水头压力差的作用下，垂直越流补给下部承压水。在侵蚀基准面标高（20m）以上，地下水以泉的形式排入沟溪。区内地下水的径流方向总体上由南往北，由冲沟往</w:t>
      </w:r>
      <w:r>
        <w:rPr>
          <w:rFonts w:hint="eastAsia"/>
          <w:sz w:val="28"/>
          <w:szCs w:val="28"/>
        </w:rPr>
        <w:t>外</w:t>
      </w:r>
      <w:r>
        <w:rPr>
          <w:sz w:val="28"/>
          <w:szCs w:val="28"/>
        </w:rPr>
        <w:t>排泄。地下水补给、</w:t>
      </w:r>
      <w:r>
        <w:rPr>
          <w:rFonts w:hint="eastAsia"/>
          <w:sz w:val="28"/>
          <w:szCs w:val="28"/>
        </w:rPr>
        <w:t>径</w:t>
      </w:r>
      <w:r>
        <w:rPr>
          <w:sz w:val="28"/>
          <w:szCs w:val="28"/>
        </w:rPr>
        <w:t>流及排泄条件基本保持自然平衡状态。</w:t>
      </w:r>
    </w:p>
    <w:p w14:paraId="1BD2DE4C">
      <w:pPr>
        <w:spacing w:line="360" w:lineRule="auto"/>
        <w:ind w:firstLine="480"/>
        <w:rPr>
          <w:rFonts w:hint="eastAsia"/>
          <w:color w:val="000000"/>
          <w:sz w:val="28"/>
          <w:szCs w:val="28"/>
        </w:rPr>
      </w:pPr>
      <w:r>
        <w:rPr>
          <w:color w:val="000000"/>
          <w:sz w:val="28"/>
          <w:szCs w:val="28"/>
        </w:rPr>
        <w:t>矿山排水主要是将地表降雨排出矿区。</w:t>
      </w:r>
      <w:r>
        <w:rPr>
          <w:rFonts w:hint="eastAsia"/>
          <w:color w:val="000000"/>
          <w:sz w:val="28"/>
          <w:szCs w:val="28"/>
        </w:rPr>
        <w:t>现状调查反映未</w:t>
      </w:r>
      <w:r>
        <w:rPr>
          <w:color w:val="000000"/>
          <w:sz w:val="28"/>
          <w:szCs w:val="28"/>
        </w:rPr>
        <w:t>造成附近水源缺乏，未导致地下水位下降和地下水与地表水的水力联系加剧</w:t>
      </w:r>
      <w:r>
        <w:rPr>
          <w:rFonts w:hint="eastAsia"/>
          <w:color w:val="000000"/>
          <w:sz w:val="28"/>
          <w:szCs w:val="28"/>
        </w:rPr>
        <w:t>现象</w:t>
      </w:r>
      <w:r>
        <w:rPr>
          <w:color w:val="000000"/>
          <w:sz w:val="28"/>
          <w:szCs w:val="28"/>
        </w:rPr>
        <w:t>，也未引发</w:t>
      </w:r>
      <w:r>
        <w:rPr>
          <w:rFonts w:hint="eastAsia"/>
          <w:color w:val="000000"/>
          <w:sz w:val="28"/>
          <w:szCs w:val="28"/>
        </w:rPr>
        <w:t>地下水</w:t>
      </w:r>
      <w:r>
        <w:rPr>
          <w:color w:val="000000"/>
          <w:sz w:val="28"/>
          <w:szCs w:val="28"/>
        </w:rPr>
        <w:t>水质改变，</w:t>
      </w:r>
      <w:r>
        <w:rPr>
          <w:rFonts w:hint="eastAsia"/>
          <w:color w:val="000000"/>
          <w:sz w:val="28"/>
          <w:szCs w:val="28"/>
        </w:rPr>
        <w:t>未</w:t>
      </w:r>
      <w:r>
        <w:rPr>
          <w:color w:val="000000"/>
          <w:sz w:val="28"/>
          <w:szCs w:val="28"/>
        </w:rPr>
        <w:t>改变地下水的径流、排泄方式，未增加地下水在本区的人为排泄量</w:t>
      </w:r>
      <w:r>
        <w:rPr>
          <w:rFonts w:hint="eastAsia"/>
          <w:color w:val="000000"/>
          <w:sz w:val="28"/>
          <w:szCs w:val="28"/>
        </w:rPr>
        <w:t>。</w:t>
      </w:r>
    </w:p>
    <w:p w14:paraId="5505FA13">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因此，现状评估矿山生产建设活动对区域地下水和含水层的影响</w:t>
      </w:r>
      <w:r>
        <w:rPr>
          <w:b/>
          <w:color w:val="000000"/>
          <w:sz w:val="28"/>
          <w:szCs w:val="28"/>
        </w:rPr>
        <w:t>较轻</w:t>
      </w:r>
      <w:r>
        <w:rPr>
          <w:color w:val="000000"/>
          <w:sz w:val="28"/>
          <w:szCs w:val="28"/>
        </w:rPr>
        <w:t>。</w:t>
      </w:r>
    </w:p>
    <w:p w14:paraId="569CD80F">
      <w:pPr>
        <w:spacing w:line="360" w:lineRule="auto"/>
        <w:ind w:firstLine="482"/>
        <w:rPr>
          <w:b/>
          <w:bCs/>
          <w:sz w:val="28"/>
          <w:szCs w:val="28"/>
        </w:rPr>
      </w:pPr>
      <w:r>
        <w:rPr>
          <w:rFonts w:hint="eastAsia"/>
          <w:b/>
          <w:bCs/>
          <w:sz w:val="28"/>
          <w:szCs w:val="28"/>
        </w:rPr>
        <w:t>（</w:t>
      </w:r>
      <w:r>
        <w:rPr>
          <w:rFonts w:hint="eastAsia"/>
          <w:b/>
          <w:bCs/>
          <w:sz w:val="28"/>
          <w:szCs w:val="28"/>
          <w:lang w:val="en-US" w:eastAsia="zh-CN"/>
        </w:rPr>
        <w:t>3</w:t>
      </w:r>
      <w:r>
        <w:rPr>
          <w:rFonts w:hint="eastAsia"/>
          <w:b/>
          <w:bCs/>
          <w:sz w:val="28"/>
          <w:szCs w:val="28"/>
        </w:rPr>
        <w:t>）矿区地形地貌景观破坏现状分析</w:t>
      </w:r>
    </w:p>
    <w:p w14:paraId="71B787A5">
      <w:pPr>
        <w:spacing w:line="360" w:lineRule="auto"/>
        <w:rPr>
          <w:rFonts w:hint="eastAsia"/>
          <w:b w:val="0"/>
          <w:bCs w:val="0"/>
          <w:sz w:val="28"/>
          <w:szCs w:val="32"/>
          <w:highlight w:val="none"/>
          <w:lang w:val="en-US" w:eastAsia="zh-CN"/>
        </w:rPr>
      </w:pPr>
      <w:bookmarkStart w:id="281" w:name="_Toc502047624"/>
      <w:bookmarkStart w:id="282" w:name="_Toc502047828"/>
      <w:bookmarkStart w:id="283" w:name="_Toc502044839"/>
      <w:bookmarkStart w:id="284" w:name="_Toc502045011"/>
      <w:bookmarkStart w:id="285" w:name="_Toc502045785"/>
      <w:r>
        <w:rPr>
          <w:b w:val="0"/>
          <w:bCs w:val="0"/>
          <w:sz w:val="28"/>
          <w:szCs w:val="28"/>
          <w:highlight w:val="none"/>
        </w:rPr>
        <w:t>根据现状调查，</w:t>
      </w:r>
      <w:r>
        <w:rPr>
          <w:rFonts w:hint="eastAsia"/>
          <w:b w:val="0"/>
          <w:bCs w:val="0"/>
          <w:sz w:val="28"/>
          <w:szCs w:val="28"/>
          <w:highlight w:val="none"/>
          <w:lang w:val="en-US" w:eastAsia="zh-CN"/>
        </w:rPr>
        <w:t>现状</w:t>
      </w:r>
      <w:r>
        <w:rPr>
          <w:b w:val="0"/>
          <w:bCs w:val="0"/>
          <w:sz w:val="28"/>
          <w:szCs w:val="28"/>
          <w:highlight w:val="none"/>
        </w:rPr>
        <w:t>矿区地形地貌景观破坏</w:t>
      </w:r>
      <w:r>
        <w:rPr>
          <w:rFonts w:hint="eastAsia"/>
          <w:b w:val="0"/>
          <w:bCs w:val="0"/>
          <w:sz w:val="28"/>
          <w:szCs w:val="28"/>
          <w:highlight w:val="none"/>
          <w:lang w:val="en-US" w:eastAsia="zh-CN"/>
        </w:rPr>
        <w:t>主要由</w:t>
      </w:r>
      <w:r>
        <w:rPr>
          <w:rFonts w:hint="eastAsia"/>
          <w:b w:val="0"/>
          <w:bCs w:val="0"/>
          <w:sz w:val="28"/>
          <w:szCs w:val="28"/>
          <w:highlight w:val="none"/>
        </w:rPr>
        <w:t>原广东省徐闻县城北乡迈报矿区</w:t>
      </w:r>
      <w:r>
        <w:rPr>
          <w:rFonts w:hint="eastAsia"/>
          <w:b w:val="0"/>
          <w:bCs w:val="0"/>
          <w:sz w:val="28"/>
          <w:szCs w:val="32"/>
          <w:highlight w:val="none"/>
          <w:lang w:val="en-US" w:eastAsia="zh-CN"/>
        </w:rPr>
        <w:t>历史</w:t>
      </w:r>
      <w:r>
        <w:rPr>
          <w:b w:val="0"/>
          <w:bCs w:val="0"/>
          <w:sz w:val="28"/>
          <w:szCs w:val="32"/>
          <w:highlight w:val="none"/>
        </w:rPr>
        <w:t>开采</w:t>
      </w:r>
      <w:r>
        <w:rPr>
          <w:rFonts w:hint="eastAsia"/>
          <w:b w:val="0"/>
          <w:bCs w:val="0"/>
          <w:sz w:val="28"/>
          <w:szCs w:val="32"/>
          <w:highlight w:val="none"/>
          <w:lang w:val="en-US" w:eastAsia="zh-CN"/>
        </w:rPr>
        <w:t>所导致，矿区历史遗留的采坑一、采坑二、原破碎站及原办公生活区和综合服务区对地形地貌造成了一定的破坏，具体如下：</w:t>
      </w:r>
    </w:p>
    <w:p w14:paraId="55EF983C">
      <w:pPr>
        <w:spacing w:line="360" w:lineRule="auto"/>
        <w:ind w:firstLine="560"/>
        <w:rPr>
          <w:rFonts w:hint="eastAsia"/>
          <w:sz w:val="28"/>
          <w:szCs w:val="28"/>
          <w:highlight w:val="none"/>
        </w:rPr>
      </w:pPr>
      <w:r>
        <w:rPr>
          <w:rFonts w:hint="eastAsia"/>
          <w:sz w:val="28"/>
          <w:szCs w:val="32"/>
          <w:highlight w:val="none"/>
          <w:lang w:val="en-US" w:eastAsia="zh-CN"/>
        </w:rPr>
        <w:t>历史采坑一位于拟设采矿权范围西南侧</w:t>
      </w:r>
      <w:r>
        <w:rPr>
          <w:rFonts w:hint="eastAsia"/>
          <w:sz w:val="28"/>
          <w:szCs w:val="28"/>
          <w:highlight w:val="none"/>
        </w:rPr>
        <w:t>，面积约为2</w:t>
      </w:r>
      <w:r>
        <w:rPr>
          <w:rFonts w:hint="eastAsia"/>
          <w:sz w:val="28"/>
          <w:szCs w:val="28"/>
          <w:highlight w:val="none"/>
          <w:lang w:val="en-US" w:eastAsia="zh-CN"/>
        </w:rPr>
        <w:t>.</w:t>
      </w:r>
      <w:r>
        <w:rPr>
          <w:rFonts w:hint="eastAsia"/>
          <w:sz w:val="28"/>
          <w:szCs w:val="28"/>
          <w:highlight w:val="none"/>
        </w:rPr>
        <w:t>0</w:t>
      </w:r>
      <w:r>
        <w:rPr>
          <w:rFonts w:hint="eastAsia"/>
          <w:sz w:val="28"/>
          <w:szCs w:val="28"/>
          <w:highlight w:val="none"/>
          <w:lang w:val="en-US" w:eastAsia="zh-CN"/>
        </w:rPr>
        <w:t>378h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w:t>
      </w:r>
      <w:r>
        <w:rPr>
          <w:rFonts w:hint="eastAsia"/>
          <w:sz w:val="28"/>
          <w:szCs w:val="32"/>
          <w:highlight w:val="none"/>
        </w:rPr>
        <w:t>采坑最低标高约为20m，形成3级台阶，台阶标高为分别56m、40m、20m，台阶高差7～20m，台阶坡面角49～53°</w:t>
      </w:r>
      <w:r>
        <w:rPr>
          <w:rFonts w:hint="eastAsia"/>
          <w:sz w:val="28"/>
          <w:szCs w:val="32"/>
          <w:highlight w:val="none"/>
          <w:lang w:eastAsia="zh-CN"/>
        </w:rPr>
        <w:t>，</w:t>
      </w:r>
      <w:r>
        <w:rPr>
          <w:rFonts w:hint="eastAsia"/>
          <w:sz w:val="28"/>
          <w:szCs w:val="32"/>
          <w:highlight w:val="none"/>
          <w:lang w:val="en-US" w:eastAsia="zh-CN"/>
        </w:rPr>
        <w:t>水面标高53.87m</w:t>
      </w:r>
      <w:r>
        <w:rPr>
          <w:rFonts w:hint="eastAsia"/>
          <w:sz w:val="28"/>
          <w:szCs w:val="32"/>
          <w:highlight w:val="none"/>
        </w:rPr>
        <w:t>。</w:t>
      </w:r>
      <w:r>
        <w:rPr>
          <w:rFonts w:hint="eastAsia"/>
          <w:sz w:val="28"/>
          <w:szCs w:val="28"/>
          <w:highlight w:val="none"/>
        </w:rPr>
        <w:t>对原始地形地貌造成了大的破坏；</w:t>
      </w:r>
    </w:p>
    <w:p w14:paraId="314477AD">
      <w:pPr>
        <w:spacing w:line="360" w:lineRule="auto"/>
        <w:rPr>
          <w:rFonts w:hint="eastAsia"/>
          <w:sz w:val="28"/>
          <w:szCs w:val="28"/>
          <w:highlight w:val="none"/>
        </w:rPr>
      </w:pPr>
      <w:r>
        <w:rPr>
          <w:rFonts w:hint="eastAsia"/>
          <w:sz w:val="28"/>
          <w:szCs w:val="32"/>
          <w:highlight w:val="none"/>
          <w:lang w:val="en-US" w:eastAsia="zh-CN"/>
        </w:rPr>
        <w:t>排土场（历史采坑二）位于</w:t>
      </w:r>
      <w:r>
        <w:rPr>
          <w:rFonts w:hint="eastAsia"/>
          <w:sz w:val="28"/>
          <w:szCs w:val="28"/>
          <w:highlight w:val="none"/>
        </w:rPr>
        <w:t>拟设矿区范围外西南面约20m处</w:t>
      </w:r>
      <w:r>
        <w:rPr>
          <w:rFonts w:hint="eastAsia"/>
          <w:sz w:val="28"/>
          <w:szCs w:val="28"/>
          <w:highlight w:val="none"/>
          <w:lang w:eastAsia="zh-CN"/>
        </w:rPr>
        <w:t>，</w:t>
      </w:r>
      <w:r>
        <w:rPr>
          <w:rFonts w:hint="eastAsia"/>
          <w:sz w:val="28"/>
          <w:szCs w:val="28"/>
          <w:highlight w:val="none"/>
        </w:rPr>
        <w:t>面积约为</w:t>
      </w:r>
      <w:r>
        <w:rPr>
          <w:rFonts w:hint="eastAsia"/>
          <w:sz w:val="28"/>
          <w:szCs w:val="28"/>
          <w:highlight w:val="none"/>
          <w:lang w:val="en-US" w:eastAsia="zh-CN"/>
        </w:rPr>
        <w:t>2.4635h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，最低处标高</w:t>
      </w:r>
      <w:r>
        <w:rPr>
          <w:sz w:val="28"/>
          <w:szCs w:val="28"/>
          <w:highlight w:val="none"/>
        </w:rPr>
        <w:t>35.65</w:t>
      </w:r>
      <w:r>
        <w:rPr>
          <w:rFonts w:hint="eastAsia"/>
          <w:sz w:val="28"/>
          <w:szCs w:val="28"/>
          <w:highlight w:val="none"/>
        </w:rPr>
        <w:t>m，坑内有积水</w:t>
      </w:r>
      <w:r>
        <w:rPr>
          <w:rFonts w:hint="eastAsia"/>
          <w:sz w:val="28"/>
          <w:szCs w:val="28"/>
          <w:highlight w:val="none"/>
          <w:lang w:eastAsia="zh-CN"/>
        </w:rPr>
        <w:t>，</w:t>
      </w:r>
      <w:r>
        <w:rPr>
          <w:rFonts w:hint="eastAsia"/>
          <w:sz w:val="28"/>
          <w:szCs w:val="28"/>
          <w:highlight w:val="none"/>
          <w:lang w:val="en-US" w:eastAsia="zh-CN"/>
        </w:rPr>
        <w:t>最大水深约15.7m，平均</w:t>
      </w:r>
      <w:r>
        <w:rPr>
          <w:rFonts w:hint="eastAsia"/>
          <w:sz w:val="28"/>
          <w:szCs w:val="28"/>
          <w:highlight w:val="none"/>
        </w:rPr>
        <w:t>约</w:t>
      </w:r>
      <w:r>
        <w:rPr>
          <w:rFonts w:hint="eastAsia"/>
          <w:sz w:val="28"/>
          <w:szCs w:val="28"/>
          <w:highlight w:val="none"/>
          <w:lang w:val="en-US" w:eastAsia="zh-CN"/>
        </w:rPr>
        <w:t>8</w:t>
      </w:r>
      <w:r>
        <w:rPr>
          <w:rFonts w:hint="eastAsia"/>
          <w:sz w:val="28"/>
          <w:szCs w:val="28"/>
          <w:highlight w:val="none"/>
        </w:rPr>
        <w:t>m深，水面标高约</w:t>
      </w:r>
      <w:r>
        <w:rPr>
          <w:rFonts w:hint="eastAsia"/>
          <w:sz w:val="28"/>
          <w:szCs w:val="28"/>
          <w:highlight w:val="none"/>
          <w:lang w:val="en-US" w:eastAsia="zh-CN"/>
        </w:rPr>
        <w:t>51.33</w:t>
      </w:r>
      <w:r>
        <w:rPr>
          <w:rFonts w:hint="eastAsia"/>
          <w:sz w:val="28"/>
          <w:szCs w:val="28"/>
          <w:highlight w:val="none"/>
        </w:rPr>
        <w:t>m。对原始地形地貌造成了大的破坏；</w:t>
      </w:r>
    </w:p>
    <w:p w14:paraId="5A19927C">
      <w:pPr>
        <w:spacing w:line="360" w:lineRule="auto"/>
        <w:rPr>
          <w:sz w:val="28"/>
          <w:szCs w:val="28"/>
          <w:highlight w:val="none"/>
        </w:rPr>
      </w:pPr>
      <w:r>
        <w:rPr>
          <w:rFonts w:hint="eastAsia"/>
          <w:sz w:val="28"/>
          <w:szCs w:val="28"/>
          <w:highlight w:val="none"/>
          <w:lang w:val="en-US" w:eastAsia="zh-CN"/>
        </w:rPr>
        <w:t>原破碎站及废石堆放区位于</w:t>
      </w:r>
      <w:r>
        <w:rPr>
          <w:rFonts w:hint="eastAsia"/>
          <w:sz w:val="28"/>
          <w:szCs w:val="28"/>
          <w:highlight w:val="none"/>
        </w:rPr>
        <w:t>拟设矿区范围外</w:t>
      </w:r>
      <w:r>
        <w:rPr>
          <w:rFonts w:hint="eastAsia"/>
          <w:sz w:val="28"/>
          <w:szCs w:val="28"/>
          <w:highlight w:val="none"/>
          <w:lang w:val="en-US" w:eastAsia="zh-CN"/>
        </w:rPr>
        <w:t>南侧约60m处，面积约2.2880h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w:t>
      </w:r>
      <w:r>
        <w:rPr>
          <w:rFonts w:hint="eastAsia"/>
          <w:sz w:val="28"/>
          <w:szCs w:val="28"/>
          <w:highlight w:val="none"/>
          <w:lang w:val="en-US" w:eastAsia="zh-CN"/>
        </w:rPr>
        <w:t>原破碎站</w:t>
      </w:r>
      <w:r>
        <w:rPr>
          <w:rFonts w:hint="eastAsia"/>
          <w:sz w:val="28"/>
          <w:szCs w:val="28"/>
          <w:highlight w:val="none"/>
        </w:rPr>
        <w:t>是在空旷地段建设，经地面平整及场地硬化，架设设备进行生产，对原始地形地貌造成了</w:t>
      </w:r>
      <w:r>
        <w:rPr>
          <w:rFonts w:hint="eastAsia"/>
          <w:sz w:val="28"/>
          <w:szCs w:val="28"/>
          <w:highlight w:val="none"/>
          <w:lang w:val="en-US" w:eastAsia="zh-CN"/>
        </w:rPr>
        <w:t>较大</w:t>
      </w:r>
      <w:r>
        <w:rPr>
          <w:rFonts w:hint="eastAsia"/>
          <w:sz w:val="28"/>
          <w:szCs w:val="28"/>
          <w:highlight w:val="none"/>
        </w:rPr>
        <w:t>破坏；</w:t>
      </w:r>
    </w:p>
    <w:p w14:paraId="2215937D">
      <w:pPr>
        <w:spacing w:line="360" w:lineRule="auto"/>
        <w:rPr>
          <w:rFonts w:hint="eastAsia"/>
          <w:sz w:val="28"/>
          <w:szCs w:val="28"/>
          <w:highlight w:val="none"/>
        </w:rPr>
      </w:pPr>
      <w:r>
        <w:rPr>
          <w:rFonts w:hint="eastAsia"/>
          <w:sz w:val="28"/>
          <w:szCs w:val="28"/>
          <w:highlight w:val="none"/>
          <w:lang w:val="en-US" w:eastAsia="zh-CN"/>
        </w:rPr>
        <w:t>原</w:t>
      </w:r>
      <w:r>
        <w:rPr>
          <w:rFonts w:hint="eastAsia"/>
          <w:sz w:val="28"/>
          <w:szCs w:val="28"/>
          <w:highlight w:val="none"/>
        </w:rPr>
        <w:t>办公生活区位于拟设矿区范围外</w:t>
      </w:r>
      <w:r>
        <w:rPr>
          <w:rFonts w:hint="eastAsia"/>
          <w:sz w:val="28"/>
          <w:szCs w:val="28"/>
          <w:highlight w:val="none"/>
          <w:lang w:val="en-US" w:eastAsia="zh-CN"/>
        </w:rPr>
        <w:t>南侧约300m处，面积约0.3463h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，经场地平整及拓宽后建设</w:t>
      </w:r>
      <w:r>
        <w:rPr>
          <w:rFonts w:hint="eastAsia"/>
          <w:sz w:val="28"/>
          <w:szCs w:val="28"/>
          <w:highlight w:val="none"/>
          <w:lang w:val="en-US" w:eastAsia="zh-CN"/>
        </w:rPr>
        <w:t>2</w:t>
      </w:r>
      <w:r>
        <w:rPr>
          <w:rFonts w:hint="eastAsia"/>
          <w:sz w:val="28"/>
          <w:szCs w:val="28"/>
          <w:highlight w:val="none"/>
        </w:rPr>
        <w:t>层</w:t>
      </w:r>
      <w:r>
        <w:rPr>
          <w:rFonts w:hint="eastAsia"/>
          <w:sz w:val="28"/>
          <w:szCs w:val="28"/>
          <w:highlight w:val="none"/>
          <w:lang w:val="en-US" w:eastAsia="zh-CN"/>
        </w:rPr>
        <w:t>砖混</w:t>
      </w:r>
      <w:r>
        <w:rPr>
          <w:rFonts w:hint="eastAsia"/>
          <w:sz w:val="28"/>
          <w:szCs w:val="28"/>
          <w:highlight w:val="none"/>
        </w:rPr>
        <w:t>结构楼房，对原生地形地貌造成了</w:t>
      </w:r>
      <w:r>
        <w:rPr>
          <w:rFonts w:hint="eastAsia"/>
          <w:sz w:val="28"/>
          <w:szCs w:val="28"/>
          <w:highlight w:val="none"/>
          <w:lang w:val="en-US" w:eastAsia="zh-CN"/>
        </w:rPr>
        <w:t>较大</w:t>
      </w:r>
      <w:r>
        <w:rPr>
          <w:rFonts w:hint="eastAsia"/>
          <w:sz w:val="28"/>
          <w:szCs w:val="28"/>
          <w:highlight w:val="none"/>
        </w:rPr>
        <w:t>破坏；</w:t>
      </w:r>
    </w:p>
    <w:p w14:paraId="5266832C">
      <w:pPr>
        <w:spacing w:line="360" w:lineRule="auto"/>
        <w:rPr>
          <w:rFonts w:hint="eastAsia" w:eastAsia="宋体"/>
          <w:sz w:val="28"/>
          <w:szCs w:val="28"/>
          <w:highlight w:val="none"/>
          <w:lang w:val="en-US" w:eastAsia="zh-CN"/>
        </w:rPr>
      </w:pPr>
      <w:r>
        <w:rPr>
          <w:rFonts w:hint="eastAsia"/>
          <w:sz w:val="28"/>
          <w:szCs w:val="28"/>
          <w:highlight w:val="none"/>
          <w:lang w:val="en-US" w:eastAsia="zh-CN"/>
        </w:rPr>
        <w:t>原综合服务区</w:t>
      </w:r>
      <w:r>
        <w:rPr>
          <w:rFonts w:hint="eastAsia"/>
          <w:sz w:val="28"/>
          <w:szCs w:val="28"/>
          <w:highlight w:val="none"/>
        </w:rPr>
        <w:t>位于拟设矿区范围外</w:t>
      </w:r>
      <w:r>
        <w:rPr>
          <w:rFonts w:hint="eastAsia"/>
          <w:sz w:val="28"/>
          <w:szCs w:val="28"/>
          <w:highlight w:val="none"/>
          <w:lang w:val="en-US" w:eastAsia="zh-CN"/>
        </w:rPr>
        <w:t>南侧约300m处，面积约0.3711h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，经场地平整及拓宽后建设</w:t>
      </w:r>
      <w:r>
        <w:rPr>
          <w:rFonts w:hint="eastAsia"/>
          <w:sz w:val="28"/>
          <w:szCs w:val="28"/>
          <w:highlight w:val="none"/>
          <w:lang w:val="en-US" w:eastAsia="zh-CN"/>
        </w:rPr>
        <w:t>2</w:t>
      </w:r>
      <w:r>
        <w:rPr>
          <w:rFonts w:hint="eastAsia"/>
          <w:sz w:val="28"/>
          <w:szCs w:val="28"/>
          <w:highlight w:val="none"/>
        </w:rPr>
        <w:t>层</w:t>
      </w:r>
      <w:r>
        <w:rPr>
          <w:rFonts w:hint="eastAsia"/>
          <w:sz w:val="28"/>
          <w:szCs w:val="28"/>
          <w:highlight w:val="none"/>
          <w:lang w:val="en-US" w:eastAsia="zh-CN"/>
        </w:rPr>
        <w:t>砖混</w:t>
      </w:r>
      <w:r>
        <w:rPr>
          <w:rFonts w:hint="eastAsia"/>
          <w:sz w:val="28"/>
          <w:szCs w:val="28"/>
          <w:highlight w:val="none"/>
        </w:rPr>
        <w:t>结构楼房，对原生地形地貌造成了</w:t>
      </w:r>
      <w:r>
        <w:rPr>
          <w:rFonts w:hint="eastAsia"/>
          <w:sz w:val="28"/>
          <w:szCs w:val="28"/>
          <w:highlight w:val="none"/>
          <w:lang w:val="en-US" w:eastAsia="zh-CN"/>
        </w:rPr>
        <w:t>较大</w:t>
      </w:r>
      <w:r>
        <w:rPr>
          <w:rFonts w:hint="eastAsia"/>
          <w:sz w:val="28"/>
          <w:szCs w:val="28"/>
          <w:highlight w:val="none"/>
        </w:rPr>
        <w:t>破坏</w:t>
      </w:r>
      <w:r>
        <w:rPr>
          <w:rFonts w:hint="eastAsia"/>
          <w:sz w:val="28"/>
          <w:szCs w:val="28"/>
          <w:highlight w:val="none"/>
          <w:lang w:eastAsia="zh-CN"/>
        </w:rPr>
        <w:t>。</w:t>
      </w:r>
    </w:p>
    <w:p w14:paraId="631F3AD0">
      <w:pPr>
        <w:spacing w:line="360" w:lineRule="auto"/>
        <w:rPr>
          <w:sz w:val="28"/>
          <w:szCs w:val="28"/>
          <w:highlight w:val="none"/>
        </w:rPr>
      </w:pPr>
      <w:r>
        <w:rPr>
          <w:rFonts w:hint="eastAsia"/>
          <w:sz w:val="28"/>
          <w:szCs w:val="28"/>
          <w:highlight w:val="none"/>
          <w:lang w:val="en-US" w:eastAsia="zh-CN"/>
        </w:rPr>
        <w:t>现状矿区地形地貌景观影响和破坏面积为7.5067hm</w:t>
      </w:r>
      <w:r>
        <w:rPr>
          <w:rFonts w:hint="eastAsia"/>
          <w:sz w:val="28"/>
          <w:szCs w:val="28"/>
          <w:highlight w:val="none"/>
          <w:vertAlign w:val="superscript"/>
          <w:lang w:val="en-US" w:eastAsia="zh-CN"/>
        </w:rPr>
        <w:t>2</w:t>
      </w:r>
      <w:r>
        <w:rPr>
          <w:rFonts w:hint="eastAsia"/>
          <w:sz w:val="28"/>
          <w:szCs w:val="28"/>
          <w:highlight w:val="none"/>
          <w:lang w:val="en-US" w:eastAsia="zh-CN"/>
        </w:rPr>
        <w:t>，包含受损区块4、5、6、7、8。露天采场、复垦用土临时堆场、破碎站以及其他外围区域（包含区块1、2、3、9）现状未损毁，地形地貌景观影响和破坏程度较轻。已</w:t>
      </w:r>
      <w:r>
        <w:rPr>
          <w:rFonts w:hint="eastAsia"/>
          <w:sz w:val="28"/>
          <w:szCs w:val="28"/>
          <w:highlight w:val="none"/>
        </w:rPr>
        <w:t>各区域</w:t>
      </w:r>
      <w:r>
        <w:rPr>
          <w:sz w:val="28"/>
          <w:szCs w:val="28"/>
          <w:highlight w:val="none"/>
        </w:rPr>
        <w:t>现状影响</w:t>
      </w:r>
      <w:r>
        <w:rPr>
          <w:rFonts w:hint="eastAsia"/>
          <w:sz w:val="28"/>
          <w:szCs w:val="28"/>
          <w:highlight w:val="none"/>
        </w:rPr>
        <w:t>程度</w:t>
      </w:r>
      <w:r>
        <w:rPr>
          <w:sz w:val="28"/>
          <w:szCs w:val="28"/>
          <w:highlight w:val="none"/>
        </w:rPr>
        <w:t>评估详见下表</w:t>
      </w:r>
      <w:r>
        <w:rPr>
          <w:rFonts w:hint="eastAsia"/>
          <w:sz w:val="28"/>
          <w:szCs w:val="28"/>
          <w:highlight w:val="none"/>
        </w:rPr>
        <w:t>3-</w:t>
      </w:r>
      <w:r>
        <w:rPr>
          <w:rFonts w:hint="eastAsia"/>
          <w:sz w:val="28"/>
          <w:szCs w:val="28"/>
          <w:highlight w:val="none"/>
          <w:lang w:val="en-US" w:eastAsia="zh-CN"/>
        </w:rPr>
        <w:t>5</w:t>
      </w:r>
      <w:r>
        <w:rPr>
          <w:rFonts w:hint="eastAsia"/>
          <w:sz w:val="28"/>
          <w:szCs w:val="28"/>
          <w:highlight w:val="none"/>
        </w:rPr>
        <w:t>。</w:t>
      </w:r>
    </w:p>
    <w:p w14:paraId="40202723">
      <w:pPr>
        <w:pStyle w:val="9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sz w:val="24"/>
          <w:szCs w:val="24"/>
          <w:lang w:val="en-US" w:eastAsia="zh-CN"/>
        </w:rPr>
      </w:pPr>
      <w:r>
        <w:rPr>
          <w:rFonts w:hint="eastAsia"/>
          <w:sz w:val="24"/>
          <w:szCs w:val="24"/>
          <w:lang w:val="en-US" w:eastAsia="zh-CN"/>
        </w:rPr>
        <w:t>表3-5   矿区地形地貌景观影响和破坏程度现状评价表</w:t>
      </w:r>
    </w:p>
    <w:tbl>
      <w:tblPr>
        <w:tblStyle w:val="33"/>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494"/>
        <w:gridCol w:w="1120"/>
        <w:gridCol w:w="4586"/>
        <w:gridCol w:w="1014"/>
      </w:tblGrid>
      <w:tr w14:paraId="3584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7" w:type="dxa"/>
            <w:noWrap/>
            <w:vAlign w:val="center"/>
          </w:tcPr>
          <w:p w14:paraId="2C8A40EF">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序号</w:t>
            </w:r>
          </w:p>
        </w:tc>
        <w:tc>
          <w:tcPr>
            <w:tcW w:w="1494" w:type="dxa"/>
            <w:noWrap/>
            <w:vAlign w:val="center"/>
          </w:tcPr>
          <w:p w14:paraId="4EE9D4C9">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cs="Times New Roman"/>
                <w:i w:val="0"/>
                <w:iCs w:val="0"/>
                <w:color w:val="000000"/>
                <w:kern w:val="0"/>
                <w:sz w:val="21"/>
                <w:szCs w:val="21"/>
                <w:u w:val="none"/>
                <w:lang w:val="en-US" w:eastAsia="zh-CN" w:bidi="ar"/>
              </w:rPr>
              <w:t>包含范围</w:t>
            </w:r>
          </w:p>
        </w:tc>
        <w:tc>
          <w:tcPr>
            <w:tcW w:w="1120" w:type="dxa"/>
            <w:noWrap/>
            <w:vAlign w:val="center"/>
          </w:tcPr>
          <w:p w14:paraId="7B94F331">
            <w:pPr>
              <w:pStyle w:val="76"/>
              <w:spacing w:line="240" w:lineRule="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面积</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hm</w:t>
            </w:r>
            <w:r>
              <w:rPr>
                <w:rFonts w:hint="default" w:ascii="Times New Roman" w:hAnsi="Times New Roman" w:cs="Times New Roman"/>
                <w:sz w:val="21"/>
                <w:szCs w:val="21"/>
                <w:highlight w:val="none"/>
                <w:vertAlign w:val="superscript"/>
                <w:lang w:val="en-US" w:eastAsia="zh-CN"/>
              </w:rPr>
              <w:t>2</w:t>
            </w:r>
            <w:r>
              <w:rPr>
                <w:rFonts w:hint="default" w:ascii="Times New Roman" w:hAnsi="Times New Roman" w:cs="Times New Roman"/>
                <w:sz w:val="21"/>
                <w:szCs w:val="21"/>
                <w:highlight w:val="none"/>
                <w:lang w:eastAsia="zh-CN"/>
              </w:rPr>
              <w:t>）</w:t>
            </w:r>
          </w:p>
        </w:tc>
        <w:tc>
          <w:tcPr>
            <w:tcW w:w="4586" w:type="dxa"/>
            <w:noWrap/>
            <w:vAlign w:val="center"/>
          </w:tcPr>
          <w:p w14:paraId="1C428647">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对地形地貌景观影响和破坏情况</w:t>
            </w:r>
          </w:p>
        </w:tc>
        <w:tc>
          <w:tcPr>
            <w:tcW w:w="1014" w:type="dxa"/>
            <w:noWrap/>
            <w:vAlign w:val="center"/>
          </w:tcPr>
          <w:p w14:paraId="47385AE9">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破坏</w:t>
            </w:r>
          </w:p>
          <w:p w14:paraId="3F2625CA">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程度</w:t>
            </w:r>
          </w:p>
        </w:tc>
      </w:tr>
      <w:tr w14:paraId="29BB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noWrap/>
            <w:vAlign w:val="center"/>
          </w:tcPr>
          <w:p w14:paraId="1455C5B5">
            <w:pPr>
              <w:pStyle w:val="76"/>
              <w:spacing w:line="240" w:lineRule="auto"/>
              <w:rPr>
                <w:rFonts w:hint="default" w:ascii="Times New Roman" w:hAnsi="Times New Roman"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受损区块1</w:t>
            </w:r>
          </w:p>
        </w:tc>
        <w:tc>
          <w:tcPr>
            <w:tcW w:w="1494" w:type="dxa"/>
            <w:shd w:val="clear" w:color="auto" w:fill="auto"/>
            <w:noWrap/>
            <w:vAlign w:val="center"/>
          </w:tcPr>
          <w:p w14:paraId="68B628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露天采场</w:t>
            </w:r>
          </w:p>
        </w:tc>
        <w:tc>
          <w:tcPr>
            <w:tcW w:w="1120" w:type="dxa"/>
            <w:shd w:val="clear" w:color="auto" w:fill="auto"/>
            <w:noWrap/>
            <w:vAlign w:val="center"/>
          </w:tcPr>
          <w:p w14:paraId="41B6A3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8.3331</w:t>
            </w:r>
          </w:p>
        </w:tc>
        <w:tc>
          <w:tcPr>
            <w:tcW w:w="4586" w:type="dxa"/>
            <w:vAlign w:val="center"/>
          </w:tcPr>
          <w:p w14:paraId="2863A115">
            <w:pPr>
              <w:pStyle w:val="76"/>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未损毁</w:t>
            </w:r>
          </w:p>
        </w:tc>
        <w:tc>
          <w:tcPr>
            <w:tcW w:w="1014" w:type="dxa"/>
            <w:vAlign w:val="center"/>
          </w:tcPr>
          <w:p w14:paraId="4FA3280E">
            <w:pPr>
              <w:pStyle w:val="76"/>
              <w:spacing w:line="240" w:lineRule="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r>
      <w:tr w14:paraId="013D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noWrap/>
            <w:vAlign w:val="center"/>
          </w:tcPr>
          <w:p w14:paraId="5F742C6B">
            <w:pPr>
              <w:pStyle w:val="76"/>
              <w:spacing w:line="240" w:lineRule="auto"/>
              <w:rPr>
                <w:rFonts w:hint="default" w:ascii="Times New Roman" w:hAnsi="Times New Roman"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受损区块2</w:t>
            </w:r>
          </w:p>
        </w:tc>
        <w:tc>
          <w:tcPr>
            <w:tcW w:w="1494" w:type="dxa"/>
            <w:shd w:val="clear" w:color="auto" w:fill="auto"/>
            <w:noWrap/>
            <w:vAlign w:val="center"/>
          </w:tcPr>
          <w:p w14:paraId="720AD5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复垦用土临时堆场</w:t>
            </w:r>
          </w:p>
        </w:tc>
        <w:tc>
          <w:tcPr>
            <w:tcW w:w="1120" w:type="dxa"/>
            <w:shd w:val="clear" w:color="auto" w:fill="auto"/>
            <w:noWrap/>
            <w:vAlign w:val="center"/>
          </w:tcPr>
          <w:p w14:paraId="35029A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1.4921</w:t>
            </w:r>
          </w:p>
        </w:tc>
        <w:tc>
          <w:tcPr>
            <w:tcW w:w="4586" w:type="dxa"/>
            <w:vAlign w:val="center"/>
          </w:tcPr>
          <w:p w14:paraId="375FDA0A">
            <w:pPr>
              <w:pStyle w:val="76"/>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cs="Times New Roman"/>
                <w:sz w:val="21"/>
                <w:szCs w:val="21"/>
                <w:highlight w:val="none"/>
                <w:lang w:val="en-US" w:eastAsia="zh-CN"/>
              </w:rPr>
              <w:t>未损毁</w:t>
            </w:r>
          </w:p>
        </w:tc>
        <w:tc>
          <w:tcPr>
            <w:tcW w:w="1014" w:type="dxa"/>
            <w:vAlign w:val="center"/>
          </w:tcPr>
          <w:p w14:paraId="373E58BF">
            <w:pPr>
              <w:pStyle w:val="76"/>
              <w:spacing w:line="240" w:lineRule="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r>
      <w:tr w14:paraId="7E67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noWrap/>
            <w:vAlign w:val="center"/>
          </w:tcPr>
          <w:p w14:paraId="4AA73E0F">
            <w:pPr>
              <w:pStyle w:val="76"/>
              <w:spacing w:line="240" w:lineRule="auto"/>
              <w:rPr>
                <w:rFonts w:hint="default" w:ascii="Times New Roman" w:hAnsi="Times New Roman"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受损区块3</w:t>
            </w:r>
          </w:p>
        </w:tc>
        <w:tc>
          <w:tcPr>
            <w:tcW w:w="1494" w:type="dxa"/>
            <w:shd w:val="clear" w:color="auto" w:fill="auto"/>
            <w:noWrap/>
            <w:vAlign w:val="center"/>
          </w:tcPr>
          <w:p w14:paraId="3AB35C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破碎站</w:t>
            </w:r>
          </w:p>
        </w:tc>
        <w:tc>
          <w:tcPr>
            <w:tcW w:w="1120" w:type="dxa"/>
            <w:shd w:val="clear" w:color="auto" w:fill="auto"/>
            <w:noWrap/>
            <w:vAlign w:val="center"/>
          </w:tcPr>
          <w:p w14:paraId="65F873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0.6052</w:t>
            </w:r>
          </w:p>
        </w:tc>
        <w:tc>
          <w:tcPr>
            <w:tcW w:w="4586" w:type="dxa"/>
            <w:vAlign w:val="center"/>
          </w:tcPr>
          <w:p w14:paraId="75C92EC1">
            <w:pPr>
              <w:pStyle w:val="76"/>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cs="Times New Roman"/>
                <w:sz w:val="21"/>
                <w:szCs w:val="21"/>
                <w:highlight w:val="none"/>
                <w:lang w:val="en-US" w:eastAsia="zh-CN"/>
              </w:rPr>
              <w:t>未损毁</w:t>
            </w:r>
          </w:p>
        </w:tc>
        <w:tc>
          <w:tcPr>
            <w:tcW w:w="1014" w:type="dxa"/>
            <w:vAlign w:val="center"/>
          </w:tcPr>
          <w:p w14:paraId="2AC42AC4">
            <w:pPr>
              <w:pStyle w:val="76"/>
              <w:spacing w:line="240" w:lineRule="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r>
      <w:tr w14:paraId="220B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noWrap/>
            <w:vAlign w:val="center"/>
          </w:tcPr>
          <w:p w14:paraId="376D2599">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cs="Times New Roman"/>
                <w:i w:val="0"/>
                <w:iCs w:val="0"/>
                <w:color w:val="000000"/>
                <w:sz w:val="21"/>
                <w:szCs w:val="21"/>
                <w:u w:val="none"/>
                <w:lang w:val="en-US" w:eastAsia="zh-CN"/>
              </w:rPr>
              <w:t>受损区块4</w:t>
            </w:r>
          </w:p>
        </w:tc>
        <w:tc>
          <w:tcPr>
            <w:tcW w:w="1494" w:type="dxa"/>
            <w:noWrap/>
            <w:vAlign w:val="center"/>
          </w:tcPr>
          <w:p w14:paraId="714835F2">
            <w:pPr>
              <w:pStyle w:val="76"/>
              <w:spacing w:line="240" w:lineRule="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历史采坑一</w:t>
            </w:r>
          </w:p>
        </w:tc>
        <w:tc>
          <w:tcPr>
            <w:tcW w:w="1120" w:type="dxa"/>
            <w:shd w:val="clear" w:color="auto" w:fill="auto"/>
            <w:noWrap/>
            <w:vAlign w:val="center"/>
          </w:tcPr>
          <w:p w14:paraId="7A4A7D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2.0378</w:t>
            </w:r>
          </w:p>
        </w:tc>
        <w:tc>
          <w:tcPr>
            <w:tcW w:w="4586" w:type="dxa"/>
            <w:vAlign w:val="center"/>
          </w:tcPr>
          <w:p w14:paraId="16B0EF5B">
            <w:pPr>
              <w:pStyle w:val="76"/>
              <w:spacing w:line="240" w:lineRule="auto"/>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对原始</w:t>
            </w:r>
            <w:r>
              <w:rPr>
                <w:rFonts w:hint="default" w:ascii="Times New Roman" w:hAnsi="Times New Roman" w:eastAsia="宋体" w:cs="Times New Roman"/>
                <w:sz w:val="21"/>
                <w:szCs w:val="21"/>
                <w:highlight w:val="none"/>
                <w:lang w:val="en-US" w:eastAsia="zh-CN"/>
              </w:rPr>
              <w:t>地面</w:t>
            </w:r>
            <w:r>
              <w:rPr>
                <w:rFonts w:hint="default" w:ascii="Times New Roman" w:hAnsi="Times New Roman" w:eastAsia="宋体" w:cs="Times New Roman"/>
                <w:sz w:val="21"/>
                <w:szCs w:val="21"/>
                <w:highlight w:val="none"/>
              </w:rPr>
              <w:t>进行了分级放坡及开挖，破坏面较大，开挖深度</w:t>
            </w:r>
            <w:r>
              <w:rPr>
                <w:rFonts w:hint="default" w:ascii="Times New Roman" w:hAnsi="Times New Roman" w:eastAsia="宋体" w:cs="Times New Roman"/>
                <w:sz w:val="21"/>
                <w:szCs w:val="21"/>
                <w:highlight w:val="none"/>
                <w:lang w:val="en-US" w:eastAsia="zh-CN"/>
              </w:rPr>
              <w:t>约36m</w:t>
            </w:r>
            <w:r>
              <w:rPr>
                <w:rFonts w:hint="default" w:ascii="Times New Roman" w:hAnsi="Times New Roman" w:eastAsia="宋体" w:cs="Times New Roman"/>
                <w:sz w:val="21"/>
                <w:szCs w:val="21"/>
                <w:highlight w:val="none"/>
              </w:rPr>
              <w:t>，对原始地形地貌造成了大的破坏，对地形地貌影响严重</w:t>
            </w:r>
          </w:p>
        </w:tc>
        <w:tc>
          <w:tcPr>
            <w:tcW w:w="1014" w:type="dxa"/>
            <w:vAlign w:val="center"/>
          </w:tcPr>
          <w:p w14:paraId="1CDB3EF7">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严重</w:t>
            </w:r>
          </w:p>
        </w:tc>
      </w:tr>
      <w:tr w14:paraId="5905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noWrap/>
            <w:vAlign w:val="center"/>
          </w:tcPr>
          <w:p w14:paraId="28739B2C">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cs="Times New Roman"/>
                <w:i w:val="0"/>
                <w:iCs w:val="0"/>
                <w:color w:val="000000"/>
                <w:sz w:val="21"/>
                <w:szCs w:val="21"/>
                <w:u w:val="none"/>
                <w:lang w:val="en-US" w:eastAsia="zh-CN"/>
              </w:rPr>
              <w:t>受损区块5</w:t>
            </w:r>
          </w:p>
        </w:tc>
        <w:tc>
          <w:tcPr>
            <w:tcW w:w="1494" w:type="dxa"/>
            <w:noWrap/>
            <w:vAlign w:val="center"/>
          </w:tcPr>
          <w:p w14:paraId="7614AD44">
            <w:pPr>
              <w:pStyle w:val="76"/>
              <w:spacing w:line="240" w:lineRule="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排土场（历史采坑二）</w:t>
            </w:r>
          </w:p>
        </w:tc>
        <w:tc>
          <w:tcPr>
            <w:tcW w:w="1120" w:type="dxa"/>
            <w:shd w:val="clear" w:color="auto" w:fill="auto"/>
            <w:noWrap/>
            <w:vAlign w:val="center"/>
          </w:tcPr>
          <w:p w14:paraId="1247F21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2.4635</w:t>
            </w:r>
          </w:p>
        </w:tc>
        <w:tc>
          <w:tcPr>
            <w:tcW w:w="4586" w:type="dxa"/>
            <w:vAlign w:val="center"/>
          </w:tcPr>
          <w:p w14:paraId="6D1EC427">
            <w:pPr>
              <w:pStyle w:val="76"/>
              <w:spacing w:line="240" w:lineRule="auto"/>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对原始</w:t>
            </w:r>
            <w:r>
              <w:rPr>
                <w:rFonts w:hint="default" w:ascii="Times New Roman" w:hAnsi="Times New Roman" w:eastAsia="宋体" w:cs="Times New Roman"/>
                <w:sz w:val="21"/>
                <w:szCs w:val="21"/>
                <w:highlight w:val="none"/>
                <w:lang w:val="en-US" w:eastAsia="zh-CN"/>
              </w:rPr>
              <w:t>地面</w:t>
            </w:r>
            <w:r>
              <w:rPr>
                <w:rFonts w:hint="default" w:ascii="Times New Roman" w:hAnsi="Times New Roman" w:eastAsia="宋体" w:cs="Times New Roman"/>
                <w:sz w:val="21"/>
                <w:szCs w:val="21"/>
                <w:highlight w:val="none"/>
              </w:rPr>
              <w:t>进行了</w:t>
            </w:r>
            <w:r>
              <w:rPr>
                <w:rFonts w:hint="default" w:ascii="Times New Roman" w:hAnsi="Times New Roman" w:eastAsia="宋体" w:cs="Times New Roman"/>
                <w:sz w:val="21"/>
                <w:szCs w:val="21"/>
                <w:highlight w:val="none"/>
                <w:lang w:val="en-US" w:eastAsia="zh-CN"/>
              </w:rPr>
              <w:t>无序</w:t>
            </w:r>
            <w:r>
              <w:rPr>
                <w:rFonts w:hint="default" w:ascii="Times New Roman" w:hAnsi="Times New Roman" w:eastAsia="宋体" w:cs="Times New Roman"/>
                <w:sz w:val="21"/>
                <w:szCs w:val="21"/>
                <w:highlight w:val="none"/>
              </w:rPr>
              <w:t>开挖，破坏面较大，开挖深度</w:t>
            </w:r>
            <w:r>
              <w:rPr>
                <w:rFonts w:hint="default" w:ascii="Times New Roman" w:hAnsi="Times New Roman" w:eastAsia="宋体" w:cs="Times New Roman"/>
                <w:sz w:val="21"/>
                <w:szCs w:val="21"/>
                <w:highlight w:val="none"/>
                <w:lang w:val="en-US" w:eastAsia="zh-CN"/>
              </w:rPr>
              <w:t>约12-15m</w:t>
            </w:r>
            <w:r>
              <w:rPr>
                <w:rFonts w:hint="default" w:ascii="Times New Roman" w:hAnsi="Times New Roman" w:eastAsia="宋体" w:cs="Times New Roman"/>
                <w:sz w:val="21"/>
                <w:szCs w:val="21"/>
                <w:highlight w:val="none"/>
              </w:rPr>
              <w:t>，对原始地形地貌造成了大的破坏，对地形地貌影响严重</w:t>
            </w:r>
          </w:p>
        </w:tc>
        <w:tc>
          <w:tcPr>
            <w:tcW w:w="1014" w:type="dxa"/>
            <w:vAlign w:val="center"/>
          </w:tcPr>
          <w:p w14:paraId="5057F2AB">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严重</w:t>
            </w:r>
          </w:p>
        </w:tc>
      </w:tr>
      <w:tr w14:paraId="7179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 w:type="dxa"/>
            <w:noWrap/>
            <w:vAlign w:val="center"/>
          </w:tcPr>
          <w:p w14:paraId="41A185F7">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cs="Times New Roman"/>
                <w:i w:val="0"/>
                <w:iCs w:val="0"/>
                <w:color w:val="000000"/>
                <w:sz w:val="21"/>
                <w:szCs w:val="21"/>
                <w:u w:val="none"/>
                <w:lang w:val="en-US" w:eastAsia="zh-CN"/>
              </w:rPr>
              <w:t>受损区块6</w:t>
            </w:r>
          </w:p>
        </w:tc>
        <w:tc>
          <w:tcPr>
            <w:tcW w:w="1494" w:type="dxa"/>
            <w:noWrap/>
            <w:vAlign w:val="center"/>
          </w:tcPr>
          <w:p w14:paraId="6C9D3BE8">
            <w:pPr>
              <w:pStyle w:val="76"/>
              <w:spacing w:line="240" w:lineRule="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原破碎站及废石堆放区</w:t>
            </w:r>
          </w:p>
        </w:tc>
        <w:tc>
          <w:tcPr>
            <w:tcW w:w="1120" w:type="dxa"/>
            <w:shd w:val="clear" w:color="auto" w:fill="auto"/>
            <w:noWrap/>
            <w:vAlign w:val="center"/>
          </w:tcPr>
          <w:p w14:paraId="671011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2.2880</w:t>
            </w:r>
          </w:p>
        </w:tc>
        <w:tc>
          <w:tcPr>
            <w:tcW w:w="4586" w:type="dxa"/>
            <w:vAlign w:val="center"/>
          </w:tcPr>
          <w:p w14:paraId="6E83880B">
            <w:pPr>
              <w:pStyle w:val="76"/>
              <w:spacing w:line="240" w:lineRule="auto"/>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经地面平整及硬化，对原生地形地貌造成大的破坏，对地形地貌影响</w:t>
            </w:r>
            <w:r>
              <w:rPr>
                <w:rFonts w:hint="default" w:ascii="Times New Roman" w:hAnsi="Times New Roman" w:eastAsia="宋体" w:cs="Times New Roman"/>
                <w:sz w:val="21"/>
                <w:szCs w:val="21"/>
                <w:highlight w:val="none"/>
                <w:lang w:val="en-US" w:eastAsia="zh-CN"/>
              </w:rPr>
              <w:t>较</w:t>
            </w:r>
            <w:r>
              <w:rPr>
                <w:rFonts w:hint="default" w:ascii="Times New Roman" w:hAnsi="Times New Roman" w:eastAsia="宋体" w:cs="Times New Roman"/>
                <w:sz w:val="21"/>
                <w:szCs w:val="21"/>
                <w:highlight w:val="none"/>
              </w:rPr>
              <w:t>严重</w:t>
            </w:r>
          </w:p>
        </w:tc>
        <w:tc>
          <w:tcPr>
            <w:tcW w:w="1014" w:type="dxa"/>
            <w:vAlign w:val="center"/>
          </w:tcPr>
          <w:p w14:paraId="4706F88B">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较</w:t>
            </w:r>
            <w:r>
              <w:rPr>
                <w:rFonts w:hint="default" w:ascii="Times New Roman" w:hAnsi="Times New Roman" w:eastAsia="宋体" w:cs="Times New Roman"/>
                <w:sz w:val="21"/>
                <w:szCs w:val="21"/>
                <w:highlight w:val="none"/>
              </w:rPr>
              <w:t>严重</w:t>
            </w:r>
          </w:p>
        </w:tc>
      </w:tr>
      <w:tr w14:paraId="42AB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shd w:val="clear" w:color="auto" w:fill="auto"/>
            <w:noWrap/>
            <w:vAlign w:val="center"/>
          </w:tcPr>
          <w:p w14:paraId="696F8F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cs="Times New Roman"/>
                <w:i w:val="0"/>
                <w:iCs w:val="0"/>
                <w:color w:val="000000"/>
                <w:sz w:val="21"/>
                <w:szCs w:val="21"/>
                <w:u w:val="none"/>
                <w:lang w:val="en-US" w:eastAsia="zh-CN"/>
              </w:rPr>
              <w:t>受损区块7</w:t>
            </w:r>
          </w:p>
        </w:tc>
        <w:tc>
          <w:tcPr>
            <w:tcW w:w="1494" w:type="dxa"/>
            <w:noWrap/>
            <w:vAlign w:val="center"/>
          </w:tcPr>
          <w:p w14:paraId="77D7A3ED">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办公生活区</w:t>
            </w:r>
          </w:p>
        </w:tc>
        <w:tc>
          <w:tcPr>
            <w:tcW w:w="1120" w:type="dxa"/>
            <w:shd w:val="clear" w:color="auto" w:fill="auto"/>
            <w:noWrap/>
            <w:vAlign w:val="center"/>
          </w:tcPr>
          <w:p w14:paraId="26B8A9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0.3463</w:t>
            </w:r>
          </w:p>
        </w:tc>
        <w:tc>
          <w:tcPr>
            <w:tcW w:w="4586" w:type="dxa"/>
            <w:vAlign w:val="center"/>
          </w:tcPr>
          <w:p w14:paraId="155888EE">
            <w:pPr>
              <w:pStyle w:val="76"/>
              <w:spacing w:line="240" w:lineRule="auto"/>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经地面平整</w:t>
            </w:r>
            <w:r>
              <w:rPr>
                <w:rFonts w:hint="default" w:ascii="Times New Roman" w:hAnsi="Times New Roman" w:eastAsia="宋体" w:cs="Times New Roman"/>
                <w:sz w:val="21"/>
                <w:szCs w:val="21"/>
                <w:highlight w:val="none"/>
                <w:lang w:val="en-US" w:eastAsia="zh-CN"/>
              </w:rPr>
              <w:t>及硬化</w:t>
            </w:r>
            <w:r>
              <w:rPr>
                <w:rFonts w:hint="default" w:ascii="Times New Roman" w:hAnsi="Times New Roman" w:eastAsia="宋体" w:cs="Times New Roman"/>
                <w:sz w:val="21"/>
                <w:szCs w:val="21"/>
                <w:highlight w:val="none"/>
              </w:rPr>
              <w:t>，对地形地貌造成了较大破坏，对地形地貌影响较严重</w:t>
            </w:r>
          </w:p>
        </w:tc>
        <w:tc>
          <w:tcPr>
            <w:tcW w:w="1014" w:type="dxa"/>
            <w:vAlign w:val="center"/>
          </w:tcPr>
          <w:p w14:paraId="0089D48D">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较严重</w:t>
            </w:r>
          </w:p>
        </w:tc>
      </w:tr>
      <w:tr w14:paraId="4BB1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7" w:type="dxa"/>
            <w:shd w:val="clear" w:color="auto" w:fill="auto"/>
            <w:noWrap/>
            <w:vAlign w:val="center"/>
          </w:tcPr>
          <w:p w14:paraId="630FBF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cs="Times New Roman"/>
                <w:i w:val="0"/>
                <w:iCs w:val="0"/>
                <w:color w:val="000000"/>
                <w:sz w:val="21"/>
                <w:szCs w:val="21"/>
                <w:u w:val="none"/>
                <w:lang w:val="en-US" w:eastAsia="zh-CN"/>
              </w:rPr>
              <w:t>受损区块8</w:t>
            </w:r>
          </w:p>
        </w:tc>
        <w:tc>
          <w:tcPr>
            <w:tcW w:w="1494" w:type="dxa"/>
            <w:noWrap/>
            <w:vAlign w:val="center"/>
          </w:tcPr>
          <w:p w14:paraId="39393571">
            <w:pPr>
              <w:pStyle w:val="76"/>
              <w:spacing w:line="240" w:lineRule="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原综合服务区</w:t>
            </w:r>
          </w:p>
        </w:tc>
        <w:tc>
          <w:tcPr>
            <w:tcW w:w="1120" w:type="dxa"/>
            <w:shd w:val="clear" w:color="auto" w:fill="auto"/>
            <w:noWrap/>
            <w:vAlign w:val="center"/>
          </w:tcPr>
          <w:p w14:paraId="3C6FA2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0.3711</w:t>
            </w:r>
          </w:p>
        </w:tc>
        <w:tc>
          <w:tcPr>
            <w:tcW w:w="4586" w:type="dxa"/>
            <w:vAlign w:val="center"/>
          </w:tcPr>
          <w:p w14:paraId="1B199060">
            <w:pPr>
              <w:pStyle w:val="76"/>
              <w:spacing w:line="240" w:lineRule="auto"/>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经地面平整</w:t>
            </w:r>
            <w:r>
              <w:rPr>
                <w:rFonts w:hint="default" w:ascii="Times New Roman" w:hAnsi="Times New Roman" w:eastAsia="宋体" w:cs="Times New Roman"/>
                <w:sz w:val="21"/>
                <w:szCs w:val="21"/>
                <w:highlight w:val="none"/>
                <w:lang w:val="en-US" w:eastAsia="zh-CN"/>
              </w:rPr>
              <w:t>及硬化</w:t>
            </w:r>
            <w:r>
              <w:rPr>
                <w:rFonts w:hint="default" w:ascii="Times New Roman" w:hAnsi="Times New Roman" w:eastAsia="宋体" w:cs="Times New Roman"/>
                <w:sz w:val="21"/>
                <w:szCs w:val="21"/>
                <w:highlight w:val="none"/>
              </w:rPr>
              <w:t>，对地形地貌造成了较大破坏，对地形地貌影响较严重</w:t>
            </w:r>
          </w:p>
        </w:tc>
        <w:tc>
          <w:tcPr>
            <w:tcW w:w="1014" w:type="dxa"/>
            <w:vAlign w:val="center"/>
          </w:tcPr>
          <w:p w14:paraId="67092B8D">
            <w:pPr>
              <w:pStyle w:val="76"/>
              <w:spacing w:line="240" w:lineRule="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较严重</w:t>
            </w:r>
          </w:p>
        </w:tc>
      </w:tr>
      <w:tr w14:paraId="198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7" w:type="dxa"/>
            <w:noWrap/>
            <w:vAlign w:val="center"/>
          </w:tcPr>
          <w:p w14:paraId="7A5801E9">
            <w:pPr>
              <w:pStyle w:val="76"/>
              <w:spacing w:line="240" w:lineRule="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受损区块9</w:t>
            </w:r>
          </w:p>
        </w:tc>
        <w:tc>
          <w:tcPr>
            <w:tcW w:w="1494" w:type="dxa"/>
            <w:noWrap/>
            <w:vAlign w:val="center"/>
          </w:tcPr>
          <w:p w14:paraId="1D4E374A">
            <w:pPr>
              <w:pStyle w:val="76"/>
              <w:spacing w:line="240" w:lineRule="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其他外围区域</w:t>
            </w:r>
          </w:p>
        </w:tc>
        <w:tc>
          <w:tcPr>
            <w:tcW w:w="1120" w:type="dxa"/>
            <w:shd w:val="clear" w:color="auto" w:fill="auto"/>
            <w:noWrap/>
            <w:vAlign w:val="center"/>
          </w:tcPr>
          <w:p w14:paraId="5CABDE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6.9269</w:t>
            </w:r>
          </w:p>
        </w:tc>
        <w:tc>
          <w:tcPr>
            <w:tcW w:w="4586" w:type="dxa"/>
            <w:vAlign w:val="center"/>
          </w:tcPr>
          <w:p w14:paraId="48798128">
            <w:pPr>
              <w:pStyle w:val="76"/>
              <w:spacing w:line="240" w:lineRule="auto"/>
              <w:rPr>
                <w:rFonts w:hint="default" w:ascii="Times New Roman" w:hAnsi="Times New Roman" w:eastAsia="宋体" w:cs="Times New Roman"/>
                <w:sz w:val="21"/>
                <w:szCs w:val="21"/>
                <w:highlight w:val="none"/>
              </w:rPr>
            </w:pPr>
            <w:r>
              <w:rPr>
                <w:rFonts w:hint="default" w:ascii="Times New Roman" w:hAnsi="Times New Roman" w:cs="Times New Roman"/>
                <w:sz w:val="21"/>
                <w:szCs w:val="21"/>
                <w:highlight w:val="none"/>
                <w:lang w:val="en-US" w:eastAsia="zh-CN"/>
              </w:rPr>
              <w:t>未损毁</w:t>
            </w:r>
          </w:p>
        </w:tc>
        <w:tc>
          <w:tcPr>
            <w:tcW w:w="1014" w:type="dxa"/>
            <w:vAlign w:val="center"/>
          </w:tcPr>
          <w:p w14:paraId="785CC1CE">
            <w:pPr>
              <w:pStyle w:val="76"/>
              <w:spacing w:line="240" w:lineRule="auto"/>
              <w:rPr>
                <w:rFonts w:hint="eastAsia"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较轻</w:t>
            </w:r>
          </w:p>
        </w:tc>
      </w:tr>
      <w:tr w14:paraId="061D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7" w:type="dxa"/>
            <w:shd w:val="clear" w:color="auto" w:fill="auto"/>
            <w:noWrap/>
            <w:vAlign w:val="center"/>
          </w:tcPr>
          <w:p w14:paraId="15CE3430">
            <w:pPr>
              <w:pStyle w:val="76"/>
              <w:spacing w:line="240" w:lineRule="auto"/>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合计</w:t>
            </w:r>
          </w:p>
        </w:tc>
        <w:tc>
          <w:tcPr>
            <w:tcW w:w="1494" w:type="dxa"/>
            <w:shd w:val="clear" w:color="auto" w:fill="auto"/>
            <w:noWrap/>
            <w:vAlign w:val="center"/>
          </w:tcPr>
          <w:p w14:paraId="1DB8F4A9">
            <w:pPr>
              <w:pStyle w:val="76"/>
              <w:spacing w:line="240" w:lineRule="auto"/>
              <w:ind w:firstLine="0" w:firstLineChars="0"/>
              <w:rPr>
                <w:rFonts w:hint="default" w:ascii="Times New Roman" w:hAnsi="Times New Roman" w:eastAsia="宋体" w:cs="Times New Roman"/>
                <w:kern w:val="2"/>
                <w:sz w:val="21"/>
                <w:szCs w:val="21"/>
                <w:highlight w:val="none"/>
                <w:lang w:val="en-US" w:eastAsia="zh-CN" w:bidi="ar-SA"/>
              </w:rPr>
            </w:pPr>
          </w:p>
        </w:tc>
        <w:tc>
          <w:tcPr>
            <w:tcW w:w="1120" w:type="dxa"/>
            <w:shd w:val="clear" w:color="auto" w:fill="auto"/>
            <w:noWrap/>
            <w:vAlign w:val="center"/>
          </w:tcPr>
          <w:p w14:paraId="0838D9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24.8640</w:t>
            </w:r>
          </w:p>
        </w:tc>
        <w:tc>
          <w:tcPr>
            <w:tcW w:w="4586" w:type="dxa"/>
            <w:vAlign w:val="center"/>
          </w:tcPr>
          <w:p w14:paraId="6225E6C9">
            <w:pPr>
              <w:pStyle w:val="76"/>
              <w:spacing w:line="240" w:lineRule="auto"/>
              <w:rPr>
                <w:rFonts w:hint="default" w:ascii="Times New Roman" w:hAnsi="Times New Roman" w:eastAsia="宋体" w:cs="Times New Roman"/>
                <w:sz w:val="21"/>
                <w:szCs w:val="21"/>
                <w:highlight w:val="none"/>
              </w:rPr>
            </w:pPr>
          </w:p>
        </w:tc>
        <w:tc>
          <w:tcPr>
            <w:tcW w:w="1014" w:type="dxa"/>
            <w:vAlign w:val="center"/>
          </w:tcPr>
          <w:p w14:paraId="31F95869">
            <w:pPr>
              <w:pStyle w:val="76"/>
              <w:spacing w:line="240" w:lineRule="auto"/>
              <w:rPr>
                <w:rFonts w:hint="default" w:ascii="Times New Roman" w:hAnsi="Times New Roman" w:eastAsia="宋体" w:cs="Times New Roman"/>
                <w:sz w:val="21"/>
                <w:szCs w:val="21"/>
                <w:highlight w:val="none"/>
              </w:rPr>
            </w:pPr>
          </w:p>
        </w:tc>
      </w:tr>
    </w:tbl>
    <w:p w14:paraId="7BD04735">
      <w:pPr>
        <w:keepNext w:val="0"/>
        <w:keepLines w:val="0"/>
        <w:pageBreakBefore w:val="0"/>
        <w:widowControl w:val="0"/>
        <w:kinsoku/>
        <w:wordWrap/>
        <w:overflowPunct/>
        <w:topLinePunct w:val="0"/>
        <w:autoSpaceDE/>
        <w:bidi w:val="0"/>
        <w:adjustRightInd/>
        <w:snapToGrid/>
        <w:spacing w:line="360" w:lineRule="auto"/>
        <w:ind w:firstLine="562" w:firstLineChars="200"/>
        <w:textAlignment w:val="auto"/>
        <w:rPr>
          <w:rFonts w:hint="eastAsia"/>
          <w:b/>
          <w:bCs/>
          <w:sz w:val="28"/>
          <w:szCs w:val="28"/>
          <w:lang w:eastAsia="zh-CN"/>
        </w:rPr>
      </w:pPr>
      <w:r>
        <w:rPr>
          <w:rFonts w:hint="eastAsia"/>
          <w:b/>
          <w:bCs/>
          <w:sz w:val="28"/>
          <w:szCs w:val="28"/>
          <w:lang w:eastAsia="zh-CN"/>
        </w:rPr>
        <w:t>（</w:t>
      </w:r>
      <w:r>
        <w:rPr>
          <w:rFonts w:hint="eastAsia"/>
          <w:b/>
          <w:bCs/>
          <w:sz w:val="28"/>
          <w:szCs w:val="28"/>
          <w:lang w:val="en-US" w:eastAsia="zh-CN"/>
        </w:rPr>
        <w:t>4</w:t>
      </w:r>
      <w:r>
        <w:rPr>
          <w:rFonts w:hint="eastAsia"/>
          <w:b/>
          <w:bCs/>
          <w:sz w:val="28"/>
          <w:szCs w:val="28"/>
          <w:lang w:eastAsia="zh-CN"/>
        </w:rPr>
        <w:t>）</w:t>
      </w:r>
      <w:r>
        <w:rPr>
          <w:rFonts w:hint="eastAsia"/>
          <w:b/>
          <w:bCs/>
          <w:sz w:val="28"/>
          <w:szCs w:val="28"/>
        </w:rPr>
        <w:t>矿区水土环境污染现状分析</w:t>
      </w:r>
    </w:p>
    <w:p w14:paraId="68388AFD">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1）水资源污染现状</w:t>
      </w:r>
    </w:p>
    <w:p w14:paraId="75126E1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本矿床矿物主要是</w:t>
      </w:r>
      <w:r>
        <w:rPr>
          <w:bCs/>
          <w:color w:val="000000"/>
          <w:sz w:val="28"/>
          <w:szCs w:val="28"/>
        </w:rPr>
        <w:t>建筑用玄武岩矿</w:t>
      </w:r>
      <w:r>
        <w:rPr>
          <w:rFonts w:hint="eastAsia"/>
          <w:color w:val="000000"/>
          <w:sz w:val="28"/>
          <w:szCs w:val="28"/>
        </w:rPr>
        <w:t>，矿石及废弃物不易分解出有害组分，不会对矿区下游水质造成污染。现状开采活动对水资源污染较轻。</w:t>
      </w:r>
    </w:p>
    <w:p w14:paraId="6BD8448B">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①地表水</w:t>
      </w:r>
    </w:p>
    <w:p w14:paraId="77005121">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highlight w:val="none"/>
        </w:rPr>
      </w:pPr>
      <w:r>
        <w:rPr>
          <w:rFonts w:hint="eastAsia"/>
          <w:color w:val="000000"/>
          <w:sz w:val="28"/>
          <w:szCs w:val="28"/>
        </w:rPr>
        <w:t>现状调查期间，对项目区</w:t>
      </w:r>
      <w:r>
        <w:rPr>
          <w:rFonts w:hint="eastAsia"/>
          <w:color w:val="000000"/>
          <w:sz w:val="28"/>
          <w:szCs w:val="28"/>
          <w:lang w:val="en-US" w:eastAsia="zh-CN"/>
        </w:rPr>
        <w:t>历史采坑一矿坑</w:t>
      </w:r>
      <w:r>
        <w:rPr>
          <w:rFonts w:hint="eastAsia"/>
          <w:color w:val="000000"/>
          <w:sz w:val="28"/>
          <w:szCs w:val="28"/>
        </w:rPr>
        <w:t>积水</w:t>
      </w:r>
      <w:r>
        <w:rPr>
          <w:rFonts w:hint="eastAsia"/>
          <w:color w:val="000000"/>
          <w:sz w:val="28"/>
          <w:szCs w:val="28"/>
          <w:lang w:val="en-US" w:eastAsia="zh-CN"/>
        </w:rPr>
        <w:t>南部</w:t>
      </w:r>
      <w:r>
        <w:rPr>
          <w:rFonts w:hint="eastAsia"/>
          <w:color w:val="000000"/>
          <w:sz w:val="28"/>
          <w:szCs w:val="28"/>
        </w:rPr>
        <w:t>进行水样采集</w:t>
      </w:r>
      <w:r>
        <w:rPr>
          <w:rFonts w:hint="eastAsia"/>
          <w:color w:val="000000"/>
          <w:sz w:val="28"/>
          <w:szCs w:val="28"/>
          <w:lang w:eastAsia="zh-CN"/>
        </w:rPr>
        <w:t>（</w:t>
      </w:r>
      <w:r>
        <w:rPr>
          <w:rFonts w:hint="eastAsia"/>
          <w:color w:val="000000"/>
          <w:sz w:val="28"/>
          <w:szCs w:val="28"/>
          <w:lang w:val="en-US" w:eastAsia="zh-CN"/>
        </w:rPr>
        <w:t>附图2</w:t>
      </w:r>
      <w:r>
        <w:rPr>
          <w:rFonts w:hint="eastAsia"/>
          <w:color w:val="000000"/>
          <w:sz w:val="28"/>
          <w:szCs w:val="28"/>
          <w:lang w:eastAsia="zh-CN"/>
        </w:rPr>
        <w:t>）</w:t>
      </w:r>
      <w:r>
        <w:rPr>
          <w:rFonts w:hint="eastAsia"/>
          <w:color w:val="000000"/>
          <w:sz w:val="28"/>
          <w:szCs w:val="28"/>
        </w:rPr>
        <w:t>，</w:t>
      </w:r>
      <w:r>
        <w:rPr>
          <w:rFonts w:hint="eastAsia"/>
          <w:color w:val="000000"/>
          <w:sz w:val="28"/>
          <w:szCs w:val="28"/>
          <w:lang w:val="en-US" w:eastAsia="zh-CN"/>
        </w:rPr>
        <w:t>样品编号KS01，</w:t>
      </w:r>
      <w:r>
        <w:rPr>
          <w:rFonts w:hint="eastAsia"/>
          <w:color w:val="000000"/>
          <w:sz w:val="28"/>
          <w:szCs w:val="28"/>
        </w:rPr>
        <w:t>并送至国检测试控股集团京诚检测有限公司进行检测，检测因子主要有p</w:t>
      </w:r>
      <w:r>
        <w:rPr>
          <w:rFonts w:hint="eastAsia"/>
          <w:color w:val="000000"/>
          <w:sz w:val="28"/>
          <w:szCs w:val="28"/>
          <w:highlight w:val="none"/>
        </w:rPr>
        <w:t>H值</w:t>
      </w:r>
      <w:r>
        <w:rPr>
          <w:rFonts w:hint="eastAsia"/>
          <w:color w:val="000000"/>
          <w:sz w:val="28"/>
          <w:szCs w:val="28"/>
          <w:highlight w:val="none"/>
          <w:lang w:eastAsia="zh-CN"/>
        </w:rPr>
        <w:t>、</w:t>
      </w:r>
      <w:r>
        <w:rPr>
          <w:rFonts w:hint="eastAsia"/>
          <w:color w:val="000000"/>
          <w:sz w:val="28"/>
          <w:szCs w:val="28"/>
          <w:highlight w:val="none"/>
        </w:rPr>
        <w:t>化学需氧量</w:t>
      </w:r>
      <w:r>
        <w:rPr>
          <w:rFonts w:hint="eastAsia"/>
          <w:color w:val="000000"/>
          <w:sz w:val="28"/>
          <w:szCs w:val="28"/>
          <w:highlight w:val="none"/>
          <w:lang w:eastAsia="zh-CN"/>
        </w:rPr>
        <w:t>、</w:t>
      </w:r>
      <w:r>
        <w:rPr>
          <w:rFonts w:hint="eastAsia"/>
          <w:color w:val="000000"/>
          <w:sz w:val="28"/>
          <w:szCs w:val="28"/>
          <w:highlight w:val="none"/>
        </w:rPr>
        <w:t>钙和镁总量（总硬度）</w:t>
      </w:r>
      <w:r>
        <w:rPr>
          <w:rFonts w:hint="eastAsia"/>
          <w:color w:val="000000"/>
          <w:sz w:val="28"/>
          <w:szCs w:val="28"/>
          <w:highlight w:val="none"/>
          <w:lang w:eastAsia="zh-CN"/>
        </w:rPr>
        <w:t>、</w:t>
      </w:r>
      <w:r>
        <w:rPr>
          <w:rFonts w:hint="eastAsia"/>
          <w:color w:val="000000"/>
          <w:sz w:val="28"/>
          <w:szCs w:val="28"/>
          <w:highlight w:val="none"/>
        </w:rPr>
        <w:t>铁</w:t>
      </w:r>
      <w:r>
        <w:rPr>
          <w:rFonts w:hint="eastAsia"/>
          <w:color w:val="000000"/>
          <w:sz w:val="28"/>
          <w:szCs w:val="28"/>
          <w:highlight w:val="none"/>
          <w:lang w:eastAsia="zh-CN"/>
        </w:rPr>
        <w:t>、</w:t>
      </w:r>
      <w:r>
        <w:rPr>
          <w:rFonts w:hint="eastAsia"/>
          <w:color w:val="000000"/>
          <w:sz w:val="28"/>
          <w:szCs w:val="28"/>
          <w:highlight w:val="none"/>
        </w:rPr>
        <w:t>铅</w:t>
      </w:r>
      <w:r>
        <w:rPr>
          <w:rFonts w:hint="eastAsia"/>
          <w:color w:val="000000"/>
          <w:sz w:val="28"/>
          <w:szCs w:val="28"/>
          <w:highlight w:val="none"/>
          <w:lang w:eastAsia="zh-CN"/>
        </w:rPr>
        <w:t>、</w:t>
      </w:r>
      <w:r>
        <w:rPr>
          <w:rFonts w:hint="eastAsia"/>
          <w:color w:val="000000"/>
          <w:sz w:val="28"/>
          <w:szCs w:val="28"/>
          <w:highlight w:val="none"/>
        </w:rPr>
        <w:t>铜</w:t>
      </w:r>
      <w:r>
        <w:rPr>
          <w:rFonts w:hint="eastAsia"/>
          <w:color w:val="000000"/>
          <w:sz w:val="28"/>
          <w:szCs w:val="28"/>
          <w:highlight w:val="none"/>
          <w:lang w:eastAsia="zh-CN"/>
        </w:rPr>
        <w:t>、</w:t>
      </w:r>
      <w:r>
        <w:rPr>
          <w:rFonts w:hint="eastAsia"/>
          <w:color w:val="000000"/>
          <w:sz w:val="28"/>
          <w:szCs w:val="28"/>
          <w:highlight w:val="none"/>
        </w:rPr>
        <w:t>铬</w:t>
      </w:r>
      <w:r>
        <w:rPr>
          <w:rFonts w:hint="eastAsia"/>
          <w:color w:val="000000"/>
          <w:sz w:val="28"/>
          <w:szCs w:val="28"/>
          <w:highlight w:val="none"/>
          <w:lang w:eastAsia="zh-CN"/>
        </w:rPr>
        <w:t>、</w:t>
      </w:r>
      <w:r>
        <w:rPr>
          <w:rFonts w:hint="eastAsia"/>
          <w:color w:val="000000"/>
          <w:sz w:val="28"/>
          <w:szCs w:val="28"/>
          <w:highlight w:val="none"/>
        </w:rPr>
        <w:t>锌</w:t>
      </w:r>
      <w:r>
        <w:rPr>
          <w:rFonts w:hint="eastAsia"/>
          <w:color w:val="000000"/>
          <w:sz w:val="28"/>
          <w:szCs w:val="28"/>
          <w:highlight w:val="none"/>
          <w:lang w:eastAsia="zh-CN"/>
        </w:rPr>
        <w:t>、</w:t>
      </w:r>
      <w:r>
        <w:rPr>
          <w:rFonts w:hint="eastAsia"/>
          <w:color w:val="000000"/>
          <w:sz w:val="28"/>
          <w:szCs w:val="28"/>
          <w:highlight w:val="none"/>
        </w:rPr>
        <w:t>镉</w:t>
      </w:r>
      <w:r>
        <w:rPr>
          <w:rFonts w:hint="eastAsia"/>
          <w:color w:val="000000"/>
          <w:sz w:val="28"/>
          <w:szCs w:val="28"/>
          <w:highlight w:val="none"/>
          <w:lang w:eastAsia="zh-CN"/>
        </w:rPr>
        <w:t>、</w:t>
      </w:r>
      <w:r>
        <w:rPr>
          <w:rFonts w:hint="eastAsia"/>
          <w:color w:val="000000"/>
          <w:sz w:val="28"/>
          <w:szCs w:val="28"/>
          <w:highlight w:val="none"/>
        </w:rPr>
        <w:t>镍</w:t>
      </w:r>
      <w:r>
        <w:rPr>
          <w:rFonts w:hint="eastAsia"/>
          <w:color w:val="000000"/>
          <w:sz w:val="28"/>
          <w:szCs w:val="28"/>
          <w:highlight w:val="none"/>
          <w:lang w:eastAsia="zh-CN"/>
        </w:rPr>
        <w:t>、</w:t>
      </w:r>
      <w:r>
        <w:rPr>
          <w:rFonts w:hint="eastAsia"/>
          <w:color w:val="000000"/>
          <w:sz w:val="28"/>
          <w:szCs w:val="28"/>
          <w:highlight w:val="none"/>
        </w:rPr>
        <w:t>汞</w:t>
      </w:r>
      <w:r>
        <w:rPr>
          <w:rFonts w:hint="eastAsia"/>
          <w:color w:val="000000"/>
          <w:sz w:val="28"/>
          <w:szCs w:val="28"/>
          <w:highlight w:val="none"/>
          <w:lang w:eastAsia="zh-CN"/>
        </w:rPr>
        <w:t>、</w:t>
      </w:r>
      <w:r>
        <w:rPr>
          <w:rFonts w:hint="eastAsia"/>
          <w:color w:val="000000"/>
          <w:sz w:val="28"/>
          <w:szCs w:val="28"/>
          <w:highlight w:val="none"/>
        </w:rPr>
        <w:t>砷等。</w:t>
      </w:r>
      <w:r>
        <w:rPr>
          <w:color w:val="000000"/>
          <w:sz w:val="28"/>
          <w:szCs w:val="28"/>
        </w:rPr>
        <w:t>根据</w:t>
      </w:r>
      <w:r>
        <w:rPr>
          <w:rFonts w:hint="eastAsia"/>
          <w:color w:val="000000"/>
          <w:sz w:val="28"/>
          <w:szCs w:val="28"/>
        </w:rPr>
        <w:t>国检测试控股集团京诚检测有限公司出具的水样检测报告所示</w:t>
      </w:r>
      <w:r>
        <w:rPr>
          <w:rFonts w:hint="eastAsia"/>
          <w:color w:val="000000"/>
          <w:sz w:val="28"/>
          <w:szCs w:val="28"/>
          <w:highlight w:val="none"/>
          <w:lang w:eastAsia="zh-CN"/>
        </w:rPr>
        <w:t>（</w:t>
      </w:r>
      <w:r>
        <w:rPr>
          <w:rFonts w:hint="eastAsia"/>
          <w:color w:val="000000"/>
          <w:sz w:val="28"/>
          <w:szCs w:val="28"/>
          <w:highlight w:val="none"/>
          <w:lang w:val="en-US" w:eastAsia="zh-CN"/>
        </w:rPr>
        <w:t>附件4</w:t>
      </w:r>
      <w:r>
        <w:rPr>
          <w:rFonts w:hint="eastAsia"/>
          <w:color w:val="000000"/>
          <w:sz w:val="28"/>
          <w:szCs w:val="28"/>
          <w:highlight w:val="none"/>
          <w:lang w:eastAsia="zh-CN"/>
        </w:rPr>
        <w:t>），</w:t>
      </w:r>
      <w:r>
        <w:rPr>
          <w:rFonts w:hint="eastAsia"/>
          <w:color w:val="000000"/>
          <w:sz w:val="28"/>
          <w:szCs w:val="28"/>
          <w:highlight w:val="none"/>
        </w:rPr>
        <w:t>报告编号：GZH26062300301050201</w:t>
      </w:r>
      <w:r>
        <w:rPr>
          <w:rFonts w:hint="eastAsia"/>
          <w:color w:val="000000"/>
          <w:sz w:val="28"/>
          <w:szCs w:val="28"/>
        </w:rPr>
        <w:t>，</w:t>
      </w:r>
      <w:r>
        <w:rPr>
          <w:rFonts w:hint="eastAsia"/>
          <w:color w:val="000000"/>
          <w:sz w:val="28"/>
          <w:szCs w:val="28"/>
          <w:lang w:val="en-US" w:eastAsia="zh-CN"/>
        </w:rPr>
        <w:t>参照《地表水环境质量标准》（GB3838-2002），</w:t>
      </w:r>
      <w:r>
        <w:rPr>
          <w:rFonts w:hint="eastAsia"/>
          <w:color w:val="000000"/>
          <w:sz w:val="28"/>
          <w:szCs w:val="28"/>
          <w:highlight w:val="none"/>
        </w:rPr>
        <w:t>检测的水样各项监测因子均能达到地表水环境质量Ⅰ类标准，</w:t>
      </w:r>
      <w:r>
        <w:rPr>
          <w:color w:val="000000"/>
          <w:sz w:val="28"/>
          <w:szCs w:val="28"/>
          <w:highlight w:val="none"/>
        </w:rPr>
        <w:t>水质各项监测指标均能达标排放</w:t>
      </w:r>
      <w:r>
        <w:rPr>
          <w:rFonts w:hint="eastAsia"/>
          <w:color w:val="000000"/>
          <w:sz w:val="28"/>
          <w:szCs w:val="28"/>
          <w:highlight w:val="none"/>
        </w:rPr>
        <w:t>。</w:t>
      </w:r>
    </w:p>
    <w:p w14:paraId="1D1C4AF9">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②地下水</w:t>
      </w:r>
    </w:p>
    <w:p w14:paraId="3CC07E9E">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eastAsia="宋体"/>
          <w:color w:val="000000"/>
          <w:sz w:val="28"/>
          <w:szCs w:val="28"/>
          <w:lang w:eastAsia="zh-CN"/>
        </w:rPr>
      </w:pPr>
      <w:r>
        <w:rPr>
          <w:rFonts w:hint="eastAsia"/>
          <w:color w:val="000000"/>
          <w:sz w:val="28"/>
          <w:szCs w:val="28"/>
        </w:rPr>
        <w:t>矿区</w:t>
      </w:r>
      <w:r>
        <w:rPr>
          <w:color w:val="000000"/>
          <w:sz w:val="28"/>
          <w:szCs w:val="28"/>
        </w:rPr>
        <w:t>地下水的补给来源主要为</w:t>
      </w:r>
      <w:r>
        <w:rPr>
          <w:rFonts w:hint="eastAsia"/>
          <w:color w:val="000000"/>
          <w:sz w:val="28"/>
          <w:szCs w:val="28"/>
        </w:rPr>
        <w:t>大气降雨，</w:t>
      </w:r>
      <w:r>
        <w:rPr>
          <w:color w:val="000000"/>
          <w:sz w:val="28"/>
          <w:szCs w:val="28"/>
        </w:rPr>
        <w:t>由于矿区范围内地表水体不发育，松散岩类孔隙水主要依靠大气降水补给，而</w:t>
      </w:r>
      <w:r>
        <w:rPr>
          <w:bCs/>
          <w:color w:val="000000"/>
          <w:sz w:val="28"/>
          <w:szCs w:val="28"/>
        </w:rPr>
        <w:t>孔洞裂隙水</w:t>
      </w:r>
      <w:r>
        <w:rPr>
          <w:color w:val="000000"/>
          <w:sz w:val="28"/>
          <w:szCs w:val="28"/>
        </w:rPr>
        <w:t>又主要依靠松散岩类孔隙水的迳流补给。本矿区地下水流通性差，</w:t>
      </w:r>
      <w:r>
        <w:rPr>
          <w:rFonts w:hint="eastAsia"/>
          <w:color w:val="000000"/>
          <w:sz w:val="28"/>
          <w:szCs w:val="28"/>
        </w:rPr>
        <w:t>矿区前期采矿</w:t>
      </w:r>
      <w:r>
        <w:rPr>
          <w:color w:val="000000"/>
          <w:sz w:val="28"/>
          <w:szCs w:val="28"/>
        </w:rPr>
        <w:t>活动与地下水水力联系不明显，地下水涌水量较小，也不进行地下抽水</w:t>
      </w:r>
      <w:r>
        <w:rPr>
          <w:rFonts w:hint="eastAsia"/>
          <w:color w:val="000000"/>
          <w:sz w:val="28"/>
          <w:szCs w:val="28"/>
        </w:rPr>
        <w:t>，现状开采活动对地下水污染较轻</w:t>
      </w:r>
      <w:r>
        <w:rPr>
          <w:rFonts w:hint="eastAsia"/>
          <w:color w:val="000000"/>
          <w:sz w:val="28"/>
          <w:szCs w:val="28"/>
          <w:lang w:eastAsia="zh-CN"/>
        </w:rPr>
        <w:t>。</w:t>
      </w:r>
    </w:p>
    <w:p w14:paraId="602E49B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hAnsi="宋体"/>
          <w:color w:val="000000"/>
          <w:sz w:val="28"/>
          <w:szCs w:val="28"/>
        </w:rPr>
      </w:pPr>
      <w:r>
        <w:rPr>
          <w:rFonts w:hint="eastAsia" w:hAnsi="宋体"/>
          <w:color w:val="000000"/>
          <w:sz w:val="28"/>
          <w:szCs w:val="28"/>
        </w:rPr>
        <w:t>③周边水源地</w:t>
      </w:r>
    </w:p>
    <w:p w14:paraId="4E9C04A1">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highlight w:val="none"/>
        </w:rPr>
      </w:pPr>
      <w:r>
        <w:rPr>
          <w:rFonts w:hAnsi="宋体"/>
          <w:color w:val="000000"/>
          <w:sz w:val="28"/>
          <w:szCs w:val="28"/>
          <w:highlight w:val="none"/>
        </w:rPr>
        <w:t>矿区北</w:t>
      </w:r>
      <w:r>
        <w:rPr>
          <w:rFonts w:hint="eastAsia" w:hAnsi="宋体"/>
          <w:color w:val="000000"/>
          <w:sz w:val="28"/>
          <w:szCs w:val="28"/>
          <w:highlight w:val="none"/>
        </w:rPr>
        <w:t>侧</w:t>
      </w:r>
      <w:r>
        <w:rPr>
          <w:rFonts w:hint="eastAsia"/>
          <w:color w:val="000000"/>
          <w:sz w:val="28"/>
          <w:szCs w:val="28"/>
          <w:highlight w:val="none"/>
          <w:lang w:val="en-US" w:eastAsia="zh-CN"/>
        </w:rPr>
        <w:t>约450m</w:t>
      </w:r>
      <w:r>
        <w:rPr>
          <w:rFonts w:hAnsi="宋体"/>
          <w:color w:val="000000"/>
          <w:sz w:val="28"/>
          <w:szCs w:val="28"/>
          <w:highlight w:val="none"/>
        </w:rPr>
        <w:t>为</w:t>
      </w:r>
      <w:r>
        <w:rPr>
          <w:rFonts w:hint="eastAsia" w:hAnsi="宋体"/>
          <w:color w:val="000000"/>
          <w:sz w:val="28"/>
          <w:szCs w:val="28"/>
          <w:highlight w:val="none"/>
          <w:lang w:val="en-US" w:eastAsia="zh-CN"/>
        </w:rPr>
        <w:t>鲤鱼潭</w:t>
      </w:r>
      <w:r>
        <w:rPr>
          <w:rFonts w:hAnsi="宋体"/>
          <w:color w:val="000000"/>
          <w:sz w:val="28"/>
          <w:szCs w:val="28"/>
          <w:highlight w:val="none"/>
        </w:rPr>
        <w:t>水库，</w:t>
      </w:r>
      <w:r>
        <w:rPr>
          <w:rFonts w:hint="eastAsia" w:hAnsi="宋体"/>
          <w:color w:val="000000"/>
          <w:sz w:val="28"/>
          <w:szCs w:val="28"/>
          <w:highlight w:val="none"/>
        </w:rPr>
        <w:t>矿区1号拐点距离</w:t>
      </w:r>
      <w:r>
        <w:rPr>
          <w:rFonts w:hint="eastAsia" w:hAnsi="宋体"/>
          <w:color w:val="000000"/>
          <w:sz w:val="28"/>
          <w:szCs w:val="28"/>
          <w:highlight w:val="none"/>
          <w:lang w:val="en-US" w:eastAsia="zh-CN"/>
        </w:rPr>
        <w:t>鲤鱼潭</w:t>
      </w:r>
      <w:r>
        <w:rPr>
          <w:rFonts w:hAnsi="宋体"/>
          <w:color w:val="000000"/>
          <w:sz w:val="28"/>
          <w:szCs w:val="28"/>
          <w:highlight w:val="none"/>
        </w:rPr>
        <w:t>水库</w:t>
      </w:r>
      <w:r>
        <w:rPr>
          <w:rFonts w:hint="eastAsia" w:hAnsi="宋体"/>
          <w:color w:val="000000"/>
          <w:sz w:val="28"/>
          <w:szCs w:val="28"/>
          <w:highlight w:val="none"/>
        </w:rPr>
        <w:t>的延伸水面约</w:t>
      </w:r>
      <w:r>
        <w:rPr>
          <w:rFonts w:hint="eastAsia" w:hAnsi="宋体"/>
          <w:color w:val="000000"/>
          <w:sz w:val="28"/>
          <w:szCs w:val="28"/>
          <w:highlight w:val="none"/>
          <w:lang w:val="en-US" w:eastAsia="zh-CN"/>
        </w:rPr>
        <w:t>420</w:t>
      </w:r>
      <w:r>
        <w:rPr>
          <w:rFonts w:hint="eastAsia" w:hAnsi="宋体"/>
          <w:color w:val="000000"/>
          <w:sz w:val="28"/>
          <w:szCs w:val="28"/>
          <w:highlight w:val="none"/>
        </w:rPr>
        <w:t>米，矿区</w:t>
      </w:r>
      <w:r>
        <w:rPr>
          <w:rFonts w:hint="eastAsia" w:hAnsi="宋体"/>
          <w:color w:val="000000"/>
          <w:sz w:val="28"/>
          <w:szCs w:val="28"/>
          <w:highlight w:val="none"/>
          <w:lang w:val="en-US" w:eastAsia="zh-CN"/>
        </w:rPr>
        <w:t>2</w:t>
      </w:r>
      <w:r>
        <w:rPr>
          <w:rFonts w:hint="eastAsia" w:hAnsi="宋体"/>
          <w:color w:val="000000"/>
          <w:sz w:val="28"/>
          <w:szCs w:val="28"/>
          <w:highlight w:val="none"/>
        </w:rPr>
        <w:t>号拐点距离</w:t>
      </w:r>
      <w:r>
        <w:rPr>
          <w:rFonts w:hint="eastAsia" w:hAnsi="宋体"/>
          <w:color w:val="000000"/>
          <w:sz w:val="28"/>
          <w:szCs w:val="28"/>
          <w:highlight w:val="none"/>
          <w:lang w:val="en-US" w:eastAsia="zh-CN"/>
        </w:rPr>
        <w:t>鲤鱼潭</w:t>
      </w:r>
      <w:r>
        <w:rPr>
          <w:rFonts w:hAnsi="宋体"/>
          <w:color w:val="000000"/>
          <w:sz w:val="28"/>
          <w:szCs w:val="28"/>
          <w:highlight w:val="none"/>
        </w:rPr>
        <w:t>水库</w:t>
      </w:r>
      <w:r>
        <w:rPr>
          <w:rFonts w:hint="eastAsia" w:hAnsi="宋体"/>
          <w:color w:val="000000"/>
          <w:sz w:val="28"/>
          <w:szCs w:val="28"/>
          <w:highlight w:val="none"/>
        </w:rPr>
        <w:t>的延伸水面约</w:t>
      </w:r>
      <w:r>
        <w:rPr>
          <w:rFonts w:hint="eastAsia" w:hAnsi="宋体"/>
          <w:color w:val="000000"/>
          <w:sz w:val="28"/>
          <w:szCs w:val="28"/>
          <w:highlight w:val="none"/>
          <w:lang w:val="en-US" w:eastAsia="zh-CN"/>
        </w:rPr>
        <w:t>540</w:t>
      </w:r>
      <w:r>
        <w:rPr>
          <w:rFonts w:hint="eastAsia" w:hAnsi="宋体"/>
          <w:color w:val="000000"/>
          <w:sz w:val="28"/>
          <w:szCs w:val="28"/>
          <w:highlight w:val="none"/>
        </w:rPr>
        <w:t>米，</w:t>
      </w:r>
      <w:r>
        <w:rPr>
          <w:rFonts w:hint="eastAsia"/>
          <w:color w:val="000000"/>
          <w:sz w:val="28"/>
          <w:szCs w:val="28"/>
          <w:highlight w:val="none"/>
        </w:rPr>
        <w:t>矿区前期采矿</w:t>
      </w:r>
      <w:r>
        <w:rPr>
          <w:color w:val="000000"/>
          <w:sz w:val="28"/>
          <w:szCs w:val="28"/>
          <w:highlight w:val="none"/>
        </w:rPr>
        <w:t>活动与地下水水力联系不明显，</w:t>
      </w:r>
      <w:r>
        <w:rPr>
          <w:rFonts w:hint="eastAsia"/>
          <w:color w:val="000000"/>
          <w:sz w:val="28"/>
          <w:szCs w:val="28"/>
          <w:highlight w:val="none"/>
        </w:rPr>
        <w:t>现状调查反映未</w:t>
      </w:r>
      <w:r>
        <w:rPr>
          <w:color w:val="000000"/>
          <w:sz w:val="28"/>
          <w:szCs w:val="28"/>
          <w:highlight w:val="none"/>
        </w:rPr>
        <w:t>造成附近水源缺乏，未导致周边地下水位下降和地下水与地表水的水力联系加剧</w:t>
      </w:r>
      <w:r>
        <w:rPr>
          <w:rFonts w:hint="eastAsia"/>
          <w:color w:val="000000"/>
          <w:sz w:val="28"/>
          <w:szCs w:val="28"/>
          <w:highlight w:val="none"/>
        </w:rPr>
        <w:t>现象</w:t>
      </w:r>
      <w:r>
        <w:rPr>
          <w:color w:val="000000"/>
          <w:sz w:val="28"/>
          <w:szCs w:val="28"/>
          <w:highlight w:val="none"/>
        </w:rPr>
        <w:t>，也未引发周边</w:t>
      </w:r>
      <w:r>
        <w:rPr>
          <w:rFonts w:hint="eastAsia"/>
          <w:color w:val="000000"/>
          <w:sz w:val="28"/>
          <w:szCs w:val="28"/>
          <w:highlight w:val="none"/>
        </w:rPr>
        <w:t>地下水</w:t>
      </w:r>
      <w:r>
        <w:rPr>
          <w:color w:val="000000"/>
          <w:sz w:val="28"/>
          <w:szCs w:val="28"/>
          <w:highlight w:val="none"/>
        </w:rPr>
        <w:t>水质改变，</w:t>
      </w:r>
      <w:r>
        <w:rPr>
          <w:rFonts w:hint="eastAsia"/>
          <w:color w:val="000000"/>
          <w:sz w:val="28"/>
          <w:szCs w:val="28"/>
          <w:highlight w:val="none"/>
        </w:rPr>
        <w:t>未</w:t>
      </w:r>
      <w:r>
        <w:rPr>
          <w:color w:val="000000"/>
          <w:sz w:val="28"/>
          <w:szCs w:val="28"/>
          <w:highlight w:val="none"/>
        </w:rPr>
        <w:t>改变了周边地下水的径流、排泄方式，对周边水源地的影响较轻</w:t>
      </w:r>
      <w:r>
        <w:rPr>
          <w:rFonts w:hint="eastAsia"/>
          <w:color w:val="000000"/>
          <w:sz w:val="28"/>
          <w:szCs w:val="28"/>
          <w:highlight w:val="none"/>
        </w:rPr>
        <w:t>。</w:t>
      </w:r>
    </w:p>
    <w:p w14:paraId="289FCBF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color w:val="000000"/>
          <w:sz w:val="28"/>
          <w:szCs w:val="28"/>
        </w:rPr>
        <w:t>2）土壤污染现状</w:t>
      </w:r>
    </w:p>
    <w:p w14:paraId="520ABFB4">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highlight w:val="none"/>
        </w:rPr>
      </w:pPr>
      <w:r>
        <w:rPr>
          <w:rFonts w:hint="eastAsia"/>
          <w:color w:val="000000"/>
          <w:sz w:val="28"/>
          <w:szCs w:val="28"/>
          <w:lang w:val="en-US" w:eastAsia="zh-CN"/>
        </w:rPr>
        <w:t>现场调查时，</w:t>
      </w:r>
      <w:r>
        <w:rPr>
          <w:rFonts w:hint="eastAsia"/>
          <w:color w:val="000000"/>
          <w:sz w:val="28"/>
          <w:szCs w:val="28"/>
        </w:rPr>
        <w:t>对项目区</w:t>
      </w:r>
      <w:r>
        <w:rPr>
          <w:rFonts w:hint="eastAsia"/>
          <w:color w:val="000000"/>
          <w:sz w:val="28"/>
          <w:szCs w:val="28"/>
          <w:lang w:val="en-US" w:eastAsia="zh-CN"/>
        </w:rPr>
        <w:t>原工业场地、矿区内、矿区外</w:t>
      </w:r>
      <w:r>
        <w:rPr>
          <w:rFonts w:hint="eastAsia"/>
          <w:color w:val="000000"/>
          <w:sz w:val="28"/>
          <w:szCs w:val="28"/>
        </w:rPr>
        <w:t>进行</w:t>
      </w:r>
      <w:r>
        <w:rPr>
          <w:rFonts w:hint="eastAsia"/>
          <w:color w:val="000000"/>
          <w:sz w:val="28"/>
          <w:szCs w:val="28"/>
          <w:lang w:val="en-US" w:eastAsia="zh-CN"/>
        </w:rPr>
        <w:t>土壤</w:t>
      </w:r>
      <w:r>
        <w:rPr>
          <w:rFonts w:hint="eastAsia"/>
          <w:color w:val="000000"/>
          <w:sz w:val="28"/>
          <w:szCs w:val="28"/>
        </w:rPr>
        <w:t>样采集</w:t>
      </w:r>
      <w:r>
        <w:rPr>
          <w:rFonts w:hint="eastAsia"/>
          <w:color w:val="000000"/>
          <w:sz w:val="28"/>
          <w:szCs w:val="28"/>
          <w:lang w:eastAsia="zh-CN"/>
        </w:rPr>
        <w:t>（</w:t>
      </w:r>
      <w:r>
        <w:rPr>
          <w:rFonts w:hint="eastAsia"/>
          <w:color w:val="000000"/>
          <w:sz w:val="28"/>
          <w:szCs w:val="28"/>
          <w:lang w:val="en-US" w:eastAsia="zh-CN"/>
        </w:rPr>
        <w:t>附图2</w:t>
      </w:r>
      <w:r>
        <w:rPr>
          <w:rFonts w:hint="eastAsia"/>
          <w:color w:val="000000"/>
          <w:sz w:val="28"/>
          <w:szCs w:val="28"/>
          <w:lang w:eastAsia="zh-CN"/>
        </w:rPr>
        <w:t>）</w:t>
      </w:r>
      <w:r>
        <w:rPr>
          <w:rFonts w:hint="eastAsia"/>
          <w:color w:val="000000"/>
          <w:sz w:val="28"/>
          <w:szCs w:val="28"/>
        </w:rPr>
        <w:t>，</w:t>
      </w:r>
      <w:r>
        <w:rPr>
          <w:rFonts w:hint="eastAsia"/>
          <w:color w:val="000000"/>
          <w:sz w:val="28"/>
          <w:szCs w:val="28"/>
          <w:lang w:val="en-US" w:eastAsia="zh-CN"/>
        </w:rPr>
        <w:t>样品编号为TR01、TR02、TR03、TR04，</w:t>
      </w:r>
      <w:r>
        <w:rPr>
          <w:rFonts w:hint="eastAsia"/>
          <w:color w:val="000000"/>
          <w:sz w:val="28"/>
          <w:szCs w:val="28"/>
        </w:rPr>
        <w:t>并送至国检测试控股集团京诚检测有限公司进行检测，检测因子主要有</w:t>
      </w:r>
      <w:r>
        <w:rPr>
          <w:rFonts w:hint="default" w:ascii="Times New Roman" w:hAnsi="Times New Roman" w:eastAsia="Times New Roman" w:cs="Times New Roman"/>
          <w:b w:val="0"/>
          <w:sz w:val="28"/>
          <w:szCs w:val="28"/>
          <w:highlight w:val="none"/>
        </w:rPr>
        <w:t>pH值</w:t>
      </w:r>
      <w:r>
        <w:rPr>
          <w:rFonts w:hint="eastAsia" w:ascii="Times New Roman" w:hAnsi="Times New Roman" w:eastAsia="宋体" w:cs="Times New Roman"/>
          <w:b w:val="0"/>
          <w:sz w:val="28"/>
          <w:szCs w:val="28"/>
          <w:highlight w:val="none"/>
          <w:lang w:eastAsia="zh-CN"/>
        </w:rPr>
        <w:t>、</w:t>
      </w:r>
      <w:r>
        <w:rPr>
          <w:rFonts w:hint="default" w:ascii="Times New Roman" w:hAnsi="Times New Roman" w:eastAsia="Times New Roman" w:cs="Times New Roman"/>
          <w:b w:val="0"/>
          <w:sz w:val="28"/>
          <w:szCs w:val="28"/>
          <w:highlight w:val="none"/>
        </w:rPr>
        <w:t>有机质</w:t>
      </w:r>
      <w:r>
        <w:rPr>
          <w:rFonts w:hint="eastAsia" w:ascii="Times New Roman" w:hAnsi="Times New Roman" w:eastAsia="宋体" w:cs="Times New Roman"/>
          <w:b w:val="0"/>
          <w:sz w:val="28"/>
          <w:szCs w:val="28"/>
          <w:highlight w:val="none"/>
          <w:lang w:eastAsia="zh-CN"/>
        </w:rPr>
        <w:t>、</w:t>
      </w:r>
      <w:r>
        <w:rPr>
          <w:rFonts w:hint="default" w:ascii="Times New Roman" w:hAnsi="Times New Roman" w:eastAsia="Times New Roman" w:cs="Times New Roman"/>
          <w:b w:val="0"/>
          <w:sz w:val="28"/>
          <w:szCs w:val="28"/>
          <w:highlight w:val="none"/>
        </w:rPr>
        <w:t>六价铬</w:t>
      </w:r>
      <w:r>
        <w:rPr>
          <w:rFonts w:hint="eastAsia" w:ascii="Times New Roman" w:hAnsi="Times New Roman" w:eastAsia="宋体" w:cs="Times New Roman"/>
          <w:b w:val="0"/>
          <w:sz w:val="28"/>
          <w:szCs w:val="28"/>
          <w:highlight w:val="none"/>
          <w:lang w:eastAsia="zh-CN"/>
        </w:rPr>
        <w:t>、汞、砷、铅、铜、镍、镉、全钾、总磷、总氮</w:t>
      </w:r>
      <w:r>
        <w:rPr>
          <w:rFonts w:hint="eastAsia"/>
          <w:color w:val="000000"/>
          <w:sz w:val="28"/>
          <w:szCs w:val="28"/>
          <w:highlight w:val="none"/>
        </w:rPr>
        <w:t>等。</w:t>
      </w:r>
      <w:r>
        <w:rPr>
          <w:color w:val="000000"/>
          <w:sz w:val="28"/>
          <w:szCs w:val="28"/>
        </w:rPr>
        <w:t>根据</w:t>
      </w:r>
      <w:r>
        <w:rPr>
          <w:rFonts w:hint="eastAsia"/>
          <w:color w:val="000000"/>
          <w:sz w:val="28"/>
          <w:szCs w:val="28"/>
        </w:rPr>
        <w:t>国检测试控股集团京诚检测有限公司出具的水样检测报告</w:t>
      </w:r>
      <w:r>
        <w:rPr>
          <w:rFonts w:hint="eastAsia"/>
          <w:color w:val="000000"/>
          <w:sz w:val="28"/>
          <w:szCs w:val="28"/>
          <w:highlight w:val="none"/>
          <w:lang w:eastAsia="zh-CN"/>
        </w:rPr>
        <w:t>（</w:t>
      </w:r>
      <w:r>
        <w:rPr>
          <w:rFonts w:hint="eastAsia"/>
          <w:color w:val="000000"/>
          <w:sz w:val="28"/>
          <w:szCs w:val="28"/>
          <w:highlight w:val="none"/>
          <w:lang w:val="en-US" w:eastAsia="zh-CN"/>
        </w:rPr>
        <w:t>附件4</w:t>
      </w:r>
      <w:r>
        <w:rPr>
          <w:rFonts w:hint="eastAsia"/>
          <w:color w:val="000000"/>
          <w:sz w:val="28"/>
          <w:szCs w:val="28"/>
          <w:highlight w:val="none"/>
          <w:lang w:eastAsia="zh-CN"/>
        </w:rPr>
        <w:t>），</w:t>
      </w:r>
      <w:r>
        <w:rPr>
          <w:rFonts w:hint="eastAsia"/>
          <w:color w:val="000000"/>
          <w:sz w:val="28"/>
          <w:szCs w:val="28"/>
          <w:highlight w:val="none"/>
        </w:rPr>
        <w:t>报告编号：GZH26062300301050201</w:t>
      </w:r>
      <w:r>
        <w:rPr>
          <w:rFonts w:hint="eastAsia"/>
          <w:color w:val="000000"/>
          <w:sz w:val="28"/>
          <w:szCs w:val="28"/>
        </w:rPr>
        <w:t>，</w:t>
      </w:r>
      <w:r>
        <w:rPr>
          <w:rFonts w:hint="eastAsia"/>
          <w:color w:val="000000"/>
          <w:sz w:val="28"/>
          <w:szCs w:val="28"/>
          <w:lang w:val="en-US" w:eastAsia="zh-CN"/>
        </w:rPr>
        <w:t>参照《土壤环境质量建设用地土壤污染风险管控标准》（GB36600-2018），</w:t>
      </w:r>
      <w:r>
        <w:rPr>
          <w:rFonts w:hint="eastAsia"/>
          <w:color w:val="000000"/>
          <w:sz w:val="28"/>
          <w:szCs w:val="28"/>
          <w:highlight w:val="none"/>
        </w:rPr>
        <w:t>检测的</w:t>
      </w:r>
      <w:r>
        <w:rPr>
          <w:rFonts w:hint="eastAsia"/>
          <w:color w:val="000000"/>
          <w:sz w:val="28"/>
          <w:szCs w:val="28"/>
          <w:highlight w:val="none"/>
          <w:lang w:val="en-US" w:eastAsia="zh-CN"/>
        </w:rPr>
        <w:t>土</w:t>
      </w:r>
      <w:r>
        <w:rPr>
          <w:rFonts w:hint="eastAsia"/>
          <w:color w:val="000000"/>
          <w:sz w:val="28"/>
          <w:szCs w:val="28"/>
          <w:highlight w:val="none"/>
        </w:rPr>
        <w:t>样各项</w:t>
      </w:r>
      <w:r>
        <w:rPr>
          <w:rFonts w:hint="eastAsia"/>
          <w:color w:val="000000"/>
          <w:sz w:val="28"/>
          <w:szCs w:val="28"/>
          <w:highlight w:val="none"/>
          <w:lang w:val="en-US" w:eastAsia="zh-CN"/>
        </w:rPr>
        <w:t>指标低于风险筛选值和管控值</w:t>
      </w:r>
      <w:r>
        <w:rPr>
          <w:rFonts w:hint="eastAsia"/>
          <w:color w:val="000000"/>
          <w:sz w:val="28"/>
          <w:szCs w:val="28"/>
          <w:highlight w:val="none"/>
        </w:rPr>
        <w:t>。</w:t>
      </w:r>
      <w:r>
        <w:rPr>
          <w:rFonts w:hint="eastAsia"/>
          <w:color w:val="000000"/>
          <w:sz w:val="28"/>
          <w:szCs w:val="28"/>
          <w:highlight w:val="none"/>
          <w:lang w:val="en-US" w:eastAsia="zh-CN"/>
        </w:rPr>
        <w:t>且</w:t>
      </w:r>
      <w:r>
        <w:rPr>
          <w:rFonts w:hint="eastAsia"/>
          <w:color w:val="000000"/>
          <w:sz w:val="28"/>
          <w:szCs w:val="28"/>
          <w:highlight w:val="none"/>
        </w:rPr>
        <w:t>本矿床矿物主要是</w:t>
      </w:r>
      <w:r>
        <w:rPr>
          <w:bCs/>
          <w:color w:val="000000"/>
          <w:sz w:val="28"/>
          <w:szCs w:val="28"/>
          <w:highlight w:val="none"/>
        </w:rPr>
        <w:t>建筑用玄武岩矿</w:t>
      </w:r>
      <w:r>
        <w:rPr>
          <w:rFonts w:hint="eastAsia"/>
          <w:color w:val="000000"/>
          <w:sz w:val="28"/>
          <w:szCs w:val="28"/>
          <w:highlight w:val="none"/>
        </w:rPr>
        <w:t>，矿石不存在金属蚀变，矿石及废弃物不易分解出有害组分，矿坑排水废水经检测不含有毒有害物质，经过沉砂池合理处理后可达到排放标准，对附近土壤环境造成污染较小，对矿区及周边土地资源污染的影响较小，现状条件下矿业活动对</w:t>
      </w:r>
      <w:r>
        <w:rPr>
          <w:rFonts w:hint="eastAsia"/>
          <w:color w:val="000000"/>
          <w:sz w:val="28"/>
          <w:szCs w:val="28"/>
          <w:highlight w:val="none"/>
          <w:lang w:val="en-US" w:eastAsia="zh-CN"/>
        </w:rPr>
        <w:t>水土</w:t>
      </w:r>
      <w:r>
        <w:rPr>
          <w:rFonts w:hint="eastAsia"/>
          <w:color w:val="000000"/>
          <w:sz w:val="28"/>
          <w:szCs w:val="28"/>
          <w:highlight w:val="none"/>
        </w:rPr>
        <w:t>污染的影响为较轻。</w:t>
      </w:r>
    </w:p>
    <w:p w14:paraId="012B9546">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rFonts w:hint="eastAsia"/>
          <w:bCs/>
          <w:color w:val="000000"/>
          <w:sz w:val="28"/>
          <w:szCs w:val="28"/>
        </w:rPr>
        <w:t>综上所述，</w:t>
      </w:r>
      <w:r>
        <w:rPr>
          <w:bCs/>
          <w:color w:val="000000"/>
          <w:sz w:val="28"/>
          <w:szCs w:val="28"/>
        </w:rPr>
        <w:t>现状评估</w:t>
      </w:r>
      <w:r>
        <w:rPr>
          <w:rFonts w:hint="eastAsia"/>
          <w:bCs/>
          <w:color w:val="000000"/>
          <w:sz w:val="28"/>
          <w:szCs w:val="28"/>
        </w:rPr>
        <w:t>矿业</w:t>
      </w:r>
      <w:r>
        <w:rPr>
          <w:bCs/>
          <w:color w:val="000000"/>
          <w:sz w:val="28"/>
          <w:szCs w:val="28"/>
        </w:rPr>
        <w:t>活动对</w:t>
      </w:r>
      <w:r>
        <w:rPr>
          <w:rFonts w:hint="eastAsia"/>
          <w:bCs/>
          <w:color w:val="000000"/>
          <w:sz w:val="28"/>
          <w:szCs w:val="28"/>
        </w:rPr>
        <w:t>水土环境</w:t>
      </w:r>
      <w:r>
        <w:rPr>
          <w:rFonts w:hint="eastAsia"/>
          <w:bCs/>
          <w:color w:val="000000"/>
          <w:sz w:val="28"/>
          <w:szCs w:val="28"/>
          <w:lang w:val="en-US" w:eastAsia="zh-CN"/>
        </w:rPr>
        <w:t>影响</w:t>
      </w:r>
      <w:r>
        <w:rPr>
          <w:bCs/>
          <w:color w:val="000000"/>
          <w:sz w:val="28"/>
          <w:szCs w:val="28"/>
        </w:rPr>
        <w:t>程度为</w:t>
      </w:r>
      <w:r>
        <w:rPr>
          <w:b/>
          <w:bCs w:val="0"/>
          <w:color w:val="000000"/>
          <w:sz w:val="28"/>
          <w:szCs w:val="28"/>
        </w:rPr>
        <w:t>较</w:t>
      </w:r>
      <w:r>
        <w:rPr>
          <w:rFonts w:hint="eastAsia"/>
          <w:b/>
          <w:bCs w:val="0"/>
          <w:color w:val="000000"/>
          <w:sz w:val="28"/>
          <w:szCs w:val="28"/>
        </w:rPr>
        <w:t>轻</w:t>
      </w:r>
      <w:r>
        <w:rPr>
          <w:bCs/>
          <w:color w:val="000000"/>
          <w:sz w:val="28"/>
          <w:szCs w:val="28"/>
        </w:rPr>
        <w:t>。</w:t>
      </w:r>
    </w:p>
    <w:p w14:paraId="5466EA35">
      <w:pPr>
        <w:pStyle w:val="7"/>
        <w:spacing w:line="360" w:lineRule="auto"/>
        <w:rPr>
          <w:rFonts w:hint="default" w:eastAsia="宋体"/>
          <w:sz w:val="28"/>
          <w:szCs w:val="28"/>
          <w:lang w:val="en-US" w:eastAsia="zh-CN"/>
        </w:rPr>
      </w:pPr>
      <w:r>
        <w:rPr>
          <w:rFonts w:hint="eastAsia"/>
          <w:sz w:val="28"/>
          <w:szCs w:val="28"/>
        </w:rPr>
        <w:t>2.土地损毁</w:t>
      </w:r>
      <w:r>
        <w:rPr>
          <w:rFonts w:hint="eastAsia"/>
          <w:sz w:val="28"/>
          <w:szCs w:val="28"/>
          <w:lang w:val="en-US" w:eastAsia="zh-CN"/>
        </w:rPr>
        <w:t>现状分析</w:t>
      </w:r>
    </w:p>
    <w:p w14:paraId="0B33DBB5">
      <w:pPr>
        <w:spacing w:line="360" w:lineRule="auto"/>
        <w:ind w:firstLine="482"/>
        <w:rPr>
          <w:b/>
          <w:bCs/>
          <w:sz w:val="28"/>
          <w:szCs w:val="28"/>
        </w:rPr>
      </w:pPr>
      <w:r>
        <w:rPr>
          <w:rFonts w:hint="eastAsia"/>
          <w:b/>
          <w:bCs/>
          <w:sz w:val="28"/>
          <w:szCs w:val="28"/>
        </w:rPr>
        <w:t>（1）土地损毁环节与时序</w:t>
      </w:r>
    </w:p>
    <w:p w14:paraId="2EA4CCA4">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bCs/>
          <w:color w:val="000000"/>
          <w:sz w:val="28"/>
          <w:szCs w:val="28"/>
        </w:rPr>
      </w:pPr>
      <w:r>
        <w:rPr>
          <w:rFonts w:hint="eastAsia"/>
          <w:bCs/>
          <w:color w:val="000000"/>
          <w:sz w:val="28"/>
          <w:szCs w:val="28"/>
        </w:rPr>
        <w:t>（1）</w:t>
      </w:r>
      <w:r>
        <w:rPr>
          <w:bCs/>
          <w:color w:val="000000"/>
          <w:sz w:val="28"/>
          <w:szCs w:val="28"/>
        </w:rPr>
        <w:t>项目</w:t>
      </w:r>
      <w:r>
        <w:rPr>
          <w:rFonts w:hint="eastAsia"/>
          <w:bCs/>
          <w:color w:val="000000"/>
          <w:sz w:val="28"/>
          <w:szCs w:val="28"/>
        </w:rPr>
        <w:t>区</w:t>
      </w:r>
      <w:r>
        <w:rPr>
          <w:bCs/>
          <w:color w:val="000000"/>
          <w:sz w:val="28"/>
          <w:szCs w:val="28"/>
        </w:rPr>
        <w:t>对土地的损毁形式</w:t>
      </w:r>
    </w:p>
    <w:p w14:paraId="034B81DA">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bCs/>
          <w:color w:val="000000"/>
          <w:sz w:val="28"/>
          <w:szCs w:val="28"/>
        </w:rPr>
      </w:pPr>
      <w:r>
        <w:rPr>
          <w:rFonts w:hint="eastAsia"/>
          <w:bCs/>
          <w:color w:val="000000"/>
          <w:sz w:val="28"/>
          <w:szCs w:val="28"/>
        </w:rPr>
        <w:t>根据《开发利用方案》及矿山实际，矿山开采对土地损毁类型为挖损和压占。</w:t>
      </w:r>
    </w:p>
    <w:p w14:paraId="02C14C9C">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bCs/>
          <w:color w:val="000000"/>
          <w:sz w:val="28"/>
          <w:szCs w:val="28"/>
        </w:rPr>
      </w:pPr>
      <w:r>
        <w:rPr>
          <w:rFonts w:hint="eastAsia"/>
          <w:bCs/>
          <w:color w:val="000000"/>
          <w:sz w:val="28"/>
          <w:szCs w:val="28"/>
        </w:rPr>
        <w:t>（2）</w:t>
      </w:r>
      <w:r>
        <w:rPr>
          <w:bCs/>
          <w:color w:val="000000"/>
          <w:sz w:val="28"/>
          <w:szCs w:val="28"/>
        </w:rPr>
        <w:t>项目区土地损毁时序分析</w:t>
      </w:r>
    </w:p>
    <w:p w14:paraId="4CA4A9EE">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bCs/>
          <w:color w:val="000000"/>
          <w:sz w:val="28"/>
          <w:szCs w:val="28"/>
        </w:rPr>
      </w:pPr>
      <w:r>
        <w:rPr>
          <w:rFonts w:hint="eastAsia"/>
          <w:bCs/>
          <w:color w:val="000000"/>
          <w:sz w:val="28"/>
          <w:szCs w:val="28"/>
        </w:rPr>
        <w:t>本矿山露天开采，其开采流程：剥离覆土→爆破→铲装→运输→排卸</w:t>
      </w:r>
      <w:r>
        <w:rPr>
          <w:rFonts w:hint="eastAsia"/>
          <w:bCs/>
          <w:color w:val="000000"/>
          <w:sz w:val="28"/>
          <w:szCs w:val="28"/>
          <w:lang w:eastAsia="zh-CN"/>
        </w:rPr>
        <w:t>（</w:t>
      </w:r>
      <w:r>
        <w:rPr>
          <w:rFonts w:hint="eastAsia"/>
          <w:bCs/>
          <w:color w:val="000000"/>
          <w:sz w:val="28"/>
          <w:szCs w:val="28"/>
          <w:lang w:val="en-US" w:eastAsia="zh-CN"/>
        </w:rPr>
        <w:t>详见图3-2</w:t>
      </w:r>
      <w:r>
        <w:rPr>
          <w:rFonts w:hint="eastAsia"/>
          <w:bCs/>
          <w:color w:val="000000"/>
          <w:sz w:val="28"/>
          <w:szCs w:val="28"/>
          <w:lang w:eastAsia="zh-CN"/>
        </w:rPr>
        <w:t>）。</w:t>
      </w:r>
    </w:p>
    <w:p w14:paraId="6417F535">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eastAsia" w:ascii="宋体" w:hAnsi="宋体" w:eastAsia="宋体"/>
          <w:sz w:val="24"/>
        </w:rPr>
      </w:pPr>
      <w:r>
        <w:rPr>
          <w:rFonts w:hint="eastAsia" w:ascii="宋体" w:hAnsi="宋体" w:eastAsia="宋体"/>
          <w:sz w:val="24"/>
        </w:rPr>
        <w:drawing>
          <wp:inline distT="0" distB="0" distL="0" distR="0">
            <wp:extent cx="5274310" cy="1366520"/>
            <wp:effectExtent l="0" t="0" r="13970" b="5080"/>
            <wp:docPr id="19" name="图片 19"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示&#10;&#10;AI 生成的内容可能不正确。"/>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366520"/>
                    </a:xfrm>
                    <a:prstGeom prst="rect">
                      <a:avLst/>
                    </a:prstGeom>
                  </pic:spPr>
                </pic:pic>
              </a:graphicData>
            </a:graphic>
          </wp:inline>
        </w:drawing>
      </w:r>
    </w:p>
    <w:p w14:paraId="47764066">
      <w:pPr>
        <w:spacing w:line="360" w:lineRule="auto"/>
        <w:jc w:val="center"/>
        <w:rPr>
          <w:sz w:val="28"/>
          <w:szCs w:val="28"/>
          <w:highlight w:val="none"/>
        </w:rPr>
      </w:pPr>
      <w:r>
        <w:rPr>
          <w:rFonts w:hint="eastAsia" w:ascii="黑体" w:hAnsi="黑体" w:eastAsia="黑体"/>
          <w:sz w:val="24"/>
        </w:rPr>
        <w:t>图3-</w:t>
      </w:r>
      <w:r>
        <w:rPr>
          <w:rFonts w:hint="eastAsia" w:ascii="黑体" w:hAnsi="黑体" w:eastAsia="黑体"/>
          <w:sz w:val="24"/>
          <w:lang w:val="en-US" w:eastAsia="zh-CN"/>
        </w:rPr>
        <w:t>2</w:t>
      </w:r>
      <w:r>
        <w:rPr>
          <w:rFonts w:hint="eastAsia" w:ascii="黑体" w:hAnsi="黑体" w:eastAsia="黑体"/>
          <w:sz w:val="24"/>
        </w:rPr>
        <w:t xml:space="preserve">  土地破坏时序图</w:t>
      </w:r>
    </w:p>
    <w:p w14:paraId="526B2061">
      <w:pPr>
        <w:spacing w:line="360" w:lineRule="auto"/>
        <w:ind w:firstLine="482"/>
        <w:rPr>
          <w:b/>
          <w:bCs/>
          <w:sz w:val="28"/>
          <w:szCs w:val="28"/>
        </w:rPr>
      </w:pPr>
      <w:r>
        <w:rPr>
          <w:rFonts w:hint="eastAsia"/>
          <w:b/>
          <w:bCs/>
          <w:sz w:val="28"/>
          <w:szCs w:val="28"/>
        </w:rPr>
        <w:t>（2）已损毁各类土地现状</w:t>
      </w:r>
    </w:p>
    <w:p w14:paraId="32A47A1A">
      <w:pPr>
        <w:spacing w:line="360" w:lineRule="auto"/>
        <w:rPr>
          <w:sz w:val="28"/>
          <w:szCs w:val="28"/>
          <w:highlight w:val="none"/>
          <w:lang w:val="zh-CN"/>
        </w:rPr>
      </w:pPr>
      <w:r>
        <w:rPr>
          <w:rFonts w:hint="eastAsia"/>
          <w:sz w:val="28"/>
          <w:szCs w:val="28"/>
          <w:highlight w:val="none"/>
        </w:rPr>
        <w:t>矿权内及周边</w:t>
      </w:r>
      <w:r>
        <w:rPr>
          <w:rFonts w:hint="eastAsia"/>
          <w:sz w:val="28"/>
          <w:szCs w:val="28"/>
          <w:highlight w:val="none"/>
          <w:lang w:val="zh-CN"/>
        </w:rPr>
        <w:t>已损毁土地为</w:t>
      </w:r>
      <w:r>
        <w:rPr>
          <w:rFonts w:hint="eastAsia"/>
          <w:sz w:val="28"/>
          <w:szCs w:val="28"/>
          <w:highlight w:val="none"/>
          <w:lang w:val="en-US" w:eastAsia="zh-CN"/>
        </w:rPr>
        <w:t>原矿山开采</w:t>
      </w:r>
      <w:r>
        <w:rPr>
          <w:rFonts w:hint="eastAsia"/>
          <w:sz w:val="28"/>
          <w:szCs w:val="28"/>
          <w:highlight w:val="none"/>
          <w:lang w:val="zh-CN"/>
        </w:rPr>
        <w:t>所形成</w:t>
      </w:r>
      <w:r>
        <w:rPr>
          <w:rFonts w:hint="eastAsia"/>
          <w:sz w:val="28"/>
          <w:szCs w:val="28"/>
          <w:highlight w:val="none"/>
        </w:rPr>
        <w:t>的历史采</w:t>
      </w:r>
      <w:r>
        <w:rPr>
          <w:rFonts w:hint="eastAsia"/>
          <w:sz w:val="28"/>
          <w:szCs w:val="28"/>
          <w:highlight w:val="none"/>
          <w:lang w:val="en-US" w:eastAsia="zh-CN"/>
        </w:rPr>
        <w:t>坑</w:t>
      </w:r>
      <w:r>
        <w:rPr>
          <w:rFonts w:hint="eastAsia"/>
          <w:sz w:val="28"/>
          <w:szCs w:val="28"/>
          <w:highlight w:val="none"/>
        </w:rPr>
        <w:t>、矿山基建形成的</w:t>
      </w:r>
      <w:r>
        <w:rPr>
          <w:rFonts w:hint="eastAsia"/>
          <w:sz w:val="28"/>
          <w:szCs w:val="28"/>
          <w:highlight w:val="none"/>
          <w:lang w:val="en-US" w:eastAsia="zh-CN"/>
        </w:rPr>
        <w:t>破碎站、废石堆放区、</w:t>
      </w:r>
      <w:r>
        <w:rPr>
          <w:rFonts w:hint="eastAsia"/>
          <w:sz w:val="28"/>
          <w:szCs w:val="28"/>
          <w:highlight w:val="none"/>
        </w:rPr>
        <w:t>办公生活区</w:t>
      </w:r>
      <w:r>
        <w:rPr>
          <w:rFonts w:hint="eastAsia"/>
          <w:sz w:val="28"/>
          <w:szCs w:val="28"/>
          <w:highlight w:val="none"/>
          <w:lang w:val="en-US" w:eastAsia="zh-CN"/>
        </w:rPr>
        <w:t>及原综合服务区</w:t>
      </w:r>
      <w:r>
        <w:rPr>
          <w:rFonts w:hint="eastAsia"/>
          <w:sz w:val="28"/>
          <w:szCs w:val="28"/>
          <w:highlight w:val="none"/>
          <w:lang w:eastAsia="zh-CN"/>
        </w:rPr>
        <w:t>，</w:t>
      </w:r>
      <w:r>
        <w:rPr>
          <w:rFonts w:hint="eastAsia"/>
          <w:sz w:val="28"/>
          <w:szCs w:val="28"/>
          <w:highlight w:val="none"/>
          <w:lang w:val="zh-CN"/>
        </w:rPr>
        <w:t>损毁面积</w:t>
      </w:r>
      <w:r>
        <w:rPr>
          <w:rFonts w:hint="eastAsia"/>
          <w:sz w:val="28"/>
          <w:szCs w:val="28"/>
          <w:highlight w:val="none"/>
        </w:rPr>
        <w:t>共</w:t>
      </w:r>
      <w:r>
        <w:rPr>
          <w:rFonts w:hint="eastAsia"/>
          <w:sz w:val="28"/>
          <w:szCs w:val="28"/>
          <w:highlight w:val="none"/>
          <w:lang w:val="en-US" w:eastAsia="zh-CN"/>
        </w:rPr>
        <w:t>7.5067</w:t>
      </w:r>
      <w:r>
        <w:rPr>
          <w:rFonts w:hint="eastAsia"/>
          <w:sz w:val="28"/>
          <w:szCs w:val="28"/>
          <w:highlight w:val="none"/>
          <w:lang w:val="zh-CN"/>
        </w:rPr>
        <w:t>hm</w:t>
      </w:r>
      <w:r>
        <w:rPr>
          <w:rFonts w:hint="eastAsia"/>
          <w:sz w:val="28"/>
          <w:szCs w:val="28"/>
          <w:highlight w:val="none"/>
          <w:vertAlign w:val="superscript"/>
          <w:lang w:val="zh-CN"/>
        </w:rPr>
        <w:t>2</w:t>
      </w:r>
      <w:r>
        <w:rPr>
          <w:rFonts w:hint="eastAsia"/>
          <w:sz w:val="28"/>
          <w:szCs w:val="28"/>
          <w:highlight w:val="none"/>
          <w:lang w:val="zh-CN"/>
        </w:rPr>
        <w:t>，</w:t>
      </w:r>
      <w:r>
        <w:rPr>
          <w:rFonts w:hint="eastAsia"/>
          <w:sz w:val="28"/>
          <w:szCs w:val="28"/>
          <w:highlight w:val="none"/>
          <w:lang w:val="en-US" w:eastAsia="zh-CN"/>
        </w:rPr>
        <w:t>损毁方式为挖损和压占，</w:t>
      </w:r>
      <w:r>
        <w:rPr>
          <w:rFonts w:hint="eastAsia"/>
          <w:sz w:val="28"/>
          <w:szCs w:val="28"/>
          <w:highlight w:val="none"/>
          <w:lang w:val="zh-CN"/>
        </w:rPr>
        <w:t>损毁土地类型为水浇地、旱地、果园、乔木林地、灌木林地、其他草地、商业服务业设施用地、采矿用地、农村宅基地、坑塘水面</w:t>
      </w:r>
      <w:r>
        <w:rPr>
          <w:rFonts w:hint="eastAsia"/>
          <w:sz w:val="28"/>
          <w:szCs w:val="28"/>
          <w:highlight w:val="none"/>
        </w:rPr>
        <w:t>。</w:t>
      </w:r>
      <w:r>
        <w:rPr>
          <w:sz w:val="28"/>
          <w:szCs w:val="28"/>
          <w:highlight w:val="none"/>
          <w:lang w:val="zh-CN"/>
        </w:rPr>
        <w:t>项目区土地</w:t>
      </w:r>
      <w:r>
        <w:rPr>
          <w:rFonts w:hint="eastAsia"/>
          <w:sz w:val="28"/>
          <w:szCs w:val="28"/>
          <w:highlight w:val="none"/>
        </w:rPr>
        <w:t>损毁现状情况</w:t>
      </w:r>
      <w:r>
        <w:rPr>
          <w:sz w:val="28"/>
          <w:szCs w:val="28"/>
          <w:highlight w:val="none"/>
          <w:lang w:val="zh-CN"/>
        </w:rPr>
        <w:t>详见</w:t>
      </w:r>
      <w:r>
        <w:rPr>
          <w:rFonts w:hint="eastAsia"/>
          <w:sz w:val="28"/>
          <w:szCs w:val="28"/>
          <w:highlight w:val="none"/>
        </w:rPr>
        <w:t>表3-</w:t>
      </w:r>
      <w:r>
        <w:rPr>
          <w:rFonts w:hint="eastAsia"/>
          <w:sz w:val="28"/>
          <w:szCs w:val="28"/>
          <w:highlight w:val="none"/>
          <w:lang w:val="en-US" w:eastAsia="zh-CN"/>
        </w:rPr>
        <w:t>7</w:t>
      </w:r>
      <w:r>
        <w:rPr>
          <w:sz w:val="28"/>
          <w:szCs w:val="28"/>
          <w:highlight w:val="none"/>
          <w:lang w:val="zh-CN"/>
        </w:rPr>
        <w:t>。</w:t>
      </w:r>
    </w:p>
    <w:p w14:paraId="6AECFDF3">
      <w:pPr>
        <w:pStyle w:val="9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sz w:val="24"/>
          <w:szCs w:val="24"/>
          <w:lang w:val="en-US" w:eastAsia="zh-CN"/>
        </w:rPr>
      </w:pPr>
      <w:r>
        <w:rPr>
          <w:rFonts w:hint="eastAsia"/>
          <w:sz w:val="24"/>
          <w:szCs w:val="24"/>
          <w:highlight w:val="none"/>
          <w:lang w:val="en-US" w:eastAsia="zh-CN"/>
        </w:rPr>
        <w:t xml:space="preserve">表3-7     </w:t>
      </w:r>
      <w:r>
        <w:rPr>
          <w:rFonts w:hint="eastAsia"/>
          <w:sz w:val="24"/>
          <w:szCs w:val="24"/>
          <w:lang w:val="en-US" w:eastAsia="zh-CN"/>
        </w:rPr>
        <w:t>项目区现状已损毁土地面积统计表</w:t>
      </w:r>
    </w:p>
    <w:tbl>
      <w:tblPr>
        <w:tblStyle w:val="33"/>
        <w:tblW w:w="510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1157"/>
        <w:gridCol w:w="688"/>
        <w:gridCol w:w="694"/>
        <w:gridCol w:w="690"/>
        <w:gridCol w:w="676"/>
        <w:gridCol w:w="728"/>
        <w:gridCol w:w="668"/>
        <w:gridCol w:w="682"/>
        <w:gridCol w:w="704"/>
        <w:gridCol w:w="759"/>
        <w:gridCol w:w="426"/>
        <w:gridCol w:w="431"/>
      </w:tblGrid>
      <w:tr w14:paraId="29EA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388" w:type="pct"/>
            <w:vMerge w:val="restart"/>
            <w:tcBorders>
              <w:top w:val="single" w:color="000000" w:sz="8" w:space="0"/>
              <w:left w:val="single" w:color="000000" w:sz="8" w:space="0"/>
              <w:right w:val="single" w:color="000000" w:sz="4" w:space="0"/>
            </w:tcBorders>
            <w:shd w:val="clear" w:color="auto" w:fill="auto"/>
            <w:noWrap/>
            <w:tcMar>
              <w:top w:w="0" w:type="dxa"/>
              <w:left w:w="6" w:type="dxa"/>
              <w:bottom w:w="0" w:type="dxa"/>
              <w:right w:w="6" w:type="dxa"/>
            </w:tcMar>
            <w:vAlign w:val="center"/>
          </w:tcPr>
          <w:p w14:paraId="7F0302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642" w:type="pct"/>
            <w:vMerge w:val="restart"/>
            <w:tcBorders>
              <w:top w:val="single" w:color="000000" w:sz="8" w:space="0"/>
              <w:left w:val="single" w:color="000000" w:sz="8"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35311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包含范围名称</w:t>
            </w:r>
          </w:p>
        </w:tc>
        <w:tc>
          <w:tcPr>
            <w:tcW w:w="3070" w:type="pct"/>
            <w:gridSpan w:val="8"/>
            <w:tcBorders>
              <w:top w:val="single" w:color="000000" w:sz="8"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82E81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面积（hm</w:t>
            </w:r>
            <w:r>
              <w:rPr>
                <w:rFonts w:hint="eastAsia" w:ascii="宋体" w:hAnsi="宋体" w:eastAsia="宋体" w:cs="宋体"/>
                <w:i w:val="0"/>
                <w:iCs w:val="0"/>
                <w:color w:val="000000"/>
                <w:kern w:val="0"/>
                <w:sz w:val="21"/>
                <w:szCs w:val="21"/>
                <w:u w:val="none"/>
                <w:vertAlign w:val="superscript"/>
                <w:lang w:val="en-US" w:eastAsia="zh-CN" w:bidi="ar"/>
              </w:rPr>
              <w:t>2</w:t>
            </w:r>
            <w:r>
              <w:rPr>
                <w:rFonts w:hint="eastAsia" w:ascii="宋体" w:hAnsi="宋体" w:eastAsia="宋体" w:cs="宋体"/>
                <w:i w:val="0"/>
                <w:iCs w:val="0"/>
                <w:color w:val="000000"/>
                <w:kern w:val="0"/>
                <w:sz w:val="21"/>
                <w:szCs w:val="21"/>
                <w:u w:val="none"/>
                <w:lang w:val="en-US" w:eastAsia="zh-CN" w:bidi="ar"/>
              </w:rPr>
              <w:t>）</w:t>
            </w:r>
          </w:p>
        </w:tc>
        <w:tc>
          <w:tcPr>
            <w:tcW w:w="421" w:type="pct"/>
            <w:vMerge w:val="restart"/>
            <w:tcBorders>
              <w:top w:val="single" w:color="000000" w:sz="8"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1B56F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总计</w:t>
            </w:r>
          </w:p>
        </w:tc>
        <w:tc>
          <w:tcPr>
            <w:tcW w:w="236" w:type="pct"/>
            <w:vMerge w:val="restart"/>
            <w:tcBorders>
              <w:top w:val="single" w:color="000000" w:sz="8"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1F3FE6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损毁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方式</w:t>
            </w:r>
          </w:p>
        </w:tc>
        <w:tc>
          <w:tcPr>
            <w:tcW w:w="239" w:type="pct"/>
            <w:vMerge w:val="restart"/>
            <w:tcBorders>
              <w:top w:val="single" w:color="000000" w:sz="8" w:space="0"/>
              <w:left w:val="single" w:color="000000" w:sz="4" w:space="0"/>
              <w:bottom w:val="single" w:color="000000" w:sz="4" w:space="0"/>
              <w:right w:val="single" w:color="000000" w:sz="8" w:space="0"/>
            </w:tcBorders>
            <w:shd w:val="clear" w:color="auto" w:fill="auto"/>
            <w:tcMar>
              <w:top w:w="0" w:type="dxa"/>
              <w:left w:w="6" w:type="dxa"/>
              <w:bottom w:w="0" w:type="dxa"/>
              <w:right w:w="6" w:type="dxa"/>
            </w:tcMar>
            <w:vAlign w:val="center"/>
          </w:tcPr>
          <w:p w14:paraId="21D714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损毁程度</w:t>
            </w:r>
          </w:p>
        </w:tc>
      </w:tr>
      <w:tr w14:paraId="00D5B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388" w:type="pct"/>
            <w:vMerge w:val="continue"/>
            <w:tcBorders>
              <w:left w:val="single" w:color="000000" w:sz="8" w:space="0"/>
              <w:right w:val="single" w:color="000000" w:sz="4" w:space="0"/>
            </w:tcBorders>
            <w:shd w:val="clear" w:color="auto" w:fill="auto"/>
            <w:noWrap/>
            <w:tcMar>
              <w:top w:w="0" w:type="dxa"/>
              <w:left w:w="6" w:type="dxa"/>
              <w:bottom w:w="0" w:type="dxa"/>
              <w:right w:w="6" w:type="dxa"/>
            </w:tcMar>
            <w:vAlign w:val="center"/>
          </w:tcPr>
          <w:p w14:paraId="376E6EA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642" w:type="pct"/>
            <w:vMerge w:val="continue"/>
            <w:tcBorders>
              <w:top w:val="single" w:color="000000" w:sz="8" w:space="0"/>
              <w:left w:val="single" w:color="000000" w:sz="8"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430DDA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13D16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0201</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859CF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34261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0305</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0B5539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0404</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11808F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05H1</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FDF387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0602</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5AC9BE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0702</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2D6051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1104</w:t>
            </w:r>
          </w:p>
        </w:tc>
        <w:tc>
          <w:tcPr>
            <w:tcW w:w="421" w:type="pct"/>
            <w:vMerge w:val="continue"/>
            <w:tcBorders>
              <w:top w:val="single" w:color="000000" w:sz="8"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B9C5CA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6" w:type="pct"/>
            <w:vMerge w:val="continue"/>
            <w:tcBorders>
              <w:top w:val="single" w:color="000000" w:sz="8"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0961107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9" w:type="pct"/>
            <w:vMerge w:val="continue"/>
            <w:tcBorders>
              <w:top w:val="single" w:color="000000" w:sz="8" w:space="0"/>
              <w:left w:val="single" w:color="000000" w:sz="4" w:space="0"/>
              <w:bottom w:val="single" w:color="000000" w:sz="4" w:space="0"/>
              <w:right w:val="single" w:color="000000" w:sz="8" w:space="0"/>
            </w:tcBorders>
            <w:shd w:val="clear" w:color="auto" w:fill="auto"/>
            <w:tcMar>
              <w:top w:w="0" w:type="dxa"/>
              <w:left w:w="6" w:type="dxa"/>
              <w:bottom w:w="0" w:type="dxa"/>
              <w:right w:w="6" w:type="dxa"/>
            </w:tcMar>
            <w:vAlign w:val="center"/>
          </w:tcPr>
          <w:p w14:paraId="182FAB3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r>
      <w:tr w14:paraId="0BF7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388" w:type="pct"/>
            <w:vMerge w:val="continue"/>
            <w:tcBorders>
              <w:left w:val="single" w:color="000000" w:sz="8"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B4AF76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642" w:type="pct"/>
            <w:vMerge w:val="continue"/>
            <w:tcBorders>
              <w:top w:val="single" w:color="000000" w:sz="8" w:space="0"/>
              <w:left w:val="single" w:color="000000" w:sz="8"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D6848E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1A97E1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果园</w:t>
            </w:r>
          </w:p>
        </w:tc>
        <w:tc>
          <w:tcPr>
            <w:tcW w:w="385"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0DCA91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乔木林地</w:t>
            </w: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30EF4F9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灌木林地</w:t>
            </w:r>
          </w:p>
        </w:tc>
        <w:tc>
          <w:tcPr>
            <w:tcW w:w="375"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7681C4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其他草地</w:t>
            </w:r>
          </w:p>
        </w:tc>
        <w:tc>
          <w:tcPr>
            <w:tcW w:w="404"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1DEF6E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商业服务业设施用地</w:t>
            </w:r>
          </w:p>
        </w:tc>
        <w:tc>
          <w:tcPr>
            <w:tcW w:w="370"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635495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用地</w:t>
            </w:r>
          </w:p>
        </w:tc>
        <w:tc>
          <w:tcPr>
            <w:tcW w:w="378"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555B67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宅基地</w:t>
            </w:r>
          </w:p>
        </w:tc>
        <w:tc>
          <w:tcPr>
            <w:tcW w:w="390" w:type="pct"/>
            <w:tcBorders>
              <w:top w:val="single" w:color="000000" w:sz="4"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7C8C1A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坑塘水面</w:t>
            </w:r>
          </w:p>
        </w:tc>
        <w:tc>
          <w:tcPr>
            <w:tcW w:w="421" w:type="pct"/>
            <w:vMerge w:val="continue"/>
            <w:tcBorders>
              <w:top w:val="single" w:color="000000" w:sz="8"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20444F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6" w:type="pct"/>
            <w:vMerge w:val="continue"/>
            <w:tcBorders>
              <w:top w:val="single" w:color="000000" w:sz="8" w:space="0"/>
              <w:left w:val="single" w:color="000000" w:sz="4" w:space="0"/>
              <w:bottom w:val="single" w:color="000000" w:sz="4" w:space="0"/>
              <w:right w:val="single" w:color="000000" w:sz="4" w:space="0"/>
            </w:tcBorders>
            <w:shd w:val="clear" w:color="auto" w:fill="auto"/>
            <w:tcMar>
              <w:top w:w="0" w:type="dxa"/>
              <w:left w:w="6" w:type="dxa"/>
              <w:bottom w:w="0" w:type="dxa"/>
              <w:right w:w="6" w:type="dxa"/>
            </w:tcMar>
            <w:vAlign w:val="center"/>
          </w:tcPr>
          <w:p w14:paraId="2A15DC2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9" w:type="pct"/>
            <w:vMerge w:val="continue"/>
            <w:tcBorders>
              <w:top w:val="single" w:color="000000" w:sz="8" w:space="0"/>
              <w:left w:val="single" w:color="000000" w:sz="4" w:space="0"/>
              <w:bottom w:val="single" w:color="000000" w:sz="4" w:space="0"/>
              <w:right w:val="single" w:color="000000" w:sz="8" w:space="0"/>
            </w:tcBorders>
            <w:shd w:val="clear" w:color="auto" w:fill="auto"/>
            <w:tcMar>
              <w:top w:w="0" w:type="dxa"/>
              <w:left w:w="6" w:type="dxa"/>
              <w:bottom w:w="0" w:type="dxa"/>
              <w:right w:w="6" w:type="dxa"/>
            </w:tcMar>
            <w:vAlign w:val="center"/>
          </w:tcPr>
          <w:p w14:paraId="2F8B738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r>
      <w:tr w14:paraId="389F6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305DD040">
            <w:pPr>
              <w:pStyle w:val="76"/>
              <w:spacing w:line="240" w:lineRule="auto"/>
              <w:ind w:firstLine="0" w:firstLineChars="0"/>
              <w:rPr>
                <w:rFonts w:hint="eastAsia" w:ascii="宋体" w:hAnsi="宋体" w:eastAsia="宋体" w:cs="宋体"/>
                <w:kern w:val="2"/>
                <w:sz w:val="21"/>
                <w:szCs w:val="21"/>
                <w:highlight w:val="none"/>
                <w:lang w:val="en-US" w:eastAsia="zh-CN" w:bidi="ar-SA"/>
              </w:rPr>
            </w:pPr>
            <w:r>
              <w:rPr>
                <w:rFonts w:hint="eastAsia" w:ascii="宋体" w:hAnsi="宋体" w:cs="宋体"/>
                <w:i w:val="0"/>
                <w:iCs w:val="0"/>
                <w:color w:val="000000"/>
                <w:sz w:val="21"/>
                <w:szCs w:val="21"/>
                <w:u w:val="none"/>
                <w:lang w:val="en-US" w:eastAsia="zh-CN"/>
              </w:rPr>
              <w:t>受损区块4</w:t>
            </w:r>
          </w:p>
        </w:tc>
        <w:tc>
          <w:tcPr>
            <w:tcW w:w="642"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0E2EE1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历史采坑一</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661AB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0.0919</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B4F41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1.4188</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01438E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0.0860</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86E5A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0.1368</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536CDD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FDEC7F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17D22F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2452B3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0.3044</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23D776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2.0378</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CAF2DC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挖损</w:t>
            </w:r>
          </w:p>
        </w:tc>
        <w:tc>
          <w:tcPr>
            <w:tcW w:w="239" w:type="pct"/>
            <w:tcBorders>
              <w:top w:val="single" w:color="000000" w:sz="4" w:space="0"/>
              <w:left w:val="single" w:color="000000" w:sz="4" w:space="0"/>
              <w:bottom w:val="single" w:color="000000" w:sz="4" w:space="0"/>
              <w:right w:val="single" w:color="000000" w:sz="8" w:space="0"/>
            </w:tcBorders>
            <w:shd w:val="clear" w:color="auto" w:fill="auto"/>
            <w:noWrap/>
            <w:tcMar>
              <w:top w:w="0" w:type="dxa"/>
              <w:left w:w="6" w:type="dxa"/>
              <w:bottom w:w="0" w:type="dxa"/>
              <w:right w:w="6" w:type="dxa"/>
            </w:tcMar>
            <w:vAlign w:val="center"/>
          </w:tcPr>
          <w:p w14:paraId="4EBDF9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重度</w:t>
            </w:r>
          </w:p>
        </w:tc>
      </w:tr>
      <w:tr w14:paraId="776B9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663A1F53">
            <w:pPr>
              <w:pStyle w:val="76"/>
              <w:spacing w:line="240" w:lineRule="auto"/>
              <w:ind w:firstLine="0" w:firstLineChars="0"/>
              <w:rPr>
                <w:rFonts w:hint="eastAsia" w:ascii="宋体" w:hAnsi="宋体" w:eastAsia="宋体" w:cs="宋体"/>
                <w:kern w:val="2"/>
                <w:sz w:val="21"/>
                <w:szCs w:val="21"/>
                <w:highlight w:val="none"/>
                <w:lang w:val="en-US" w:eastAsia="zh-CN" w:bidi="ar-SA"/>
              </w:rPr>
            </w:pPr>
            <w:r>
              <w:rPr>
                <w:rFonts w:hint="eastAsia" w:ascii="宋体" w:hAnsi="宋体" w:cs="宋体"/>
                <w:i w:val="0"/>
                <w:iCs w:val="0"/>
                <w:color w:val="000000"/>
                <w:sz w:val="21"/>
                <w:szCs w:val="21"/>
                <w:u w:val="none"/>
                <w:lang w:val="en-US" w:eastAsia="zh-CN"/>
              </w:rPr>
              <w:t>受损区块5</w:t>
            </w:r>
          </w:p>
        </w:tc>
        <w:tc>
          <w:tcPr>
            <w:tcW w:w="642"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30A3F9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排土场（历史采坑二）</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F63360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003F1A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0.0306</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06B33B8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A94F64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0.0257</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7BF1E0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3EDFE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1.1197</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8BFA40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107AD2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1.2876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583229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2.4635</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B7674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挖损</w:t>
            </w:r>
          </w:p>
        </w:tc>
        <w:tc>
          <w:tcPr>
            <w:tcW w:w="239" w:type="pct"/>
            <w:tcBorders>
              <w:top w:val="single" w:color="000000" w:sz="4" w:space="0"/>
              <w:left w:val="single" w:color="000000" w:sz="4" w:space="0"/>
              <w:bottom w:val="single" w:color="000000" w:sz="4" w:space="0"/>
              <w:right w:val="single" w:color="000000" w:sz="8" w:space="0"/>
            </w:tcBorders>
            <w:shd w:val="clear" w:color="auto" w:fill="auto"/>
            <w:noWrap/>
            <w:tcMar>
              <w:top w:w="0" w:type="dxa"/>
              <w:left w:w="6" w:type="dxa"/>
              <w:bottom w:w="0" w:type="dxa"/>
              <w:right w:w="6" w:type="dxa"/>
            </w:tcMar>
            <w:vAlign w:val="center"/>
          </w:tcPr>
          <w:p w14:paraId="736F8D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重度</w:t>
            </w:r>
          </w:p>
        </w:tc>
      </w:tr>
      <w:tr w14:paraId="2A0F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306786B3">
            <w:pPr>
              <w:pStyle w:val="76"/>
              <w:spacing w:line="240" w:lineRule="auto"/>
              <w:ind w:firstLine="0" w:firstLineChars="0"/>
              <w:rPr>
                <w:rFonts w:hint="eastAsia" w:ascii="宋体" w:hAnsi="宋体" w:eastAsia="宋体" w:cs="宋体"/>
                <w:kern w:val="2"/>
                <w:sz w:val="21"/>
                <w:szCs w:val="21"/>
                <w:highlight w:val="none"/>
                <w:lang w:val="en-US" w:eastAsia="zh-CN" w:bidi="ar-SA"/>
              </w:rPr>
            </w:pPr>
            <w:r>
              <w:rPr>
                <w:rFonts w:hint="eastAsia" w:ascii="宋体" w:hAnsi="宋体" w:cs="宋体"/>
                <w:i w:val="0"/>
                <w:iCs w:val="0"/>
                <w:color w:val="000000"/>
                <w:sz w:val="21"/>
                <w:szCs w:val="21"/>
                <w:u w:val="none"/>
                <w:lang w:val="en-US" w:eastAsia="zh-CN"/>
              </w:rPr>
              <w:t>受损区块6</w:t>
            </w:r>
          </w:p>
        </w:tc>
        <w:tc>
          <w:tcPr>
            <w:tcW w:w="642"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2E54FD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原破碎站及废石堆场</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B653EA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887C4E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05D598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1A15EE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1D25548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1E875B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F0D548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1CDB96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262D34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010B2F4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39" w:type="pct"/>
            <w:tcBorders>
              <w:top w:val="single" w:color="000000" w:sz="4" w:space="0"/>
              <w:left w:val="single" w:color="000000" w:sz="4" w:space="0"/>
              <w:bottom w:val="single" w:color="000000" w:sz="4" w:space="0"/>
              <w:right w:val="single" w:color="000000" w:sz="8" w:space="0"/>
            </w:tcBorders>
            <w:shd w:val="clear" w:color="auto" w:fill="auto"/>
            <w:noWrap/>
            <w:tcMar>
              <w:top w:w="0" w:type="dxa"/>
              <w:left w:w="6" w:type="dxa"/>
              <w:bottom w:w="0" w:type="dxa"/>
              <w:right w:w="6" w:type="dxa"/>
            </w:tcMar>
            <w:vAlign w:val="center"/>
          </w:tcPr>
          <w:p w14:paraId="465A17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r>
      <w:tr w14:paraId="19B5B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0AD52F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cs="宋体"/>
                <w:i w:val="0"/>
                <w:iCs w:val="0"/>
                <w:color w:val="000000"/>
                <w:sz w:val="21"/>
                <w:szCs w:val="21"/>
                <w:u w:val="none"/>
                <w:lang w:val="en-US" w:eastAsia="zh-CN"/>
              </w:rPr>
              <w:t>受损区块7</w:t>
            </w:r>
          </w:p>
        </w:tc>
        <w:tc>
          <w:tcPr>
            <w:tcW w:w="642" w:type="pct"/>
            <w:tcBorders>
              <w:top w:val="single" w:color="000000" w:sz="4" w:space="0"/>
              <w:left w:val="single" w:color="000000" w:sz="8" w:space="0"/>
              <w:bottom w:val="single" w:color="000000" w:sz="4" w:space="0"/>
              <w:right w:val="single" w:color="000000" w:sz="4" w:space="0"/>
            </w:tcBorders>
            <w:shd w:val="clear" w:color="auto" w:fill="auto"/>
            <w:tcMar>
              <w:top w:w="0" w:type="dxa"/>
              <w:left w:w="6" w:type="dxa"/>
              <w:bottom w:w="0" w:type="dxa"/>
              <w:right w:w="6" w:type="dxa"/>
            </w:tcMar>
            <w:vAlign w:val="center"/>
          </w:tcPr>
          <w:p w14:paraId="2974B9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办公生活区</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AC7135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463389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0.0759</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0B53BC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79E2C6D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BC34C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0.0390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9BAB87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2CF15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0.2313</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1BDABF6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7086A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0.3463</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1AEF6E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39" w:type="pct"/>
            <w:tcBorders>
              <w:top w:val="single" w:color="000000" w:sz="4" w:space="0"/>
              <w:left w:val="single" w:color="000000" w:sz="4" w:space="0"/>
              <w:bottom w:val="single" w:color="000000" w:sz="4" w:space="0"/>
              <w:right w:val="single" w:color="000000" w:sz="8" w:space="0"/>
            </w:tcBorders>
            <w:shd w:val="clear" w:color="auto" w:fill="auto"/>
            <w:noWrap/>
            <w:tcMar>
              <w:top w:w="0" w:type="dxa"/>
              <w:left w:w="6" w:type="dxa"/>
              <w:bottom w:w="0" w:type="dxa"/>
              <w:right w:w="6" w:type="dxa"/>
            </w:tcMar>
            <w:vAlign w:val="center"/>
          </w:tcPr>
          <w:p w14:paraId="2E0819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r>
      <w:tr w14:paraId="03A99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 w:type="pct"/>
            <w:tcBorders>
              <w:top w:val="single" w:color="000000" w:sz="4" w:space="0"/>
              <w:left w:val="single" w:color="000000" w:sz="8" w:space="0"/>
              <w:bottom w:val="nil"/>
              <w:right w:val="single" w:color="000000" w:sz="4" w:space="0"/>
            </w:tcBorders>
            <w:shd w:val="clear" w:color="auto" w:fill="auto"/>
            <w:noWrap/>
            <w:tcMar>
              <w:top w:w="0" w:type="dxa"/>
              <w:left w:w="6" w:type="dxa"/>
              <w:bottom w:w="0" w:type="dxa"/>
              <w:right w:w="6" w:type="dxa"/>
            </w:tcMar>
            <w:vAlign w:val="center"/>
          </w:tcPr>
          <w:p w14:paraId="09ECA9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cs="宋体"/>
                <w:i w:val="0"/>
                <w:iCs w:val="0"/>
                <w:color w:val="000000"/>
                <w:sz w:val="21"/>
                <w:szCs w:val="21"/>
                <w:u w:val="none"/>
                <w:lang w:val="en-US" w:eastAsia="zh-CN"/>
              </w:rPr>
              <w:t>受损区块8</w:t>
            </w:r>
          </w:p>
        </w:tc>
        <w:tc>
          <w:tcPr>
            <w:tcW w:w="642" w:type="pct"/>
            <w:tcBorders>
              <w:top w:val="single" w:color="000000" w:sz="4" w:space="0"/>
              <w:left w:val="single" w:color="000000" w:sz="8" w:space="0"/>
              <w:bottom w:val="nil"/>
              <w:right w:val="single" w:color="000000" w:sz="4" w:space="0"/>
            </w:tcBorders>
            <w:shd w:val="clear" w:color="auto" w:fill="auto"/>
            <w:noWrap/>
            <w:tcMar>
              <w:top w:w="0" w:type="dxa"/>
              <w:left w:w="6" w:type="dxa"/>
              <w:bottom w:w="0" w:type="dxa"/>
              <w:right w:w="6" w:type="dxa"/>
            </w:tcMar>
            <w:vAlign w:val="center"/>
          </w:tcPr>
          <w:p w14:paraId="382805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原综合服务区</w:t>
            </w:r>
          </w:p>
        </w:tc>
        <w:tc>
          <w:tcPr>
            <w:tcW w:w="382" w:type="pct"/>
            <w:tcBorders>
              <w:top w:val="single" w:color="000000" w:sz="4" w:space="0"/>
              <w:left w:val="single" w:color="000000" w:sz="4" w:space="0"/>
              <w:bottom w:val="nil"/>
              <w:right w:val="single" w:color="000000" w:sz="4" w:space="0"/>
            </w:tcBorders>
            <w:shd w:val="clear" w:color="auto" w:fill="auto"/>
            <w:noWrap/>
            <w:tcMar>
              <w:top w:w="0" w:type="dxa"/>
              <w:left w:w="6" w:type="dxa"/>
              <w:bottom w:w="0" w:type="dxa"/>
              <w:right w:w="6" w:type="dxa"/>
            </w:tcMar>
            <w:vAlign w:val="center"/>
          </w:tcPr>
          <w:p w14:paraId="3AF9885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4CAAD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0.2351</w:t>
            </w:r>
          </w:p>
        </w:tc>
        <w:tc>
          <w:tcPr>
            <w:tcW w:w="383" w:type="pct"/>
            <w:tcBorders>
              <w:top w:val="single" w:color="000000" w:sz="4" w:space="0"/>
              <w:left w:val="single" w:color="000000" w:sz="4" w:space="0"/>
              <w:bottom w:val="nil"/>
              <w:right w:val="single" w:color="000000" w:sz="4" w:space="0"/>
            </w:tcBorders>
            <w:shd w:val="clear" w:color="auto" w:fill="auto"/>
            <w:noWrap/>
            <w:tcMar>
              <w:top w:w="0" w:type="dxa"/>
              <w:left w:w="6" w:type="dxa"/>
              <w:bottom w:w="0" w:type="dxa"/>
              <w:right w:w="6" w:type="dxa"/>
            </w:tcMar>
            <w:vAlign w:val="center"/>
          </w:tcPr>
          <w:p w14:paraId="452807D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nil"/>
              <w:right w:val="single" w:color="000000" w:sz="4" w:space="0"/>
            </w:tcBorders>
            <w:shd w:val="clear" w:color="auto" w:fill="auto"/>
            <w:noWrap/>
            <w:tcMar>
              <w:top w:w="0" w:type="dxa"/>
              <w:left w:w="6" w:type="dxa"/>
              <w:bottom w:w="0" w:type="dxa"/>
              <w:right w:w="6" w:type="dxa"/>
            </w:tcMar>
            <w:vAlign w:val="center"/>
          </w:tcPr>
          <w:p w14:paraId="03E679C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04" w:type="pct"/>
            <w:tcBorders>
              <w:top w:val="single" w:color="000000" w:sz="4" w:space="0"/>
              <w:left w:val="single" w:color="000000" w:sz="4" w:space="0"/>
              <w:bottom w:val="nil"/>
              <w:right w:val="single" w:color="000000" w:sz="4" w:space="0"/>
            </w:tcBorders>
            <w:shd w:val="clear" w:color="auto" w:fill="auto"/>
            <w:noWrap/>
            <w:tcMar>
              <w:top w:w="0" w:type="dxa"/>
              <w:left w:w="6" w:type="dxa"/>
              <w:bottom w:w="0" w:type="dxa"/>
              <w:right w:w="6" w:type="dxa"/>
            </w:tcMar>
            <w:vAlign w:val="center"/>
          </w:tcPr>
          <w:p w14:paraId="1AE2DAD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0" w:type="pct"/>
            <w:tcBorders>
              <w:top w:val="single" w:color="000000" w:sz="4" w:space="0"/>
              <w:left w:val="single" w:color="000000" w:sz="4" w:space="0"/>
              <w:bottom w:val="nil"/>
              <w:right w:val="single" w:color="000000" w:sz="4" w:space="0"/>
            </w:tcBorders>
            <w:shd w:val="clear" w:color="auto" w:fill="auto"/>
            <w:noWrap/>
            <w:tcMar>
              <w:top w:w="0" w:type="dxa"/>
              <w:left w:w="6" w:type="dxa"/>
              <w:bottom w:w="0" w:type="dxa"/>
              <w:right w:w="6" w:type="dxa"/>
            </w:tcMar>
            <w:vAlign w:val="center"/>
          </w:tcPr>
          <w:p w14:paraId="228B1FB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6E8481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0.1360</w:t>
            </w:r>
          </w:p>
        </w:tc>
        <w:tc>
          <w:tcPr>
            <w:tcW w:w="390" w:type="pct"/>
            <w:tcBorders>
              <w:top w:val="single" w:color="000000" w:sz="4" w:space="0"/>
              <w:left w:val="single" w:color="000000" w:sz="4" w:space="0"/>
              <w:bottom w:val="nil"/>
              <w:right w:val="single" w:color="000000" w:sz="4" w:space="0"/>
            </w:tcBorders>
            <w:shd w:val="clear" w:color="auto" w:fill="auto"/>
            <w:noWrap/>
            <w:tcMar>
              <w:top w:w="0" w:type="dxa"/>
              <w:left w:w="6" w:type="dxa"/>
              <w:bottom w:w="0" w:type="dxa"/>
              <w:right w:w="6" w:type="dxa"/>
            </w:tcMar>
            <w:vAlign w:val="center"/>
          </w:tcPr>
          <w:p w14:paraId="1B778FF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4136EA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0.3711</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6" w:type="dxa"/>
              <w:bottom w:w="0" w:type="dxa"/>
              <w:right w:w="6" w:type="dxa"/>
            </w:tcMar>
            <w:vAlign w:val="center"/>
          </w:tcPr>
          <w:p w14:paraId="36C173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39" w:type="pct"/>
            <w:tcBorders>
              <w:top w:val="single" w:color="000000" w:sz="4" w:space="0"/>
              <w:left w:val="single" w:color="000000" w:sz="4" w:space="0"/>
              <w:bottom w:val="single" w:color="000000" w:sz="4" w:space="0"/>
              <w:right w:val="single" w:color="000000" w:sz="8" w:space="0"/>
            </w:tcBorders>
            <w:shd w:val="clear" w:color="auto" w:fill="auto"/>
            <w:noWrap/>
            <w:tcMar>
              <w:top w:w="0" w:type="dxa"/>
              <w:left w:w="6" w:type="dxa"/>
              <w:bottom w:w="0" w:type="dxa"/>
              <w:right w:w="6" w:type="dxa"/>
            </w:tcMar>
            <w:vAlign w:val="center"/>
          </w:tcPr>
          <w:p w14:paraId="59F86A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r>
      <w:tr w14:paraId="2F3D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88" w:type="pct"/>
            <w:tcBorders>
              <w:top w:val="single" w:color="000000" w:sz="4" w:space="0"/>
              <w:left w:val="single" w:color="000000" w:sz="8"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3A0C92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2" w:type="pct"/>
            <w:tcBorders>
              <w:top w:val="single" w:color="000000" w:sz="4" w:space="0"/>
              <w:left w:val="single" w:color="000000" w:sz="8"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434445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总计</w:t>
            </w:r>
          </w:p>
        </w:tc>
        <w:tc>
          <w:tcPr>
            <w:tcW w:w="382"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481BF5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0.0919</w:t>
            </w:r>
          </w:p>
        </w:tc>
        <w:tc>
          <w:tcPr>
            <w:tcW w:w="385"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2EFA20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1.7604</w:t>
            </w:r>
          </w:p>
        </w:tc>
        <w:tc>
          <w:tcPr>
            <w:tcW w:w="383"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0FD66D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0.0860</w:t>
            </w:r>
          </w:p>
        </w:tc>
        <w:tc>
          <w:tcPr>
            <w:tcW w:w="375"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7732FF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0.1624</w:t>
            </w:r>
          </w:p>
        </w:tc>
        <w:tc>
          <w:tcPr>
            <w:tcW w:w="404"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5526A0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0.0390</w:t>
            </w:r>
          </w:p>
        </w:tc>
        <w:tc>
          <w:tcPr>
            <w:tcW w:w="370"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3690E6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3.4076</w:t>
            </w:r>
          </w:p>
        </w:tc>
        <w:tc>
          <w:tcPr>
            <w:tcW w:w="378"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28CEB9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0.3673</w:t>
            </w:r>
          </w:p>
        </w:tc>
        <w:tc>
          <w:tcPr>
            <w:tcW w:w="390"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00F5F98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1.5920</w:t>
            </w:r>
          </w:p>
        </w:tc>
        <w:tc>
          <w:tcPr>
            <w:tcW w:w="421"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3B6A40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7.5067</w:t>
            </w:r>
          </w:p>
        </w:tc>
        <w:tc>
          <w:tcPr>
            <w:tcW w:w="236" w:type="pct"/>
            <w:tcBorders>
              <w:top w:val="single" w:color="000000" w:sz="4" w:space="0"/>
              <w:left w:val="single" w:color="000000" w:sz="4" w:space="0"/>
              <w:bottom w:val="single" w:color="000000" w:sz="8" w:space="0"/>
              <w:right w:val="single" w:color="000000" w:sz="4" w:space="0"/>
            </w:tcBorders>
            <w:shd w:val="clear" w:color="auto" w:fill="auto"/>
            <w:noWrap/>
            <w:tcMar>
              <w:top w:w="0" w:type="dxa"/>
              <w:left w:w="6" w:type="dxa"/>
              <w:bottom w:w="0" w:type="dxa"/>
              <w:right w:w="6" w:type="dxa"/>
            </w:tcMar>
            <w:vAlign w:val="center"/>
          </w:tcPr>
          <w:p w14:paraId="7ED00AD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9" w:type="pct"/>
            <w:tcBorders>
              <w:top w:val="single" w:color="000000" w:sz="4" w:space="0"/>
              <w:left w:val="single" w:color="000000" w:sz="4" w:space="0"/>
              <w:bottom w:val="single" w:color="000000" w:sz="8" w:space="0"/>
              <w:right w:val="single" w:color="000000" w:sz="8" w:space="0"/>
            </w:tcBorders>
            <w:shd w:val="clear" w:color="auto" w:fill="auto"/>
            <w:noWrap/>
            <w:tcMar>
              <w:top w:w="0" w:type="dxa"/>
              <w:left w:w="6" w:type="dxa"/>
              <w:bottom w:w="0" w:type="dxa"/>
              <w:right w:w="6" w:type="dxa"/>
            </w:tcMar>
            <w:vAlign w:val="center"/>
          </w:tcPr>
          <w:p w14:paraId="5865BD9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r>
    </w:tbl>
    <w:p w14:paraId="79D0B9B6">
      <w:pPr>
        <w:spacing w:line="360" w:lineRule="auto"/>
        <w:ind w:firstLine="482"/>
        <w:rPr>
          <w:b/>
          <w:bCs/>
          <w:sz w:val="28"/>
          <w:szCs w:val="28"/>
          <w:highlight w:val="none"/>
        </w:rPr>
      </w:pPr>
      <w:r>
        <w:rPr>
          <w:rFonts w:hint="eastAsia"/>
          <w:b/>
          <w:bCs/>
          <w:sz w:val="28"/>
          <w:szCs w:val="28"/>
          <w:highlight w:val="none"/>
        </w:rPr>
        <w:t>（3）现状土地损毁程度分析</w:t>
      </w:r>
    </w:p>
    <w:p w14:paraId="58E267BE">
      <w:pPr>
        <w:spacing w:line="360" w:lineRule="auto"/>
        <w:rPr>
          <w:rFonts w:hint="default" w:eastAsia="宋体"/>
          <w:sz w:val="28"/>
          <w:szCs w:val="28"/>
          <w:highlight w:val="none"/>
          <w:lang w:val="en-US" w:eastAsia="zh-CN"/>
        </w:rPr>
      </w:pPr>
      <w:r>
        <w:rPr>
          <w:sz w:val="28"/>
          <w:szCs w:val="28"/>
          <w:highlight w:val="none"/>
        </w:rPr>
        <w:t>根据现状调查，</w:t>
      </w:r>
      <w:r>
        <w:rPr>
          <w:rFonts w:hint="eastAsia"/>
          <w:sz w:val="28"/>
          <w:szCs w:val="28"/>
          <w:highlight w:val="none"/>
          <w:lang w:val="en-US" w:eastAsia="zh-CN"/>
        </w:rPr>
        <w:t>按照</w:t>
      </w:r>
      <w:r>
        <w:rPr>
          <w:rFonts w:hint="eastAsia"/>
          <w:sz w:val="28"/>
          <w:szCs w:val="28"/>
          <w:highlight w:val="none"/>
        </w:rPr>
        <w:t>土地挖损损毁程度等级标准</w:t>
      </w:r>
      <w:r>
        <w:rPr>
          <w:rFonts w:hint="eastAsia"/>
          <w:sz w:val="28"/>
          <w:szCs w:val="28"/>
          <w:highlight w:val="none"/>
          <w:lang w:val="en-US" w:eastAsia="zh-CN"/>
        </w:rPr>
        <w:t>表（表3-2）和</w:t>
      </w:r>
      <w:r>
        <w:rPr>
          <w:rFonts w:hint="eastAsia"/>
          <w:sz w:val="28"/>
          <w:szCs w:val="28"/>
          <w:highlight w:val="none"/>
        </w:rPr>
        <w:t>土地压占地损毁程度等级标准</w:t>
      </w:r>
      <w:r>
        <w:rPr>
          <w:rFonts w:hint="eastAsia"/>
          <w:sz w:val="28"/>
          <w:szCs w:val="28"/>
          <w:highlight w:val="none"/>
          <w:lang w:val="en-US" w:eastAsia="zh-CN"/>
        </w:rPr>
        <w:t>表（表3-3）进行评价。</w:t>
      </w:r>
    </w:p>
    <w:p w14:paraId="2411F02B">
      <w:pPr>
        <w:spacing w:line="360" w:lineRule="auto"/>
        <w:rPr>
          <w:rFonts w:hint="eastAsia" w:eastAsia="宋体"/>
          <w:sz w:val="28"/>
          <w:szCs w:val="28"/>
          <w:highlight w:val="none"/>
          <w:lang w:eastAsia="zh-CN"/>
        </w:rPr>
      </w:pPr>
      <w:r>
        <w:rPr>
          <w:rFonts w:hint="eastAsia"/>
          <w:sz w:val="28"/>
          <w:szCs w:val="32"/>
          <w:highlight w:val="none"/>
          <w:lang w:val="en-US" w:eastAsia="zh-CN"/>
        </w:rPr>
        <w:t>历史采坑一长约205m，宽约160m，</w:t>
      </w:r>
      <w:r>
        <w:rPr>
          <w:rFonts w:hint="eastAsia"/>
          <w:sz w:val="28"/>
          <w:szCs w:val="28"/>
          <w:highlight w:val="none"/>
        </w:rPr>
        <w:t>面积约为2</w:t>
      </w:r>
      <w:r>
        <w:rPr>
          <w:rFonts w:hint="eastAsia"/>
          <w:sz w:val="28"/>
          <w:szCs w:val="28"/>
          <w:highlight w:val="none"/>
          <w:lang w:val="en-US" w:eastAsia="zh-CN"/>
        </w:rPr>
        <w:t>.</w:t>
      </w:r>
      <w:r>
        <w:rPr>
          <w:rFonts w:hint="eastAsia"/>
          <w:sz w:val="28"/>
          <w:szCs w:val="28"/>
          <w:highlight w:val="none"/>
        </w:rPr>
        <w:t>0</w:t>
      </w:r>
      <w:r>
        <w:rPr>
          <w:rFonts w:hint="eastAsia"/>
          <w:sz w:val="28"/>
          <w:szCs w:val="28"/>
          <w:highlight w:val="none"/>
          <w:lang w:val="en-US" w:eastAsia="zh-CN"/>
        </w:rPr>
        <w:t>378h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w:t>
      </w:r>
      <w:r>
        <w:rPr>
          <w:rFonts w:hint="eastAsia"/>
          <w:sz w:val="28"/>
          <w:szCs w:val="28"/>
          <w:highlight w:val="none"/>
          <w:lang w:val="en-US" w:eastAsia="zh-CN"/>
        </w:rPr>
        <w:t>采坑</w:t>
      </w:r>
      <w:r>
        <w:rPr>
          <w:rFonts w:hint="eastAsia"/>
          <w:sz w:val="28"/>
          <w:szCs w:val="32"/>
          <w:highlight w:val="none"/>
        </w:rPr>
        <w:t>形成3级台阶，台阶高差7～20m，台阶坡面角49～53°</w:t>
      </w:r>
      <w:r>
        <w:rPr>
          <w:rFonts w:hint="eastAsia"/>
          <w:sz w:val="28"/>
          <w:szCs w:val="32"/>
          <w:highlight w:val="none"/>
          <w:lang w:eastAsia="zh-CN"/>
        </w:rPr>
        <w:t>，</w:t>
      </w:r>
      <w:r>
        <w:rPr>
          <w:rFonts w:hint="eastAsia"/>
          <w:sz w:val="28"/>
          <w:szCs w:val="32"/>
          <w:highlight w:val="none"/>
          <w:lang w:val="en-US" w:eastAsia="zh-CN"/>
        </w:rPr>
        <w:t>开挖深度约36m，</w:t>
      </w:r>
      <w:r>
        <w:rPr>
          <w:rFonts w:hint="eastAsia"/>
          <w:sz w:val="28"/>
          <w:szCs w:val="28"/>
        </w:rPr>
        <w:t>对土地挖损程度</w:t>
      </w:r>
      <w:r>
        <w:rPr>
          <w:rFonts w:hint="eastAsia"/>
          <w:sz w:val="28"/>
          <w:szCs w:val="28"/>
          <w:lang w:val="en-US" w:eastAsia="zh-CN"/>
        </w:rPr>
        <w:t>属</w:t>
      </w:r>
      <w:r>
        <w:rPr>
          <w:rFonts w:hint="eastAsia"/>
          <w:sz w:val="28"/>
          <w:szCs w:val="28"/>
        </w:rPr>
        <w:t>重度损毁</w:t>
      </w:r>
      <w:r>
        <w:rPr>
          <w:rFonts w:hint="eastAsia"/>
          <w:sz w:val="28"/>
          <w:szCs w:val="28"/>
          <w:lang w:eastAsia="zh-CN"/>
        </w:rPr>
        <w:t>（</w:t>
      </w:r>
      <w:r>
        <w:rPr>
          <w:rFonts w:hint="eastAsia"/>
          <w:sz w:val="28"/>
          <w:szCs w:val="28"/>
          <w:lang w:val="en-US" w:eastAsia="zh-CN"/>
        </w:rPr>
        <w:t>照片1</w:t>
      </w:r>
      <w:r>
        <w:rPr>
          <w:rFonts w:hint="eastAsia"/>
          <w:sz w:val="28"/>
          <w:szCs w:val="28"/>
          <w:lang w:eastAsia="zh-CN"/>
        </w:rPr>
        <w:t>）。</w:t>
      </w:r>
    </w:p>
    <w:p w14:paraId="47011526">
      <w:pPr>
        <w:spacing w:line="360" w:lineRule="auto"/>
        <w:rPr>
          <w:rFonts w:hint="eastAsia"/>
          <w:sz w:val="28"/>
          <w:szCs w:val="28"/>
          <w:highlight w:val="none"/>
        </w:rPr>
      </w:pPr>
      <w:r>
        <w:rPr>
          <w:rFonts w:hint="eastAsia"/>
          <w:sz w:val="28"/>
          <w:szCs w:val="32"/>
          <w:highlight w:val="none"/>
          <w:lang w:val="en-US" w:eastAsia="zh-CN"/>
        </w:rPr>
        <w:t>排土场（历史采坑二）长约240m，宽约130m</w:t>
      </w:r>
      <w:r>
        <w:rPr>
          <w:rFonts w:hint="eastAsia"/>
          <w:sz w:val="28"/>
          <w:szCs w:val="28"/>
          <w:highlight w:val="none"/>
          <w:lang w:eastAsia="zh-CN"/>
        </w:rPr>
        <w:t>，</w:t>
      </w:r>
      <w:r>
        <w:rPr>
          <w:rFonts w:hint="eastAsia"/>
          <w:sz w:val="28"/>
          <w:szCs w:val="28"/>
          <w:highlight w:val="none"/>
        </w:rPr>
        <w:t>面积约为</w:t>
      </w:r>
      <w:r>
        <w:rPr>
          <w:rFonts w:hint="eastAsia"/>
          <w:sz w:val="28"/>
          <w:szCs w:val="28"/>
          <w:highlight w:val="none"/>
          <w:lang w:val="en-US" w:eastAsia="zh-CN"/>
        </w:rPr>
        <w:t>2.4635h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，最低处标高</w:t>
      </w:r>
      <w:r>
        <w:rPr>
          <w:sz w:val="28"/>
          <w:szCs w:val="28"/>
          <w:highlight w:val="none"/>
        </w:rPr>
        <w:t>35.65</w:t>
      </w:r>
      <w:r>
        <w:rPr>
          <w:rFonts w:hint="eastAsia"/>
          <w:sz w:val="28"/>
          <w:szCs w:val="28"/>
          <w:highlight w:val="none"/>
        </w:rPr>
        <w:t>m，坑内有积水</w:t>
      </w:r>
      <w:r>
        <w:rPr>
          <w:rFonts w:hint="eastAsia"/>
          <w:sz w:val="28"/>
          <w:szCs w:val="28"/>
          <w:highlight w:val="none"/>
          <w:lang w:eastAsia="zh-CN"/>
        </w:rPr>
        <w:t>，</w:t>
      </w:r>
      <w:r>
        <w:rPr>
          <w:rFonts w:hint="eastAsia"/>
          <w:sz w:val="28"/>
          <w:szCs w:val="28"/>
          <w:highlight w:val="none"/>
          <w:lang w:val="en-US" w:eastAsia="zh-CN"/>
        </w:rPr>
        <w:t>最大水深约15.7m，平均</w:t>
      </w:r>
      <w:r>
        <w:rPr>
          <w:rFonts w:hint="eastAsia"/>
          <w:sz w:val="28"/>
          <w:szCs w:val="28"/>
          <w:highlight w:val="none"/>
        </w:rPr>
        <w:t>约</w:t>
      </w:r>
      <w:r>
        <w:rPr>
          <w:rFonts w:hint="eastAsia"/>
          <w:sz w:val="28"/>
          <w:szCs w:val="28"/>
          <w:highlight w:val="none"/>
          <w:lang w:val="en-US" w:eastAsia="zh-CN"/>
        </w:rPr>
        <w:t>8</w:t>
      </w:r>
      <w:r>
        <w:rPr>
          <w:rFonts w:hint="eastAsia"/>
          <w:sz w:val="28"/>
          <w:szCs w:val="28"/>
          <w:highlight w:val="none"/>
        </w:rPr>
        <w:t>m深，水面标高约</w:t>
      </w:r>
      <w:r>
        <w:rPr>
          <w:rFonts w:hint="eastAsia"/>
          <w:sz w:val="28"/>
          <w:szCs w:val="28"/>
          <w:highlight w:val="none"/>
          <w:lang w:val="en-US" w:eastAsia="zh-CN"/>
        </w:rPr>
        <w:t>51.33</w:t>
      </w:r>
      <w:r>
        <w:rPr>
          <w:rFonts w:hint="eastAsia"/>
          <w:sz w:val="28"/>
          <w:szCs w:val="28"/>
          <w:highlight w:val="none"/>
        </w:rPr>
        <w:t>m。</w:t>
      </w:r>
      <w:r>
        <w:rPr>
          <w:rFonts w:hint="eastAsia"/>
          <w:sz w:val="28"/>
          <w:szCs w:val="28"/>
          <w:highlight w:val="none"/>
          <w:lang w:val="en-US" w:eastAsia="zh-CN"/>
        </w:rPr>
        <w:t>开挖深度12-15m</w:t>
      </w:r>
      <w:r>
        <w:rPr>
          <w:rFonts w:hint="eastAsia"/>
          <w:sz w:val="28"/>
          <w:szCs w:val="28"/>
          <w:highlight w:val="none"/>
        </w:rPr>
        <w:t>。</w:t>
      </w:r>
      <w:r>
        <w:rPr>
          <w:rFonts w:hint="eastAsia"/>
          <w:sz w:val="28"/>
          <w:szCs w:val="28"/>
        </w:rPr>
        <w:t>对土地挖损程度</w:t>
      </w:r>
      <w:r>
        <w:rPr>
          <w:rFonts w:hint="eastAsia"/>
          <w:sz w:val="28"/>
          <w:szCs w:val="28"/>
          <w:lang w:val="en-US" w:eastAsia="zh-CN"/>
        </w:rPr>
        <w:t>属</w:t>
      </w:r>
      <w:r>
        <w:rPr>
          <w:rFonts w:hint="eastAsia"/>
          <w:sz w:val="28"/>
          <w:szCs w:val="28"/>
        </w:rPr>
        <w:t>重度损毁</w:t>
      </w:r>
      <w:r>
        <w:rPr>
          <w:rFonts w:hint="eastAsia"/>
          <w:sz w:val="28"/>
          <w:szCs w:val="28"/>
          <w:lang w:eastAsia="zh-CN"/>
        </w:rPr>
        <w:t>（</w:t>
      </w:r>
      <w:r>
        <w:rPr>
          <w:rFonts w:hint="eastAsia"/>
          <w:sz w:val="28"/>
          <w:szCs w:val="28"/>
          <w:lang w:val="en-US" w:eastAsia="zh-CN"/>
        </w:rPr>
        <w:t>照片2</w:t>
      </w:r>
      <w:r>
        <w:rPr>
          <w:rFonts w:hint="eastAsia"/>
          <w:sz w:val="28"/>
          <w:szCs w:val="28"/>
          <w:lang w:eastAsia="zh-CN"/>
        </w:rPr>
        <w:t>）。</w:t>
      </w:r>
    </w:p>
    <w:p w14:paraId="7B94BF9A">
      <w:pPr>
        <w:spacing w:line="360" w:lineRule="auto"/>
        <w:rPr>
          <w:rFonts w:hint="eastAsia" w:eastAsia="宋体"/>
          <w:sz w:val="28"/>
          <w:szCs w:val="28"/>
          <w:highlight w:val="none"/>
          <w:lang w:eastAsia="zh-CN"/>
        </w:rPr>
      </w:pPr>
      <w:r>
        <w:rPr>
          <w:rFonts w:hint="eastAsia"/>
          <w:sz w:val="28"/>
          <w:szCs w:val="28"/>
          <w:highlight w:val="none"/>
          <w:lang w:val="en-US" w:eastAsia="zh-CN"/>
        </w:rPr>
        <w:t>破碎站及废石堆放区，占地面积约2.2880h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w:t>
      </w:r>
      <w:r>
        <w:rPr>
          <w:rFonts w:hint="eastAsia"/>
          <w:sz w:val="28"/>
          <w:szCs w:val="28"/>
        </w:rPr>
        <w:t>堆填最大高度</w:t>
      </w:r>
      <w:r>
        <w:rPr>
          <w:rFonts w:hint="eastAsia"/>
          <w:sz w:val="28"/>
          <w:szCs w:val="28"/>
          <w:lang w:val="en-US" w:eastAsia="zh-CN"/>
        </w:rPr>
        <w:t>约8.0</w:t>
      </w:r>
      <w:r>
        <w:rPr>
          <w:rFonts w:hint="eastAsia"/>
          <w:sz w:val="28"/>
          <w:szCs w:val="28"/>
        </w:rPr>
        <w:t>m，对土地压占损毁程度</w:t>
      </w:r>
      <w:r>
        <w:rPr>
          <w:rFonts w:hint="eastAsia"/>
          <w:sz w:val="28"/>
          <w:szCs w:val="28"/>
          <w:lang w:val="en-US" w:eastAsia="zh-CN"/>
        </w:rPr>
        <w:t>属中度</w:t>
      </w:r>
      <w:r>
        <w:rPr>
          <w:rFonts w:hint="eastAsia"/>
          <w:sz w:val="28"/>
          <w:szCs w:val="28"/>
        </w:rPr>
        <w:t>损毁</w:t>
      </w:r>
      <w:r>
        <w:rPr>
          <w:rFonts w:hint="eastAsia"/>
          <w:sz w:val="28"/>
          <w:szCs w:val="28"/>
          <w:lang w:eastAsia="zh-CN"/>
        </w:rPr>
        <w:t>（</w:t>
      </w:r>
      <w:r>
        <w:rPr>
          <w:rFonts w:hint="eastAsia"/>
          <w:sz w:val="28"/>
          <w:szCs w:val="28"/>
          <w:lang w:val="en-US" w:eastAsia="zh-CN"/>
        </w:rPr>
        <w:t>照片3</w:t>
      </w:r>
      <w:r>
        <w:rPr>
          <w:rFonts w:hint="eastAsia"/>
          <w:sz w:val="28"/>
          <w:szCs w:val="28"/>
          <w:lang w:eastAsia="zh-CN"/>
        </w:rPr>
        <w:t>）。</w:t>
      </w:r>
    </w:p>
    <w:p w14:paraId="0315C4FA">
      <w:pPr>
        <w:spacing w:line="360" w:lineRule="auto"/>
        <w:rPr>
          <w:rFonts w:hint="eastAsia"/>
          <w:sz w:val="28"/>
          <w:szCs w:val="28"/>
          <w:lang w:eastAsia="zh-CN"/>
        </w:rPr>
      </w:pPr>
      <w:r>
        <w:rPr>
          <w:rFonts w:hint="eastAsia"/>
          <w:sz w:val="28"/>
          <w:szCs w:val="28"/>
          <w:highlight w:val="none"/>
          <w:lang w:val="en-US" w:eastAsia="zh-CN"/>
        </w:rPr>
        <w:t>原</w:t>
      </w:r>
      <w:r>
        <w:rPr>
          <w:rFonts w:hint="eastAsia"/>
          <w:sz w:val="28"/>
          <w:szCs w:val="28"/>
          <w:highlight w:val="none"/>
        </w:rPr>
        <w:t>办公生活区</w:t>
      </w:r>
      <w:r>
        <w:rPr>
          <w:rFonts w:hint="eastAsia"/>
          <w:sz w:val="28"/>
          <w:szCs w:val="28"/>
          <w:highlight w:val="none"/>
          <w:lang w:val="en-US" w:eastAsia="zh-CN"/>
        </w:rPr>
        <w:t>，占地面积约0.3463h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w:t>
      </w:r>
      <w:r>
        <w:rPr>
          <w:rFonts w:hint="eastAsia"/>
          <w:sz w:val="28"/>
          <w:szCs w:val="28"/>
          <w:highlight w:val="none"/>
          <w:lang w:val="en-US" w:eastAsia="zh-CN"/>
        </w:rPr>
        <w:t>堆填最大高度约6m</w:t>
      </w:r>
      <w:r>
        <w:rPr>
          <w:rFonts w:hint="eastAsia"/>
          <w:sz w:val="28"/>
          <w:szCs w:val="28"/>
          <w:highlight w:val="none"/>
        </w:rPr>
        <w:t>，</w:t>
      </w:r>
      <w:r>
        <w:rPr>
          <w:rFonts w:hint="eastAsia"/>
          <w:sz w:val="28"/>
          <w:szCs w:val="28"/>
        </w:rPr>
        <w:t>对土地压占损毁程度</w:t>
      </w:r>
      <w:r>
        <w:rPr>
          <w:rFonts w:hint="eastAsia"/>
          <w:sz w:val="28"/>
          <w:szCs w:val="28"/>
          <w:lang w:val="en-US" w:eastAsia="zh-CN"/>
        </w:rPr>
        <w:t>属中度</w:t>
      </w:r>
      <w:r>
        <w:rPr>
          <w:rFonts w:hint="eastAsia"/>
          <w:sz w:val="28"/>
          <w:szCs w:val="28"/>
        </w:rPr>
        <w:t>损毁</w:t>
      </w:r>
      <w:r>
        <w:rPr>
          <w:rFonts w:hint="eastAsia"/>
          <w:sz w:val="28"/>
          <w:szCs w:val="28"/>
          <w:lang w:eastAsia="zh-CN"/>
        </w:rPr>
        <w:t>（</w:t>
      </w:r>
      <w:r>
        <w:rPr>
          <w:rFonts w:hint="eastAsia"/>
          <w:sz w:val="28"/>
          <w:szCs w:val="28"/>
          <w:lang w:val="en-US" w:eastAsia="zh-CN"/>
        </w:rPr>
        <w:t>照片4</w:t>
      </w:r>
      <w:r>
        <w:rPr>
          <w:rFonts w:hint="eastAsia"/>
          <w:sz w:val="28"/>
          <w:szCs w:val="28"/>
          <w:lang w:eastAsia="zh-CN"/>
        </w:rPr>
        <w:t>）。</w:t>
      </w:r>
    </w:p>
    <w:p w14:paraId="5430C6DB">
      <w:pPr>
        <w:spacing w:line="360" w:lineRule="auto"/>
        <w:rPr>
          <w:rFonts w:hint="default"/>
          <w:sz w:val="28"/>
          <w:szCs w:val="28"/>
          <w:lang w:val="en-US" w:eastAsia="zh-CN"/>
        </w:rPr>
      </w:pPr>
      <w:r>
        <w:rPr>
          <w:rFonts w:hint="eastAsia"/>
          <w:sz w:val="28"/>
          <w:szCs w:val="28"/>
          <w:lang w:val="en-US" w:eastAsia="zh-CN"/>
        </w:rPr>
        <w:t>原综合服务区，</w:t>
      </w:r>
      <w:r>
        <w:rPr>
          <w:rFonts w:hint="eastAsia"/>
          <w:sz w:val="28"/>
          <w:szCs w:val="28"/>
          <w:highlight w:val="none"/>
          <w:lang w:val="en-US" w:eastAsia="zh-CN"/>
        </w:rPr>
        <w:t>占地面积约0.3711h</w:t>
      </w:r>
      <w:r>
        <w:rPr>
          <w:rFonts w:hint="eastAsia"/>
          <w:sz w:val="28"/>
          <w:szCs w:val="28"/>
          <w:highlight w:val="none"/>
        </w:rPr>
        <w:t>m</w:t>
      </w:r>
      <w:r>
        <w:rPr>
          <w:rFonts w:hint="eastAsia"/>
          <w:sz w:val="28"/>
          <w:szCs w:val="28"/>
          <w:highlight w:val="none"/>
          <w:vertAlign w:val="superscript"/>
        </w:rPr>
        <w:t>2</w:t>
      </w:r>
      <w:r>
        <w:rPr>
          <w:rFonts w:hint="eastAsia"/>
          <w:sz w:val="28"/>
          <w:szCs w:val="28"/>
          <w:highlight w:val="none"/>
        </w:rPr>
        <w:t>，</w:t>
      </w:r>
      <w:r>
        <w:rPr>
          <w:rFonts w:hint="eastAsia"/>
          <w:sz w:val="28"/>
          <w:szCs w:val="28"/>
          <w:highlight w:val="none"/>
          <w:lang w:val="en-US" w:eastAsia="zh-CN"/>
        </w:rPr>
        <w:t>堆填最大高度约6m</w:t>
      </w:r>
      <w:r>
        <w:rPr>
          <w:rFonts w:hint="eastAsia"/>
          <w:sz w:val="28"/>
          <w:szCs w:val="28"/>
          <w:highlight w:val="none"/>
        </w:rPr>
        <w:t>，</w:t>
      </w:r>
      <w:r>
        <w:rPr>
          <w:rFonts w:hint="eastAsia"/>
          <w:sz w:val="28"/>
          <w:szCs w:val="28"/>
        </w:rPr>
        <w:t>对土地压占损毁程度</w:t>
      </w:r>
      <w:r>
        <w:rPr>
          <w:rFonts w:hint="eastAsia"/>
          <w:sz w:val="28"/>
          <w:szCs w:val="28"/>
          <w:lang w:val="en-US" w:eastAsia="zh-CN"/>
        </w:rPr>
        <w:t>属中度</w:t>
      </w:r>
      <w:r>
        <w:rPr>
          <w:rFonts w:hint="eastAsia"/>
          <w:sz w:val="28"/>
          <w:szCs w:val="28"/>
        </w:rPr>
        <w:t>损毁</w:t>
      </w:r>
      <w:r>
        <w:rPr>
          <w:rFonts w:hint="eastAsia"/>
          <w:sz w:val="28"/>
          <w:szCs w:val="28"/>
          <w:lang w:eastAsia="zh-CN"/>
        </w:rPr>
        <w:t>。</w:t>
      </w:r>
    </w:p>
    <w:p w14:paraId="267B09EF">
      <w:pPr>
        <w:spacing w:line="360" w:lineRule="auto"/>
        <w:rPr>
          <w:sz w:val="28"/>
          <w:szCs w:val="28"/>
        </w:rPr>
      </w:pPr>
      <w:r>
        <w:rPr>
          <w:rFonts w:hint="eastAsia"/>
          <w:sz w:val="28"/>
          <w:szCs w:val="28"/>
        </w:rPr>
        <w:t>现状土地损毁程度见下表3-</w:t>
      </w:r>
      <w:r>
        <w:rPr>
          <w:rFonts w:hint="eastAsia"/>
          <w:sz w:val="28"/>
          <w:szCs w:val="28"/>
          <w:lang w:val="en-US" w:eastAsia="zh-CN"/>
        </w:rPr>
        <w:t>8</w:t>
      </w:r>
      <w:r>
        <w:rPr>
          <w:rFonts w:hint="eastAsia"/>
          <w:sz w:val="28"/>
          <w:szCs w:val="28"/>
        </w:rPr>
        <w:t>：</w:t>
      </w:r>
    </w:p>
    <w:p w14:paraId="5938CF71">
      <w:pPr>
        <w:pStyle w:val="45"/>
        <w:keepNext w:val="0"/>
        <w:keepLines w:val="0"/>
        <w:pageBreakBefore w:val="0"/>
        <w:widowControl w:val="0"/>
        <w:kinsoku/>
        <w:wordWrap/>
        <w:overflowPunct w:val="0"/>
        <w:topLinePunct w:val="0"/>
        <w:autoSpaceDE/>
        <w:autoSpaceDN/>
        <w:bidi w:val="0"/>
        <w:adjustRightInd/>
        <w:snapToGrid/>
        <w:ind w:firstLine="0" w:firstLineChars="0"/>
        <w:jc w:val="center"/>
        <w:textAlignment w:val="baseline"/>
        <w:rPr>
          <w:rFonts w:hint="eastAsia" w:ascii="宋体" w:hAnsi="宋体" w:eastAsia="宋体" w:cs="宋体"/>
          <w:b/>
          <w:bCs/>
        </w:rPr>
      </w:pPr>
      <w:r>
        <w:rPr>
          <w:rFonts w:hint="eastAsia" w:ascii="宋体" w:hAnsi="宋体" w:eastAsia="宋体" w:cs="宋体"/>
          <w:b/>
          <w:bCs/>
        </w:rPr>
        <w:t>表3-</w:t>
      </w:r>
      <w:r>
        <w:rPr>
          <w:rFonts w:hint="eastAsia" w:ascii="宋体" w:hAnsi="宋体" w:eastAsia="宋体" w:cs="宋体"/>
          <w:b/>
          <w:bCs/>
          <w:lang w:val="en-US" w:eastAsia="zh-CN"/>
        </w:rPr>
        <w:t>8</w:t>
      </w:r>
      <w:r>
        <w:rPr>
          <w:rFonts w:hint="eastAsia" w:ascii="宋体" w:hAnsi="宋体" w:eastAsia="宋体" w:cs="宋体"/>
          <w:b/>
          <w:bCs/>
        </w:rPr>
        <w:t xml:space="preserve">      项目区现状土地损毁程度一览表</w:t>
      </w:r>
    </w:p>
    <w:tbl>
      <w:tblPr>
        <w:tblStyle w:val="33"/>
        <w:tblW w:w="4997" w:type="pct"/>
        <w:tblInd w:w="0" w:type="dxa"/>
        <w:tblLayout w:type="autofit"/>
        <w:tblCellMar>
          <w:top w:w="0" w:type="dxa"/>
          <w:left w:w="108" w:type="dxa"/>
          <w:bottom w:w="0" w:type="dxa"/>
          <w:right w:w="108" w:type="dxa"/>
        </w:tblCellMar>
      </w:tblPr>
      <w:tblGrid>
        <w:gridCol w:w="2076"/>
        <w:gridCol w:w="2616"/>
        <w:gridCol w:w="1833"/>
        <w:gridCol w:w="1237"/>
        <w:gridCol w:w="1237"/>
      </w:tblGrid>
      <w:tr w14:paraId="66E01DB5">
        <w:tblPrEx>
          <w:tblCellMar>
            <w:top w:w="0" w:type="dxa"/>
            <w:left w:w="108" w:type="dxa"/>
            <w:bottom w:w="0" w:type="dxa"/>
            <w:right w:w="108" w:type="dxa"/>
          </w:tblCellMar>
        </w:tblPrEx>
        <w:trPr>
          <w:trHeight w:val="796" w:hRule="atLeast"/>
        </w:trPr>
        <w:tc>
          <w:tcPr>
            <w:tcW w:w="1153" w:type="pct"/>
            <w:tcBorders>
              <w:top w:val="single" w:color="000000" w:sz="4" w:space="0"/>
              <w:left w:val="single" w:color="000000" w:sz="4" w:space="0"/>
              <w:right w:val="single" w:color="000000" w:sz="4" w:space="0"/>
            </w:tcBorders>
            <w:noWrap/>
            <w:vAlign w:val="center"/>
          </w:tcPr>
          <w:p w14:paraId="1D4E8282">
            <w:pPr>
              <w:pStyle w:val="76"/>
              <w:jc w:val="center"/>
              <w:rPr>
                <w:rFonts w:hint="default" w:cs="Times New Roman"/>
                <w:sz w:val="24"/>
                <w:szCs w:val="24"/>
                <w:highlight w:val="none"/>
                <w:lang w:val="en-US" w:eastAsia="zh-CN"/>
              </w:rPr>
            </w:pPr>
            <w:r>
              <w:rPr>
                <w:rFonts w:hint="eastAsia" w:cs="Times New Roman"/>
                <w:sz w:val="24"/>
                <w:szCs w:val="24"/>
                <w:highlight w:val="none"/>
                <w:lang w:val="en-US" w:eastAsia="zh-CN"/>
              </w:rPr>
              <w:t>序号</w:t>
            </w:r>
          </w:p>
        </w:tc>
        <w:tc>
          <w:tcPr>
            <w:tcW w:w="1453" w:type="pct"/>
            <w:tcBorders>
              <w:top w:val="single" w:color="000000" w:sz="4" w:space="0"/>
              <w:left w:val="single" w:color="000000" w:sz="4" w:space="0"/>
              <w:right w:val="single" w:color="000000" w:sz="4" w:space="0"/>
            </w:tcBorders>
            <w:noWrap/>
            <w:vAlign w:val="center"/>
          </w:tcPr>
          <w:p w14:paraId="737B1609">
            <w:pPr>
              <w:pStyle w:val="76"/>
              <w:jc w:val="center"/>
              <w:rPr>
                <w:rFonts w:hint="default" w:ascii="Times New Roman" w:hAnsi="Times New Roman" w:eastAsia="宋体" w:cs="Times New Roman"/>
                <w:sz w:val="24"/>
                <w:szCs w:val="24"/>
              </w:rPr>
            </w:pPr>
            <w:r>
              <w:rPr>
                <w:rFonts w:hint="eastAsia" w:cs="Times New Roman"/>
                <w:sz w:val="24"/>
                <w:szCs w:val="24"/>
                <w:highlight w:val="none"/>
                <w:lang w:val="en-US" w:eastAsia="zh-CN"/>
              </w:rPr>
              <w:t>包含范围名称</w:t>
            </w:r>
          </w:p>
        </w:tc>
        <w:tc>
          <w:tcPr>
            <w:tcW w:w="1018" w:type="pct"/>
            <w:tcBorders>
              <w:top w:val="single" w:color="000000" w:sz="4" w:space="0"/>
              <w:left w:val="single" w:color="000000" w:sz="4" w:space="0"/>
              <w:bottom w:val="single" w:color="000000" w:sz="4" w:space="0"/>
              <w:right w:val="single" w:color="000000" w:sz="4" w:space="0"/>
            </w:tcBorders>
            <w:noWrap/>
            <w:vAlign w:val="center"/>
          </w:tcPr>
          <w:p w14:paraId="54095E5D">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面积（hm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w:t>
            </w:r>
          </w:p>
        </w:tc>
        <w:tc>
          <w:tcPr>
            <w:tcW w:w="687" w:type="pct"/>
            <w:tcBorders>
              <w:top w:val="single" w:color="000000" w:sz="4" w:space="0"/>
              <w:left w:val="single" w:color="000000" w:sz="4" w:space="0"/>
              <w:right w:val="single" w:color="000000" w:sz="4" w:space="0"/>
            </w:tcBorders>
            <w:noWrap/>
            <w:vAlign w:val="center"/>
          </w:tcPr>
          <w:p w14:paraId="78567DB0">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损毁方式</w:t>
            </w:r>
          </w:p>
        </w:tc>
        <w:tc>
          <w:tcPr>
            <w:tcW w:w="687" w:type="pct"/>
            <w:tcBorders>
              <w:top w:val="single" w:color="000000" w:sz="4" w:space="0"/>
              <w:left w:val="single" w:color="000000" w:sz="4" w:space="0"/>
              <w:right w:val="single" w:color="000000" w:sz="4" w:space="0"/>
            </w:tcBorders>
            <w:noWrap/>
            <w:vAlign w:val="center"/>
          </w:tcPr>
          <w:p w14:paraId="2920B583">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损毁程度</w:t>
            </w:r>
          </w:p>
        </w:tc>
      </w:tr>
      <w:tr w14:paraId="54518733">
        <w:tblPrEx>
          <w:tblCellMar>
            <w:top w:w="0" w:type="dxa"/>
            <w:left w:w="108" w:type="dxa"/>
            <w:bottom w:w="0" w:type="dxa"/>
            <w:right w:w="108" w:type="dxa"/>
          </w:tblCellMar>
        </w:tblPrEx>
        <w:trPr>
          <w:trHeight w:val="463"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14EC">
            <w:pPr>
              <w:pStyle w:val="76"/>
              <w:jc w:val="center"/>
              <w:rPr>
                <w:rFonts w:hint="default" w:cs="Times New Roman"/>
                <w:sz w:val="24"/>
                <w:szCs w:val="24"/>
                <w:highlight w:val="none"/>
                <w:lang w:val="en-US" w:eastAsia="zh-CN"/>
              </w:rPr>
            </w:pPr>
            <w:r>
              <w:rPr>
                <w:rFonts w:hint="eastAsia" w:cs="Times New Roman"/>
                <w:sz w:val="24"/>
                <w:szCs w:val="24"/>
                <w:highlight w:val="none"/>
                <w:lang w:val="en-US" w:eastAsia="zh-CN"/>
              </w:rPr>
              <w:t>受损区块4</w:t>
            </w:r>
          </w:p>
        </w:tc>
        <w:tc>
          <w:tcPr>
            <w:tcW w:w="1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8E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历史采坑一</w:t>
            </w:r>
          </w:p>
        </w:tc>
        <w:tc>
          <w:tcPr>
            <w:tcW w:w="1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9E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2.0378</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3635E69E">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挖损</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4CDCF937">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重度</w:t>
            </w:r>
          </w:p>
        </w:tc>
      </w:tr>
      <w:tr w14:paraId="230BF170">
        <w:tblPrEx>
          <w:tblCellMar>
            <w:top w:w="0" w:type="dxa"/>
            <w:left w:w="108" w:type="dxa"/>
            <w:bottom w:w="0" w:type="dxa"/>
            <w:right w:w="108" w:type="dxa"/>
          </w:tblCellMar>
        </w:tblPrEx>
        <w:trPr>
          <w:trHeight w:val="463"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5B98">
            <w:pPr>
              <w:pStyle w:val="76"/>
              <w:jc w:val="center"/>
              <w:rPr>
                <w:rFonts w:hint="default" w:cs="Times New Roman"/>
                <w:sz w:val="24"/>
                <w:szCs w:val="24"/>
                <w:highlight w:val="none"/>
                <w:lang w:val="en-US" w:eastAsia="zh-CN"/>
              </w:rPr>
            </w:pPr>
            <w:r>
              <w:rPr>
                <w:rFonts w:hint="eastAsia" w:cs="Times New Roman"/>
                <w:sz w:val="24"/>
                <w:szCs w:val="24"/>
                <w:highlight w:val="none"/>
                <w:lang w:val="en-US" w:eastAsia="zh-CN"/>
              </w:rPr>
              <w:t>受损区块5</w:t>
            </w:r>
          </w:p>
        </w:tc>
        <w:tc>
          <w:tcPr>
            <w:tcW w:w="1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8F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排土场（历史采坑二）</w:t>
            </w:r>
          </w:p>
        </w:tc>
        <w:tc>
          <w:tcPr>
            <w:tcW w:w="1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21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2.4635</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23838C7F">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挖损</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08B1AB79">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重度</w:t>
            </w:r>
          </w:p>
        </w:tc>
      </w:tr>
      <w:tr w14:paraId="19664F83">
        <w:tblPrEx>
          <w:tblCellMar>
            <w:top w:w="0" w:type="dxa"/>
            <w:left w:w="108" w:type="dxa"/>
            <w:bottom w:w="0" w:type="dxa"/>
            <w:right w:w="108" w:type="dxa"/>
          </w:tblCellMar>
        </w:tblPrEx>
        <w:trPr>
          <w:trHeight w:val="463"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4067">
            <w:pPr>
              <w:pStyle w:val="76"/>
              <w:jc w:val="center"/>
              <w:rPr>
                <w:rFonts w:hint="default" w:cs="Times New Roman"/>
                <w:sz w:val="24"/>
                <w:szCs w:val="24"/>
                <w:highlight w:val="none"/>
                <w:lang w:val="en-US" w:eastAsia="zh-CN"/>
              </w:rPr>
            </w:pPr>
            <w:r>
              <w:rPr>
                <w:rFonts w:hint="eastAsia" w:cs="Times New Roman"/>
                <w:sz w:val="24"/>
                <w:szCs w:val="24"/>
                <w:highlight w:val="none"/>
                <w:lang w:val="en-US" w:eastAsia="zh-CN"/>
              </w:rPr>
              <w:t>受损区块6</w:t>
            </w:r>
          </w:p>
        </w:tc>
        <w:tc>
          <w:tcPr>
            <w:tcW w:w="1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1D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原破碎站及废石堆场</w:t>
            </w:r>
          </w:p>
        </w:tc>
        <w:tc>
          <w:tcPr>
            <w:tcW w:w="1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DF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2.2880</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03F031A9">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压占</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30ADDF8F">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中</w:t>
            </w:r>
            <w:r>
              <w:rPr>
                <w:rFonts w:hint="default" w:ascii="Times New Roman" w:hAnsi="Times New Roman" w:eastAsia="宋体" w:cs="Times New Roman"/>
                <w:sz w:val="24"/>
                <w:szCs w:val="24"/>
              </w:rPr>
              <w:t>度</w:t>
            </w:r>
          </w:p>
        </w:tc>
      </w:tr>
      <w:tr w14:paraId="7072011E">
        <w:tblPrEx>
          <w:tblCellMar>
            <w:top w:w="0" w:type="dxa"/>
            <w:left w:w="108" w:type="dxa"/>
            <w:bottom w:w="0" w:type="dxa"/>
            <w:right w:w="108" w:type="dxa"/>
          </w:tblCellMar>
        </w:tblPrEx>
        <w:trPr>
          <w:trHeight w:val="463"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FFB13">
            <w:pPr>
              <w:pStyle w:val="76"/>
              <w:jc w:val="center"/>
              <w:rPr>
                <w:rFonts w:hint="default" w:cs="Times New Roman"/>
                <w:sz w:val="24"/>
                <w:szCs w:val="24"/>
                <w:highlight w:val="none"/>
                <w:lang w:val="en-US" w:eastAsia="zh-CN"/>
              </w:rPr>
            </w:pPr>
            <w:r>
              <w:rPr>
                <w:rFonts w:hint="eastAsia" w:cs="Times New Roman"/>
                <w:sz w:val="24"/>
                <w:szCs w:val="24"/>
                <w:highlight w:val="none"/>
                <w:lang w:val="en-US" w:eastAsia="zh-CN"/>
              </w:rPr>
              <w:t>受损区块7</w:t>
            </w:r>
          </w:p>
        </w:tc>
        <w:tc>
          <w:tcPr>
            <w:tcW w:w="1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10E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办公生活区</w:t>
            </w:r>
          </w:p>
        </w:tc>
        <w:tc>
          <w:tcPr>
            <w:tcW w:w="1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76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0.3463</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2BE03E52">
            <w:pPr>
              <w:pStyle w:val="76"/>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压占</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54C3A3DC">
            <w:pPr>
              <w:pStyle w:val="76"/>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中</w:t>
            </w:r>
            <w:r>
              <w:rPr>
                <w:rFonts w:hint="default" w:ascii="Times New Roman" w:hAnsi="Times New Roman" w:eastAsia="宋体" w:cs="Times New Roman"/>
                <w:sz w:val="24"/>
                <w:szCs w:val="24"/>
              </w:rPr>
              <w:t>度</w:t>
            </w:r>
          </w:p>
        </w:tc>
      </w:tr>
      <w:tr w14:paraId="01B9CE6E">
        <w:tblPrEx>
          <w:tblCellMar>
            <w:top w:w="0" w:type="dxa"/>
            <w:left w:w="108" w:type="dxa"/>
            <w:bottom w:w="0" w:type="dxa"/>
            <w:right w:w="108" w:type="dxa"/>
          </w:tblCellMar>
        </w:tblPrEx>
        <w:trPr>
          <w:trHeight w:val="49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DFFD">
            <w:pPr>
              <w:pStyle w:val="76"/>
              <w:jc w:val="center"/>
              <w:rPr>
                <w:rFonts w:hint="eastAsia" w:cs="Times New Roman"/>
                <w:sz w:val="24"/>
                <w:szCs w:val="24"/>
                <w:highlight w:val="none"/>
                <w:lang w:val="en-US" w:eastAsia="zh-CN"/>
              </w:rPr>
            </w:pPr>
            <w:r>
              <w:rPr>
                <w:rFonts w:hint="eastAsia" w:cs="Times New Roman"/>
                <w:sz w:val="24"/>
                <w:szCs w:val="24"/>
                <w:highlight w:val="none"/>
                <w:lang w:val="en-US" w:eastAsia="zh-CN"/>
              </w:rPr>
              <w:t>受损区块8</w:t>
            </w:r>
          </w:p>
        </w:tc>
        <w:tc>
          <w:tcPr>
            <w:tcW w:w="1453" w:type="pct"/>
            <w:tcBorders>
              <w:top w:val="single" w:color="000000" w:sz="4" w:space="0"/>
              <w:left w:val="single" w:color="000000" w:sz="4" w:space="0"/>
              <w:bottom w:val="single" w:color="000000" w:sz="4" w:space="0"/>
              <w:right w:val="single" w:color="000000" w:sz="4" w:space="0"/>
            </w:tcBorders>
            <w:noWrap/>
            <w:vAlign w:val="center"/>
          </w:tcPr>
          <w:p w14:paraId="552F7B54">
            <w:pPr>
              <w:pStyle w:val="76"/>
              <w:jc w:val="center"/>
              <w:rPr>
                <w:rFonts w:hint="default" w:ascii="Times New Roman" w:hAnsi="Times New Roman" w:eastAsia="宋体" w:cs="Times New Roman"/>
                <w:sz w:val="24"/>
                <w:szCs w:val="24"/>
                <w:lang w:val="en-US" w:eastAsia="zh-CN"/>
              </w:rPr>
            </w:pPr>
            <w:r>
              <w:rPr>
                <w:rFonts w:hint="eastAsia" w:cs="Times New Roman"/>
                <w:sz w:val="24"/>
                <w:szCs w:val="24"/>
                <w:lang w:val="en-US" w:eastAsia="zh-CN"/>
              </w:rPr>
              <w:t>原综合服务区</w:t>
            </w:r>
          </w:p>
        </w:tc>
        <w:tc>
          <w:tcPr>
            <w:tcW w:w="1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1E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eastAsia" w:cs="Times New Roman"/>
                <w:i w:val="0"/>
                <w:iCs w:val="0"/>
                <w:color w:val="000000"/>
                <w:sz w:val="24"/>
                <w:szCs w:val="24"/>
                <w:u w:val="none"/>
                <w:lang w:val="en-US" w:eastAsia="zh-CN" w:bidi="ar-SA"/>
              </w:rPr>
              <w:t>0.3711</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F905">
            <w:pPr>
              <w:pStyle w:val="76"/>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压占</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376A">
            <w:pPr>
              <w:pStyle w:val="76"/>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中</w:t>
            </w:r>
            <w:r>
              <w:rPr>
                <w:rFonts w:hint="default" w:ascii="Times New Roman" w:hAnsi="Times New Roman" w:eastAsia="宋体" w:cs="Times New Roman"/>
                <w:sz w:val="24"/>
                <w:szCs w:val="24"/>
              </w:rPr>
              <w:t>度</w:t>
            </w:r>
          </w:p>
        </w:tc>
      </w:tr>
      <w:tr w14:paraId="6582FA1D">
        <w:tblPrEx>
          <w:tblCellMar>
            <w:top w:w="0" w:type="dxa"/>
            <w:left w:w="108" w:type="dxa"/>
            <w:bottom w:w="0" w:type="dxa"/>
            <w:right w:w="108" w:type="dxa"/>
          </w:tblCellMar>
        </w:tblPrEx>
        <w:trPr>
          <w:trHeight w:val="503"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F41D">
            <w:pPr>
              <w:pStyle w:val="76"/>
              <w:ind w:firstLine="0" w:firstLineChars="0"/>
              <w:jc w:val="center"/>
              <w:rPr>
                <w:rFonts w:hint="default" w:ascii="Times New Roman" w:hAnsi="Times New Roman" w:eastAsia="宋体" w:cs="Times New Roman"/>
                <w:sz w:val="24"/>
                <w:szCs w:val="24"/>
              </w:rPr>
            </w:pPr>
          </w:p>
        </w:tc>
        <w:tc>
          <w:tcPr>
            <w:tcW w:w="1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0780">
            <w:pPr>
              <w:pStyle w:val="76"/>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总计</w:t>
            </w:r>
          </w:p>
        </w:tc>
        <w:tc>
          <w:tcPr>
            <w:tcW w:w="10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4B9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w:t>
            </w:r>
            <w:r>
              <w:rPr>
                <w:rFonts w:hint="eastAsia" w:cs="Times New Roman"/>
                <w:i w:val="0"/>
                <w:iCs w:val="0"/>
                <w:color w:val="000000"/>
                <w:kern w:val="0"/>
                <w:sz w:val="24"/>
                <w:szCs w:val="24"/>
                <w:u w:val="none"/>
                <w:lang w:val="en-US" w:eastAsia="zh-CN" w:bidi="ar"/>
              </w:rPr>
              <w:t>5067</w:t>
            </w: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1229F6EC">
            <w:pPr>
              <w:pStyle w:val="76"/>
              <w:jc w:val="center"/>
              <w:rPr>
                <w:rFonts w:hint="default" w:ascii="Times New Roman" w:hAnsi="Times New Roman" w:eastAsia="宋体" w:cs="Times New Roman"/>
                <w:sz w:val="24"/>
                <w:szCs w:val="24"/>
              </w:rPr>
            </w:pPr>
          </w:p>
        </w:tc>
        <w:tc>
          <w:tcPr>
            <w:tcW w:w="687" w:type="pct"/>
            <w:tcBorders>
              <w:top w:val="single" w:color="000000" w:sz="4" w:space="0"/>
              <w:left w:val="single" w:color="000000" w:sz="4" w:space="0"/>
              <w:bottom w:val="single" w:color="000000" w:sz="4" w:space="0"/>
              <w:right w:val="single" w:color="000000" w:sz="4" w:space="0"/>
            </w:tcBorders>
            <w:noWrap/>
            <w:vAlign w:val="center"/>
          </w:tcPr>
          <w:p w14:paraId="792FE1B7">
            <w:pPr>
              <w:pStyle w:val="76"/>
              <w:jc w:val="center"/>
              <w:rPr>
                <w:rFonts w:hint="default" w:ascii="Times New Roman" w:hAnsi="Times New Roman" w:eastAsia="宋体" w:cs="Times New Roman"/>
                <w:sz w:val="24"/>
                <w:szCs w:val="24"/>
              </w:rPr>
            </w:pPr>
          </w:p>
        </w:tc>
      </w:tr>
    </w:tbl>
    <w:p w14:paraId="5030FB2C">
      <w:pPr>
        <w:pStyle w:val="7"/>
        <w:spacing w:line="360" w:lineRule="auto"/>
        <w:rPr>
          <w:rFonts w:hint="default" w:eastAsia="宋体"/>
          <w:sz w:val="28"/>
          <w:szCs w:val="28"/>
          <w:lang w:val="en-US" w:eastAsia="zh-CN"/>
        </w:rPr>
      </w:pPr>
      <w:r>
        <w:rPr>
          <w:rFonts w:hint="eastAsia"/>
          <w:sz w:val="28"/>
          <w:szCs w:val="28"/>
        </w:rPr>
        <w:t>3.生态受损与退化</w:t>
      </w:r>
      <w:r>
        <w:rPr>
          <w:rFonts w:hint="eastAsia"/>
          <w:sz w:val="28"/>
          <w:szCs w:val="28"/>
          <w:lang w:val="en-US" w:eastAsia="zh-CN"/>
        </w:rPr>
        <w:t>现状分析</w:t>
      </w:r>
    </w:p>
    <w:p w14:paraId="02209D15">
      <w:pPr>
        <w:spacing w:line="360" w:lineRule="auto"/>
        <w:ind w:firstLine="482"/>
        <w:rPr>
          <w:b/>
          <w:bCs/>
          <w:sz w:val="28"/>
          <w:szCs w:val="28"/>
        </w:rPr>
      </w:pPr>
      <w:r>
        <w:rPr>
          <w:rFonts w:hint="eastAsia"/>
          <w:b/>
          <w:bCs/>
          <w:sz w:val="28"/>
          <w:szCs w:val="28"/>
        </w:rPr>
        <w:t>（1）植被受损现状</w:t>
      </w:r>
    </w:p>
    <w:p w14:paraId="3E0F99E0">
      <w:pPr>
        <w:spacing w:line="360" w:lineRule="auto"/>
        <w:rPr>
          <w:rFonts w:hint="eastAsia"/>
          <w:sz w:val="28"/>
          <w:szCs w:val="28"/>
        </w:rPr>
      </w:pPr>
      <w:r>
        <w:rPr>
          <w:rFonts w:hint="eastAsia"/>
          <w:sz w:val="28"/>
          <w:szCs w:val="28"/>
        </w:rPr>
        <w:t>本次调查的</w:t>
      </w:r>
      <w:r>
        <w:rPr>
          <w:rFonts w:hint="eastAsia"/>
          <w:sz w:val="28"/>
          <w:szCs w:val="28"/>
          <w:lang w:val="en-US" w:eastAsia="zh-CN"/>
        </w:rPr>
        <w:t>历史采坑一</w:t>
      </w:r>
      <w:r>
        <w:rPr>
          <w:rFonts w:hint="eastAsia"/>
          <w:sz w:val="28"/>
          <w:szCs w:val="28"/>
        </w:rPr>
        <w:t>、</w:t>
      </w:r>
      <w:r>
        <w:rPr>
          <w:rFonts w:hint="eastAsia"/>
          <w:sz w:val="28"/>
          <w:szCs w:val="28"/>
          <w:lang w:val="en-US" w:eastAsia="zh-CN"/>
        </w:rPr>
        <w:t>排土场（历史采坑二）</w:t>
      </w:r>
      <w:r>
        <w:rPr>
          <w:rFonts w:hint="eastAsia"/>
          <w:sz w:val="28"/>
          <w:szCs w:val="28"/>
        </w:rPr>
        <w:t>植被</w:t>
      </w:r>
      <w:r>
        <w:rPr>
          <w:rFonts w:hint="eastAsia"/>
          <w:sz w:val="28"/>
          <w:szCs w:val="28"/>
          <w:lang w:val="en-US" w:eastAsia="zh-CN"/>
        </w:rPr>
        <w:t>重度受损。原破碎站及废石堆放区和</w:t>
      </w:r>
      <w:r>
        <w:rPr>
          <w:rFonts w:hint="eastAsia"/>
          <w:sz w:val="28"/>
          <w:szCs w:val="28"/>
        </w:rPr>
        <w:t>办公生活区</w:t>
      </w:r>
      <w:r>
        <w:rPr>
          <w:rFonts w:hint="eastAsia"/>
          <w:sz w:val="28"/>
          <w:szCs w:val="28"/>
          <w:lang w:val="en-US" w:eastAsia="zh-CN"/>
        </w:rPr>
        <w:t>及原综合服务区</w:t>
      </w:r>
      <w:r>
        <w:rPr>
          <w:rFonts w:hint="eastAsia"/>
          <w:sz w:val="28"/>
          <w:szCs w:val="28"/>
        </w:rPr>
        <w:t>植被损毁</w:t>
      </w:r>
      <w:r>
        <w:rPr>
          <w:rFonts w:hint="eastAsia"/>
          <w:sz w:val="28"/>
          <w:szCs w:val="28"/>
          <w:lang w:val="en-US" w:eastAsia="zh-CN"/>
        </w:rPr>
        <w:t>较</w:t>
      </w:r>
      <w:r>
        <w:rPr>
          <w:rFonts w:hint="eastAsia"/>
          <w:sz w:val="28"/>
          <w:szCs w:val="28"/>
        </w:rPr>
        <w:t>严重，地表基本裸露，植被损毁</w:t>
      </w:r>
      <w:r>
        <w:rPr>
          <w:rFonts w:hint="eastAsia"/>
          <w:sz w:val="28"/>
          <w:szCs w:val="28"/>
          <w:lang w:val="en-US" w:eastAsia="zh-CN"/>
        </w:rPr>
        <w:t>较</w:t>
      </w:r>
      <w:r>
        <w:rPr>
          <w:rFonts w:hint="eastAsia"/>
          <w:sz w:val="28"/>
          <w:szCs w:val="28"/>
        </w:rPr>
        <w:t>严重</w:t>
      </w:r>
      <w:r>
        <w:rPr>
          <w:rFonts w:hint="eastAsia"/>
          <w:sz w:val="28"/>
          <w:szCs w:val="28"/>
          <w:lang w:eastAsia="zh-CN"/>
        </w:rPr>
        <w:t>（</w:t>
      </w:r>
      <w:r>
        <w:rPr>
          <w:rFonts w:hint="eastAsia"/>
          <w:sz w:val="28"/>
          <w:szCs w:val="28"/>
          <w:lang w:val="en-US" w:eastAsia="zh-CN"/>
        </w:rPr>
        <w:t>照片5～照片10</w:t>
      </w:r>
      <w:r>
        <w:rPr>
          <w:rFonts w:hint="eastAsia"/>
          <w:sz w:val="28"/>
          <w:szCs w:val="28"/>
          <w:lang w:eastAsia="zh-CN"/>
        </w:rPr>
        <w:t>）</w:t>
      </w:r>
      <w:r>
        <w:rPr>
          <w:rFonts w:hint="eastAsia"/>
          <w:sz w:val="28"/>
          <w:szCs w:val="28"/>
        </w:rPr>
        <w:t>。</w:t>
      </w:r>
    </w:p>
    <w:p w14:paraId="5CF5F2FE">
      <w:pPr>
        <w:spacing w:line="360" w:lineRule="auto"/>
        <w:ind w:firstLine="482"/>
        <w:rPr>
          <w:rFonts w:hint="default" w:eastAsia="宋体"/>
          <w:b/>
          <w:bCs/>
          <w:sz w:val="28"/>
          <w:szCs w:val="28"/>
          <w:lang w:val="en-US" w:eastAsia="zh-CN"/>
        </w:rPr>
      </w:pPr>
      <w:r>
        <w:rPr>
          <w:rFonts w:hint="eastAsia"/>
          <w:b/>
          <w:bCs/>
          <w:sz w:val="28"/>
          <w:szCs w:val="28"/>
          <w:lang w:eastAsia="zh-CN"/>
        </w:rPr>
        <w:t>（</w:t>
      </w:r>
      <w:r>
        <w:rPr>
          <w:rFonts w:hint="eastAsia"/>
          <w:b/>
          <w:bCs/>
          <w:sz w:val="28"/>
          <w:szCs w:val="28"/>
          <w:lang w:val="en-US" w:eastAsia="zh-CN"/>
        </w:rPr>
        <w:t>2</w:t>
      </w:r>
      <w:r>
        <w:rPr>
          <w:rFonts w:hint="eastAsia"/>
          <w:b/>
          <w:bCs/>
          <w:sz w:val="28"/>
          <w:szCs w:val="28"/>
          <w:lang w:eastAsia="zh-CN"/>
        </w:rPr>
        <w:t>）</w:t>
      </w:r>
      <w:r>
        <w:rPr>
          <w:rFonts w:hint="eastAsia"/>
          <w:b/>
          <w:bCs/>
          <w:sz w:val="28"/>
          <w:szCs w:val="28"/>
          <w:lang w:val="en-US" w:eastAsia="zh-CN"/>
        </w:rPr>
        <w:t>生物多样性丧失</w:t>
      </w:r>
    </w:p>
    <w:p w14:paraId="392C79FA">
      <w:pPr>
        <w:spacing w:line="360" w:lineRule="auto"/>
        <w:rPr>
          <w:rFonts w:hint="eastAsia"/>
          <w:sz w:val="28"/>
          <w:szCs w:val="28"/>
          <w:lang w:val="en-US" w:eastAsia="zh-CN"/>
        </w:rPr>
      </w:pPr>
      <w:r>
        <w:rPr>
          <w:rFonts w:hint="eastAsia"/>
          <w:sz w:val="28"/>
          <w:szCs w:val="28"/>
          <w:lang w:val="en-US" w:eastAsia="zh-CN"/>
        </w:rPr>
        <w:t>原生植被的大面积损毁导致栖息地破碎化、质量下降，进而造成依赖原生植被生存的昆虫、鸟类、小型哺乳动物等动物类群的栖息地被压缩、食物资源匮乏，物种丰富度降低，生物群落结构简化，生态系统的稳定性和自我修复能力受到较严重影响。</w:t>
      </w:r>
    </w:p>
    <w:p w14:paraId="77E7479E">
      <w:pPr>
        <w:spacing w:line="360" w:lineRule="auto"/>
        <w:ind w:firstLine="482"/>
        <w:rPr>
          <w:rFonts w:hint="default" w:eastAsia="宋体"/>
          <w:b/>
          <w:bCs/>
          <w:sz w:val="28"/>
          <w:szCs w:val="28"/>
          <w:lang w:val="en-US" w:eastAsia="zh-CN"/>
        </w:rPr>
      </w:pPr>
      <w:r>
        <w:rPr>
          <w:rFonts w:hint="eastAsia"/>
          <w:b/>
          <w:bCs/>
          <w:sz w:val="28"/>
          <w:szCs w:val="28"/>
        </w:rPr>
        <w:t>（</w:t>
      </w:r>
      <w:r>
        <w:rPr>
          <w:rFonts w:hint="eastAsia"/>
          <w:b/>
          <w:bCs/>
          <w:sz w:val="28"/>
          <w:szCs w:val="28"/>
          <w:lang w:val="en-US" w:eastAsia="zh-CN"/>
        </w:rPr>
        <w:t>3</w:t>
      </w:r>
      <w:r>
        <w:rPr>
          <w:rFonts w:hint="eastAsia"/>
          <w:b/>
          <w:bCs/>
          <w:sz w:val="28"/>
          <w:szCs w:val="28"/>
        </w:rPr>
        <w:t>）</w:t>
      </w:r>
      <w:r>
        <w:rPr>
          <w:rFonts w:hint="eastAsia"/>
          <w:b/>
          <w:bCs/>
          <w:sz w:val="28"/>
          <w:szCs w:val="28"/>
          <w:lang w:val="en-US" w:eastAsia="zh-CN"/>
        </w:rPr>
        <w:t>土壤退化</w:t>
      </w:r>
    </w:p>
    <w:p w14:paraId="7A9740E5">
      <w:pPr>
        <w:keepNext w:val="0"/>
        <w:keepLines w:val="0"/>
        <w:pageBreakBefore w:val="0"/>
        <w:widowControl w:val="0"/>
        <w:kinsoku/>
        <w:wordWrap/>
        <w:overflowPunct/>
        <w:topLinePunct w:val="0"/>
        <w:autoSpaceDE/>
        <w:bidi w:val="0"/>
        <w:adjustRightInd/>
        <w:snapToGrid/>
        <w:spacing w:line="360" w:lineRule="auto"/>
        <w:ind w:firstLine="482"/>
        <w:textAlignment w:val="auto"/>
        <w:rPr>
          <w:rFonts w:hint="eastAsia"/>
          <w:sz w:val="28"/>
          <w:szCs w:val="28"/>
        </w:rPr>
      </w:pPr>
      <w:r>
        <w:rPr>
          <w:rFonts w:hint="eastAsia"/>
          <w:sz w:val="28"/>
          <w:szCs w:val="28"/>
        </w:rPr>
        <w:t>项目区位于</w:t>
      </w:r>
      <w:r>
        <w:rPr>
          <w:rFonts w:hint="eastAsia"/>
          <w:sz w:val="28"/>
          <w:szCs w:val="28"/>
          <w:lang w:val="en-US" w:eastAsia="zh-CN"/>
        </w:rPr>
        <w:t>徐闻县城北乡迈报村</w:t>
      </w:r>
      <w:r>
        <w:rPr>
          <w:rFonts w:hint="eastAsia"/>
          <w:sz w:val="28"/>
          <w:szCs w:val="28"/>
        </w:rPr>
        <w:t>，地形属低丘台地地形，地形较为</w:t>
      </w:r>
      <w:r>
        <w:rPr>
          <w:rFonts w:hint="eastAsia"/>
          <w:sz w:val="28"/>
          <w:szCs w:val="28"/>
          <w:lang w:val="en-US" w:eastAsia="zh-CN"/>
        </w:rPr>
        <w:t>简单</w:t>
      </w:r>
      <w:r>
        <w:rPr>
          <w:rFonts w:hint="eastAsia"/>
          <w:sz w:val="28"/>
          <w:szCs w:val="28"/>
        </w:rPr>
        <w:t>，相对高差较</w:t>
      </w:r>
      <w:r>
        <w:rPr>
          <w:rFonts w:hint="eastAsia"/>
          <w:sz w:val="28"/>
          <w:szCs w:val="28"/>
          <w:lang w:val="en-US" w:eastAsia="zh-CN"/>
        </w:rPr>
        <w:t>小</w:t>
      </w:r>
      <w:r>
        <w:rPr>
          <w:rFonts w:hint="eastAsia"/>
          <w:sz w:val="28"/>
          <w:szCs w:val="28"/>
        </w:rPr>
        <w:t>。该区降水量多，蒸发量</w:t>
      </w:r>
      <w:r>
        <w:rPr>
          <w:rFonts w:hint="eastAsia"/>
          <w:sz w:val="28"/>
          <w:szCs w:val="28"/>
          <w:lang w:val="en-US" w:eastAsia="zh-CN"/>
        </w:rPr>
        <w:t>大</w:t>
      </w:r>
      <w:r>
        <w:rPr>
          <w:rFonts w:hint="eastAsia"/>
          <w:sz w:val="28"/>
          <w:szCs w:val="28"/>
        </w:rPr>
        <w:t>，土壤抗侵蚀能力较</w:t>
      </w:r>
      <w:r>
        <w:rPr>
          <w:rFonts w:hint="eastAsia"/>
          <w:sz w:val="28"/>
          <w:szCs w:val="28"/>
          <w:lang w:val="en-US" w:eastAsia="zh-CN"/>
        </w:rPr>
        <w:t>强</w:t>
      </w:r>
      <w:r>
        <w:rPr>
          <w:rFonts w:hint="eastAsia"/>
          <w:sz w:val="28"/>
          <w:szCs w:val="28"/>
        </w:rPr>
        <w:t>。</w:t>
      </w:r>
      <w:r>
        <w:rPr>
          <w:rFonts w:hint="eastAsia"/>
          <w:sz w:val="28"/>
          <w:szCs w:val="28"/>
          <w:lang w:val="en-US" w:eastAsia="zh-CN"/>
        </w:rPr>
        <w:t>矿区由于以往开采形成了历史采坑一和历史采坑二，以及原破碎站建设和废石堆、办公生活区等。</w:t>
      </w:r>
      <w:r>
        <w:rPr>
          <w:rFonts w:hint="eastAsia"/>
          <w:sz w:val="28"/>
          <w:szCs w:val="28"/>
        </w:rPr>
        <w:t>矿区开采过程中的挖损、压占等行为，导致土壤结构破坏，孔隙度降低，透气性和透水性变差，影响土壤肥力，抑制植物生长，进一步加剧了生态系统的退化。</w:t>
      </w:r>
    </w:p>
    <w:bookmarkEnd w:id="280"/>
    <w:p w14:paraId="34F70FD9">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（二）受损预测</w:t>
      </w:r>
    </w:p>
    <w:p w14:paraId="79CBA768">
      <w:pPr>
        <w:pStyle w:val="7"/>
        <w:spacing w:line="360" w:lineRule="auto"/>
        <w:ind w:firstLine="281" w:firstLineChars="100"/>
        <w:rPr>
          <w:rFonts w:hint="eastAsia" w:eastAsia="宋体"/>
          <w:b/>
          <w:bCs w:val="0"/>
          <w:sz w:val="28"/>
          <w:szCs w:val="28"/>
          <w:highlight w:val="none"/>
          <w:lang w:val="en-US" w:eastAsia="zh-CN"/>
        </w:rPr>
      </w:pPr>
      <w:r>
        <w:rPr>
          <w:rFonts w:hint="eastAsia"/>
          <w:b/>
          <w:bCs w:val="0"/>
          <w:sz w:val="28"/>
          <w:szCs w:val="28"/>
          <w:highlight w:val="none"/>
        </w:rPr>
        <w:t>1.地质环境</w:t>
      </w:r>
      <w:r>
        <w:rPr>
          <w:rFonts w:hint="eastAsia"/>
          <w:b/>
          <w:bCs w:val="0"/>
          <w:sz w:val="28"/>
          <w:szCs w:val="28"/>
          <w:highlight w:val="none"/>
          <w:lang w:val="en-US" w:eastAsia="zh-CN"/>
        </w:rPr>
        <w:t>影响</w:t>
      </w:r>
      <w:r>
        <w:rPr>
          <w:rFonts w:hint="eastAsia"/>
          <w:b/>
          <w:bCs w:val="0"/>
          <w:sz w:val="28"/>
          <w:szCs w:val="28"/>
          <w:highlight w:val="none"/>
        </w:rPr>
        <w:t>预测</w:t>
      </w:r>
      <w:r>
        <w:rPr>
          <w:rFonts w:hint="eastAsia"/>
          <w:b/>
          <w:bCs w:val="0"/>
          <w:sz w:val="28"/>
          <w:szCs w:val="28"/>
          <w:highlight w:val="none"/>
          <w:lang w:val="en-US" w:eastAsia="zh-CN"/>
        </w:rPr>
        <w:t>分析</w:t>
      </w:r>
    </w:p>
    <w:p w14:paraId="7B309E9F">
      <w:pPr>
        <w:keepNext w:val="0"/>
        <w:keepLines w:val="0"/>
        <w:pageBreakBefore w:val="0"/>
        <w:widowControl w:val="0"/>
        <w:kinsoku/>
        <w:wordWrap/>
        <w:overflowPunct/>
        <w:topLinePunct w:val="0"/>
        <w:autoSpaceDE/>
        <w:bidi w:val="0"/>
        <w:adjustRightInd/>
        <w:snapToGrid/>
        <w:spacing w:line="360" w:lineRule="auto"/>
        <w:textAlignment w:val="auto"/>
        <w:rPr>
          <w:rFonts w:hint="eastAsia" w:eastAsia="宋体"/>
          <w:b/>
          <w:bCs/>
          <w:sz w:val="28"/>
          <w:szCs w:val="28"/>
          <w:lang w:val="en-US" w:eastAsia="zh-CN"/>
        </w:rPr>
      </w:pPr>
      <w:r>
        <w:rPr>
          <w:rFonts w:hint="eastAsia"/>
          <w:b/>
          <w:color w:val="000000"/>
          <w:sz w:val="28"/>
          <w:szCs w:val="28"/>
          <w:lang w:eastAsia="zh-CN"/>
        </w:rPr>
        <w:t>（</w:t>
      </w:r>
      <w:r>
        <w:rPr>
          <w:rFonts w:hint="eastAsia"/>
          <w:b/>
          <w:color w:val="000000"/>
          <w:sz w:val="28"/>
          <w:szCs w:val="28"/>
          <w:lang w:val="en-US" w:eastAsia="zh-CN"/>
        </w:rPr>
        <w:t>1</w:t>
      </w:r>
      <w:r>
        <w:rPr>
          <w:rFonts w:hint="eastAsia"/>
          <w:b/>
          <w:color w:val="000000"/>
          <w:sz w:val="28"/>
          <w:szCs w:val="28"/>
          <w:lang w:eastAsia="zh-CN"/>
        </w:rPr>
        <w:t>）</w:t>
      </w:r>
      <w:r>
        <w:rPr>
          <w:b/>
          <w:color w:val="000000"/>
          <w:sz w:val="28"/>
          <w:szCs w:val="28"/>
        </w:rPr>
        <w:t>矿山地质灾害预测</w:t>
      </w:r>
      <w:r>
        <w:rPr>
          <w:rFonts w:hint="eastAsia"/>
          <w:b/>
          <w:color w:val="000000"/>
          <w:sz w:val="28"/>
          <w:szCs w:val="28"/>
          <w:lang w:val="en-US" w:eastAsia="zh-CN"/>
        </w:rPr>
        <w:t>分析</w:t>
      </w:r>
    </w:p>
    <w:p w14:paraId="3B2332BD">
      <w:pPr>
        <w:keepNext w:val="0"/>
        <w:keepLines w:val="0"/>
        <w:pageBreakBefore w:val="0"/>
        <w:widowControl w:val="0"/>
        <w:kinsoku/>
        <w:wordWrap/>
        <w:overflowPunct/>
        <w:topLinePunct w:val="0"/>
        <w:autoSpaceDE/>
        <w:bidi w:val="0"/>
        <w:adjustRightInd/>
        <w:snapToGrid/>
        <w:spacing w:line="360" w:lineRule="auto"/>
        <w:textAlignment w:val="auto"/>
        <w:rPr>
          <w:b w:val="0"/>
          <w:bCs w:val="0"/>
          <w:color w:val="000000"/>
          <w:sz w:val="28"/>
          <w:szCs w:val="28"/>
        </w:rPr>
      </w:pPr>
      <w:r>
        <w:rPr>
          <w:rFonts w:hint="eastAsia"/>
          <w:b w:val="0"/>
          <w:bCs w:val="0"/>
          <w:sz w:val="28"/>
          <w:szCs w:val="28"/>
          <w:lang w:val="en-US" w:eastAsia="zh-CN"/>
        </w:rPr>
        <w:t>1</w:t>
      </w:r>
      <w:r>
        <w:rPr>
          <w:rFonts w:hint="eastAsia"/>
          <w:b w:val="0"/>
          <w:bCs w:val="0"/>
          <w:sz w:val="28"/>
          <w:szCs w:val="28"/>
          <w:lang w:eastAsia="zh-CN"/>
        </w:rPr>
        <w:t>）</w:t>
      </w:r>
      <w:r>
        <w:rPr>
          <w:rFonts w:hint="eastAsia"/>
          <w:b w:val="0"/>
          <w:bCs w:val="0"/>
          <w:color w:val="000000"/>
          <w:sz w:val="28"/>
          <w:szCs w:val="28"/>
          <w:lang w:val="en-US" w:eastAsia="zh-CN"/>
        </w:rPr>
        <w:t>露天采矿</w:t>
      </w:r>
      <w:r>
        <w:rPr>
          <w:b w:val="0"/>
          <w:bCs w:val="0"/>
          <w:color w:val="000000"/>
          <w:sz w:val="28"/>
          <w:szCs w:val="28"/>
        </w:rPr>
        <w:t>可能引发的地质灾害</w:t>
      </w:r>
      <w:r>
        <w:rPr>
          <w:b w:val="0"/>
          <w:bCs w:val="0"/>
          <w:sz w:val="28"/>
          <w:szCs w:val="28"/>
        </w:rPr>
        <w:t>预测</w:t>
      </w:r>
    </w:p>
    <w:p w14:paraId="6CEEF3D5">
      <w:pPr>
        <w:keepNext w:val="0"/>
        <w:keepLines w:val="0"/>
        <w:pageBreakBefore w:val="0"/>
        <w:widowControl w:val="0"/>
        <w:kinsoku/>
        <w:wordWrap/>
        <w:overflowPunct/>
        <w:topLinePunct w:val="0"/>
        <w:autoSpaceDE/>
        <w:bidi w:val="0"/>
        <w:adjustRightInd/>
        <w:snapToGrid/>
        <w:spacing w:line="360" w:lineRule="auto"/>
        <w:textAlignment w:val="auto"/>
        <w:rPr>
          <w:rFonts w:hint="eastAsia" w:ascii="宋体" w:hAnsi="宋体" w:cs="宋体"/>
          <w:sz w:val="28"/>
          <w:szCs w:val="28"/>
          <w:highlight w:val="green"/>
        </w:rPr>
      </w:pPr>
      <w:r>
        <w:rPr>
          <w:color w:val="000000"/>
          <w:sz w:val="28"/>
          <w:szCs w:val="28"/>
        </w:rPr>
        <w:t>根据评估区地质环境条件，结合矿山“开发利用方案”的工程布局、开采方式等，预测矿山开采可能引发的地质灾害，主要有崩塌、滑坡，矿山开采建设还可能遭受上述地质灾害的危害，评估内容如下：</w:t>
      </w:r>
    </w:p>
    <w:p w14:paraId="68062A2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8"/>
          <w:szCs w:val="28"/>
        </w:rPr>
      </w:pPr>
      <w:r>
        <w:rPr>
          <w:rFonts w:hint="eastAsia" w:ascii="宋体" w:hAnsi="宋体" w:cs="宋体"/>
          <w:sz w:val="28"/>
          <w:szCs w:val="28"/>
        </w:rPr>
        <w:t>根据《开采方案》</w:t>
      </w:r>
      <w:r>
        <w:rPr>
          <w:rFonts w:hint="eastAsia" w:ascii="宋体" w:hAnsi="宋体" w:cs="宋体"/>
          <w:sz w:val="28"/>
          <w:szCs w:val="28"/>
          <w:lang w:eastAsia="zh-CN"/>
        </w:rPr>
        <w:t>，</w:t>
      </w:r>
      <w:r>
        <w:rPr>
          <w:rFonts w:hint="eastAsia"/>
          <w:color w:val="000000" w:themeColor="text1"/>
          <w:sz w:val="28"/>
          <w:szCs w:val="28"/>
          <w:highlight w:val="none"/>
          <w14:textFill>
            <w14:solidFill>
              <w14:schemeClr w14:val="tx1"/>
            </w14:solidFill>
          </w14:textFill>
        </w:rPr>
        <w:t>矿山计划自上而下水平台阶开采</w:t>
      </w:r>
      <w:r>
        <w:rPr>
          <w:rFonts w:hint="eastAsia"/>
          <w:color w:val="000000" w:themeColor="text1"/>
          <w:sz w:val="28"/>
          <w:szCs w:val="28"/>
          <w:highlight w:val="none"/>
          <w:lang w:eastAsia="zh-CN"/>
          <w14:textFill>
            <w14:solidFill>
              <w14:schemeClr w14:val="tx1"/>
            </w14:solidFill>
          </w14:textFill>
        </w:rPr>
        <w:t>，</w:t>
      </w:r>
      <w:r>
        <w:rPr>
          <w:rFonts w:hint="eastAsia"/>
          <w:sz w:val="28"/>
          <w:szCs w:val="28"/>
        </w:rPr>
        <w:t>最高</w:t>
      </w:r>
      <w:r>
        <w:rPr>
          <w:rFonts w:hint="eastAsia"/>
          <w:sz w:val="28"/>
          <w:szCs w:val="28"/>
          <w:lang w:val="en-US" w:eastAsia="zh-CN"/>
        </w:rPr>
        <w:t>开采</w:t>
      </w:r>
      <w:r>
        <w:rPr>
          <w:rFonts w:hint="eastAsia"/>
          <w:sz w:val="28"/>
          <w:szCs w:val="28"/>
        </w:rPr>
        <w:t>标高为</w:t>
      </w:r>
      <w:r>
        <w:rPr>
          <w:rFonts w:hint="eastAsia"/>
          <w:sz w:val="28"/>
          <w:szCs w:val="28"/>
          <w:lang w:val="en-US" w:eastAsia="zh-CN"/>
        </w:rPr>
        <w:t>+</w:t>
      </w:r>
      <w:r>
        <w:rPr>
          <w:rFonts w:hint="eastAsia"/>
          <w:sz w:val="28"/>
          <w:szCs w:val="28"/>
        </w:rPr>
        <w:t>59m，</w:t>
      </w:r>
      <w:r>
        <w:rPr>
          <w:rFonts w:hint="eastAsia"/>
          <w:sz w:val="28"/>
          <w:szCs w:val="28"/>
          <w:lang w:val="en-US" w:eastAsia="zh-CN"/>
        </w:rPr>
        <w:t>最低开采</w:t>
      </w:r>
      <w:r>
        <w:rPr>
          <w:rFonts w:hint="eastAsia"/>
          <w:sz w:val="28"/>
          <w:szCs w:val="28"/>
        </w:rPr>
        <w:t>标高为</w:t>
      </w:r>
      <w:r>
        <w:rPr>
          <w:rFonts w:hint="eastAsia"/>
          <w:sz w:val="28"/>
          <w:szCs w:val="28"/>
          <w:lang w:val="en-US" w:eastAsia="zh-CN"/>
        </w:rPr>
        <w:t>+</w:t>
      </w:r>
      <w:r>
        <w:rPr>
          <w:rFonts w:hint="eastAsia"/>
          <w:sz w:val="28"/>
          <w:szCs w:val="28"/>
        </w:rPr>
        <w:t>30m</w:t>
      </w:r>
      <w:r>
        <w:rPr>
          <w:rFonts w:hint="eastAsia"/>
          <w:sz w:val="28"/>
          <w:szCs w:val="28"/>
          <w:lang w:eastAsia="zh-CN"/>
        </w:rPr>
        <w:t>。</w:t>
      </w:r>
      <w:r>
        <w:rPr>
          <w:rFonts w:hint="eastAsia"/>
          <w:sz w:val="28"/>
          <w:szCs w:val="28"/>
        </w:rPr>
        <w:t>终了台阶自上而下分别为：+55m、+50m、+42m和+30m共4个开采平台。工作台阶坡面角为45～60°，终了台阶坡面角为≤4</w:t>
      </w:r>
      <w:r>
        <w:rPr>
          <w:sz w:val="28"/>
          <w:szCs w:val="28"/>
        </w:rPr>
        <w:t>6</w:t>
      </w:r>
      <w:r>
        <w:rPr>
          <w:rFonts w:hint="eastAsia"/>
          <w:sz w:val="28"/>
          <w:szCs w:val="28"/>
        </w:rPr>
        <w:t>°，台阶高度为4～1</w:t>
      </w:r>
      <w:r>
        <w:rPr>
          <w:sz w:val="28"/>
          <w:szCs w:val="28"/>
        </w:rPr>
        <w:t>2</w:t>
      </w:r>
      <w:r>
        <w:rPr>
          <w:rFonts w:hint="eastAsia"/>
          <w:sz w:val="28"/>
          <w:szCs w:val="28"/>
        </w:rPr>
        <w:t>m，</w:t>
      </w:r>
      <w:r>
        <w:rPr>
          <w:rFonts w:hint="eastAsia" w:ascii="宋体" w:hAnsi="宋体" w:cs="宋体"/>
          <w:sz w:val="28"/>
          <w:szCs w:val="28"/>
        </w:rPr>
        <w:t>在允许坡度范围内</w:t>
      </w:r>
      <w:r>
        <w:rPr>
          <w:rFonts w:hint="eastAsia"/>
          <w:sz w:val="28"/>
          <w:szCs w:val="28"/>
        </w:rPr>
        <w:t>，满足安全要求。</w:t>
      </w:r>
    </w:p>
    <w:p w14:paraId="18A7366A">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cs="宋体"/>
          <w:sz w:val="28"/>
          <w:szCs w:val="28"/>
        </w:rPr>
      </w:pPr>
      <w:r>
        <w:rPr>
          <w:rFonts w:hint="eastAsia" w:ascii="宋体" w:hAnsi="宋体" w:cs="宋体"/>
          <w:sz w:val="28"/>
          <w:szCs w:val="28"/>
        </w:rPr>
        <w:t>虽然</w:t>
      </w:r>
      <w:r>
        <w:rPr>
          <w:rFonts w:hint="eastAsia" w:ascii="宋体" w:hAnsi="宋体" w:cs="宋体"/>
          <w:sz w:val="28"/>
          <w:szCs w:val="28"/>
          <w:lang w:val="en-US" w:eastAsia="zh-CN"/>
        </w:rPr>
        <w:t>开发利用方案</w:t>
      </w:r>
      <w:r>
        <w:rPr>
          <w:rFonts w:hint="eastAsia" w:ascii="宋体" w:hAnsi="宋体" w:cs="宋体"/>
          <w:sz w:val="28"/>
          <w:szCs w:val="28"/>
        </w:rPr>
        <w:t>露天开采最终边坡</w:t>
      </w:r>
      <w:r>
        <w:rPr>
          <w:rFonts w:hint="eastAsia" w:ascii="宋体" w:hAnsi="宋体" w:cs="宋体"/>
          <w:sz w:val="28"/>
          <w:szCs w:val="28"/>
          <w:lang w:val="en-US" w:eastAsia="zh-CN"/>
        </w:rPr>
        <w:t>处于</w:t>
      </w:r>
      <w:r>
        <w:rPr>
          <w:rFonts w:hint="eastAsia" w:ascii="宋体" w:hAnsi="宋体" w:cs="宋体"/>
          <w:sz w:val="28"/>
          <w:szCs w:val="28"/>
        </w:rPr>
        <w:t>稳定，但矿区在未来开采过程中，随着开采深度的逐步加深，露天开采斜坡的高度、岩体的结构等随之发生改变，使其力学强度降低，稳定性变差，继而可能引发滑坡、崩塌，对采矿工作人员、采矿设备及运输车辆造成危害，危害方式主要以压、埋为主。</w:t>
      </w:r>
    </w:p>
    <w:p w14:paraId="61DF3EB2">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cs="宋体"/>
          <w:sz w:val="28"/>
          <w:szCs w:val="28"/>
        </w:rPr>
      </w:pPr>
      <w:r>
        <w:rPr>
          <w:rFonts w:hint="eastAsia" w:ascii="宋体" w:hAnsi="宋体" w:cs="宋体"/>
          <w:sz w:val="28"/>
          <w:szCs w:val="28"/>
        </w:rPr>
        <w:t>经综合分析判定，露天开采可能引发滑坡、崩塌的可能性中等，可能造成的损失小，对矿山地质环境影响程度</w:t>
      </w:r>
      <w:r>
        <w:rPr>
          <w:rFonts w:hint="eastAsia" w:ascii="宋体" w:hAnsi="宋体" w:cs="宋体"/>
          <w:b w:val="0"/>
          <w:bCs w:val="0"/>
          <w:sz w:val="28"/>
          <w:szCs w:val="28"/>
        </w:rPr>
        <w:t>较严重。</w:t>
      </w:r>
    </w:p>
    <w:p w14:paraId="1847199F">
      <w:pPr>
        <w:pStyle w:val="2"/>
        <w:keepNext w:val="0"/>
        <w:keepLines w:val="0"/>
        <w:pageBreakBefore w:val="0"/>
        <w:widowControl w:val="0"/>
        <w:kinsoku/>
        <w:wordWrap/>
        <w:overflowPunct/>
        <w:topLinePunct w:val="0"/>
        <w:autoSpaceDE/>
        <w:autoSpaceDN/>
        <w:bidi w:val="0"/>
        <w:adjustRightInd/>
        <w:snapToGrid/>
        <w:spacing w:beforeLines="0" w:afterLines="0" w:line="360" w:lineRule="auto"/>
        <w:rPr>
          <w:color w:val="000000"/>
          <w:sz w:val="28"/>
          <w:szCs w:val="28"/>
        </w:rPr>
      </w:pPr>
      <w:r>
        <w:rPr>
          <w:rFonts w:hint="eastAsia" w:cs="宋体"/>
          <w:sz w:val="28"/>
          <w:szCs w:val="28"/>
          <w:lang w:val="en-US" w:eastAsia="zh-CN"/>
        </w:rPr>
        <w:t>矿山未发现现状地质灾害，不做加剧地质灾害评估。</w:t>
      </w:r>
    </w:p>
    <w:p w14:paraId="27503DD4">
      <w:pPr>
        <w:shd w:val="solid" w:color="FFFFFF" w:fill="auto"/>
        <w:autoSpaceDN w:val="0"/>
        <w:spacing w:line="360" w:lineRule="auto"/>
        <w:ind w:firstLine="560" w:firstLineChars="200"/>
        <w:rPr>
          <w:b w:val="0"/>
          <w:bCs w:val="0"/>
          <w:color w:val="000000"/>
          <w:sz w:val="28"/>
          <w:szCs w:val="28"/>
        </w:rPr>
      </w:pPr>
      <w:r>
        <w:rPr>
          <w:rFonts w:hint="eastAsia"/>
          <w:b w:val="0"/>
          <w:bCs w:val="0"/>
          <w:color w:val="000000"/>
          <w:sz w:val="28"/>
          <w:szCs w:val="28"/>
          <w:lang w:val="en-US" w:eastAsia="zh-CN"/>
        </w:rPr>
        <w:t>2</w:t>
      </w:r>
      <w:r>
        <w:rPr>
          <w:b w:val="0"/>
          <w:bCs w:val="0"/>
          <w:color w:val="000000"/>
          <w:sz w:val="28"/>
          <w:szCs w:val="28"/>
        </w:rPr>
        <w:t>）</w:t>
      </w:r>
      <w:r>
        <w:rPr>
          <w:rFonts w:hint="eastAsia"/>
          <w:b w:val="0"/>
          <w:bCs w:val="0"/>
          <w:color w:val="000000"/>
          <w:sz w:val="28"/>
          <w:szCs w:val="28"/>
          <w:lang w:val="en-US" w:eastAsia="zh-CN"/>
        </w:rPr>
        <w:t>破碎站和办公生活区</w:t>
      </w:r>
      <w:r>
        <w:rPr>
          <w:b w:val="0"/>
          <w:bCs w:val="0"/>
          <w:color w:val="000000"/>
          <w:sz w:val="28"/>
          <w:szCs w:val="28"/>
        </w:rPr>
        <w:t>场地建设引发的地质灾害</w:t>
      </w:r>
      <w:r>
        <w:rPr>
          <w:b w:val="0"/>
          <w:bCs w:val="0"/>
          <w:sz w:val="28"/>
          <w:szCs w:val="28"/>
        </w:rPr>
        <w:t>预测</w:t>
      </w:r>
    </w:p>
    <w:p w14:paraId="370435C8">
      <w:pPr>
        <w:shd w:val="solid" w:color="FFFFFF" w:fill="auto"/>
        <w:autoSpaceDN w:val="0"/>
        <w:spacing w:line="360" w:lineRule="auto"/>
        <w:ind w:firstLine="560" w:firstLineChars="200"/>
        <w:rPr>
          <w:rFonts w:hAnsi="宋体"/>
          <w:bCs/>
          <w:color w:val="000000"/>
          <w:sz w:val="28"/>
          <w:szCs w:val="28"/>
        </w:rPr>
      </w:pPr>
      <w:r>
        <w:rPr>
          <w:rFonts w:hint="eastAsia"/>
          <w:color w:val="000000"/>
          <w:sz w:val="28"/>
          <w:szCs w:val="28"/>
        </w:rPr>
        <w:t>根据</w:t>
      </w:r>
      <w:r>
        <w:rPr>
          <w:rFonts w:hint="eastAsia"/>
          <w:color w:val="000000"/>
          <w:sz w:val="28"/>
          <w:szCs w:val="28"/>
          <w:lang w:val="en-US" w:eastAsia="zh-CN"/>
        </w:rPr>
        <w:t>开发利用方案及</w:t>
      </w:r>
      <w:r>
        <w:rPr>
          <w:rFonts w:hint="eastAsia"/>
          <w:color w:val="000000"/>
          <w:sz w:val="28"/>
          <w:szCs w:val="28"/>
        </w:rPr>
        <w:t>现场勘查了解，</w:t>
      </w:r>
      <w:r>
        <w:rPr>
          <w:rFonts w:hint="eastAsia"/>
          <w:color w:val="000000"/>
          <w:sz w:val="28"/>
          <w:szCs w:val="28"/>
          <w:lang w:val="en-US" w:eastAsia="zh-CN"/>
        </w:rPr>
        <w:t>破碎站沿用以往遗留的原破碎站、办公生活区沿用以往遗留办公生活区，</w:t>
      </w:r>
      <w:r>
        <w:rPr>
          <w:rFonts w:hAnsi="宋体"/>
          <w:bCs/>
          <w:color w:val="000000"/>
          <w:sz w:val="28"/>
          <w:szCs w:val="28"/>
        </w:rPr>
        <w:t>场地建设</w:t>
      </w:r>
      <w:r>
        <w:rPr>
          <w:rFonts w:hint="eastAsia" w:hAnsi="宋体"/>
          <w:bCs/>
          <w:color w:val="000000"/>
          <w:sz w:val="28"/>
          <w:szCs w:val="28"/>
        </w:rPr>
        <w:t>位置平坦，与周围地势一致，现状场地四周没有形成边坡，未来开采</w:t>
      </w:r>
      <w:r>
        <w:rPr>
          <w:rFonts w:hint="eastAsia"/>
          <w:color w:val="000000"/>
          <w:sz w:val="28"/>
          <w:szCs w:val="28"/>
          <w:lang w:val="en-US" w:eastAsia="zh-CN"/>
        </w:rPr>
        <w:t>破碎站、办公生活区</w:t>
      </w:r>
      <w:r>
        <w:rPr>
          <w:rFonts w:hAnsi="宋体"/>
          <w:bCs/>
          <w:color w:val="000000"/>
          <w:sz w:val="28"/>
          <w:szCs w:val="28"/>
        </w:rPr>
        <w:t>等场地</w:t>
      </w:r>
      <w:r>
        <w:rPr>
          <w:rFonts w:hint="eastAsia" w:hAnsi="宋体"/>
          <w:bCs/>
          <w:color w:val="000000"/>
          <w:sz w:val="28"/>
          <w:szCs w:val="28"/>
        </w:rPr>
        <w:t>将继续使用，不</w:t>
      </w:r>
      <w:r>
        <w:rPr>
          <w:rFonts w:hAnsi="宋体"/>
          <w:bCs/>
          <w:color w:val="000000"/>
          <w:sz w:val="28"/>
          <w:szCs w:val="28"/>
        </w:rPr>
        <w:t>会形成边坡</w:t>
      </w:r>
      <w:r>
        <w:rPr>
          <w:rFonts w:hint="eastAsia" w:hAnsi="宋体"/>
          <w:bCs/>
          <w:color w:val="000000"/>
          <w:sz w:val="28"/>
          <w:szCs w:val="28"/>
        </w:rPr>
        <w:t>，</w:t>
      </w:r>
      <w:r>
        <w:rPr>
          <w:rFonts w:hAnsi="宋体"/>
          <w:bCs/>
          <w:color w:val="000000"/>
          <w:sz w:val="28"/>
          <w:szCs w:val="28"/>
        </w:rPr>
        <w:t>因此，发生滑坡、崩塌的可能性小。</w:t>
      </w:r>
    </w:p>
    <w:p w14:paraId="53AFDCD4">
      <w:pPr>
        <w:shd w:val="solid" w:color="FFFFFF" w:fill="auto"/>
        <w:autoSpaceDN w:val="0"/>
        <w:spacing w:line="360" w:lineRule="auto"/>
        <w:ind w:firstLine="560" w:firstLineChars="200"/>
        <w:rPr>
          <w:rFonts w:hAnsi="宋体"/>
          <w:b w:val="0"/>
          <w:bCs/>
          <w:color w:val="000000"/>
          <w:sz w:val="28"/>
          <w:szCs w:val="28"/>
        </w:rPr>
      </w:pPr>
      <w:r>
        <w:rPr>
          <w:rFonts w:hint="eastAsia" w:hAnsi="宋体"/>
          <w:bCs/>
          <w:color w:val="000000"/>
          <w:sz w:val="28"/>
          <w:szCs w:val="28"/>
        </w:rPr>
        <w:t>预测</w:t>
      </w:r>
      <w:r>
        <w:rPr>
          <w:rFonts w:hAnsi="宋体"/>
          <w:bCs/>
          <w:color w:val="000000"/>
          <w:sz w:val="28"/>
          <w:szCs w:val="28"/>
        </w:rPr>
        <w:t>场地建设引发崩塌、滑坡的可能性小，地质</w:t>
      </w:r>
      <w:r>
        <w:rPr>
          <w:rFonts w:hAnsi="宋体"/>
          <w:b w:val="0"/>
          <w:bCs/>
          <w:color w:val="000000"/>
          <w:sz w:val="28"/>
          <w:szCs w:val="28"/>
        </w:rPr>
        <w:t>灾害的影响程度较轻。</w:t>
      </w:r>
    </w:p>
    <w:p w14:paraId="34CA5C81">
      <w:pPr>
        <w:pStyle w:val="19"/>
        <w:keepNext w:val="0"/>
        <w:keepLines w:val="0"/>
        <w:pageBreakBefore w:val="0"/>
        <w:widowControl w:val="0"/>
        <w:kinsoku/>
        <w:wordWrap/>
        <w:overflowPunct/>
        <w:topLinePunct w:val="0"/>
        <w:autoSpaceDE/>
        <w:bidi w:val="0"/>
        <w:adjustRightInd/>
        <w:snapToGrid/>
        <w:spacing w:line="360" w:lineRule="auto"/>
        <w:ind w:firstLine="560" w:firstLineChars="200"/>
        <w:textAlignment w:val="auto"/>
        <w:rPr>
          <w:rFonts w:ascii="Times New Roman" w:hAnsi="Times New Roman"/>
          <w:b w:val="0"/>
          <w:bCs w:val="0"/>
          <w:color w:val="000000"/>
          <w:sz w:val="28"/>
          <w:szCs w:val="28"/>
        </w:rPr>
      </w:pPr>
      <w:r>
        <w:rPr>
          <w:rFonts w:hint="eastAsia" w:ascii="Times New Roman" w:hAnsi="Times New Roman"/>
          <w:b w:val="0"/>
          <w:bCs w:val="0"/>
          <w:color w:val="000000"/>
          <w:sz w:val="28"/>
          <w:szCs w:val="28"/>
          <w:lang w:val="en-US" w:eastAsia="zh-CN"/>
        </w:rPr>
        <w:t>3</w:t>
      </w:r>
      <w:r>
        <w:rPr>
          <w:rFonts w:ascii="Times New Roman" w:hAnsi="Times New Roman"/>
          <w:b w:val="0"/>
          <w:bCs w:val="0"/>
          <w:color w:val="000000"/>
          <w:sz w:val="28"/>
          <w:szCs w:val="28"/>
        </w:rPr>
        <w:t>）矿山道路</w:t>
      </w:r>
      <w:r>
        <w:rPr>
          <w:b w:val="0"/>
          <w:bCs w:val="0"/>
          <w:color w:val="000000"/>
          <w:sz w:val="28"/>
          <w:szCs w:val="28"/>
        </w:rPr>
        <w:t>建设引发的地质灾害</w:t>
      </w:r>
      <w:r>
        <w:rPr>
          <w:b w:val="0"/>
          <w:bCs w:val="0"/>
          <w:sz w:val="28"/>
          <w:szCs w:val="28"/>
        </w:rPr>
        <w:t>预测</w:t>
      </w:r>
    </w:p>
    <w:p w14:paraId="4D253915">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bCs/>
          <w:color w:val="000000"/>
          <w:sz w:val="28"/>
          <w:szCs w:val="28"/>
        </w:rPr>
      </w:pPr>
      <w:r>
        <w:rPr>
          <w:bCs/>
          <w:color w:val="000000"/>
          <w:sz w:val="28"/>
          <w:szCs w:val="28"/>
        </w:rPr>
        <w:t>矿山建设修建的道路主要为开挖边坡形成的道路，因此主要为道路路堑边坡失稳。道路路堑边坡的稳定性主要与开采边坡高度、坡度和覆盖层厚度有关。</w:t>
      </w:r>
    </w:p>
    <w:p w14:paraId="6B70FC0F">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bCs/>
          <w:color w:val="000000"/>
          <w:sz w:val="28"/>
          <w:szCs w:val="28"/>
        </w:rPr>
      </w:pPr>
      <w:r>
        <w:rPr>
          <w:bCs/>
          <w:color w:val="000000"/>
          <w:sz w:val="28"/>
          <w:szCs w:val="28"/>
        </w:rPr>
        <w:t>覆盖层中最可能引起边坡失稳的岩土体类型为残坡积层，残坡积土层岩性为砖红壤、砂、砾砂等，厚度一般为0.5～2.5米。根据现状调查，由于矿区地形坡度平缓，设计道路边坡角一般都小于5°，边坡高度0～1米，稳定性较好，坡面植被覆盖良好，道路边坡失稳的可能性小，危害小，危险性小，道路路堑边坡失稳的危害对象为道路及过往运输石料的车辆。</w:t>
      </w:r>
    </w:p>
    <w:p w14:paraId="789A87EA">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b w:val="0"/>
          <w:bCs/>
          <w:color w:val="000000"/>
          <w:sz w:val="28"/>
          <w:szCs w:val="28"/>
        </w:rPr>
      </w:pPr>
      <w:r>
        <w:rPr>
          <w:b w:val="0"/>
          <w:bCs/>
          <w:color w:val="000000"/>
          <w:sz w:val="28"/>
          <w:szCs w:val="28"/>
        </w:rPr>
        <w:t>因此，预测</w:t>
      </w:r>
      <w:r>
        <w:rPr>
          <w:rFonts w:hint="eastAsia"/>
          <w:b w:val="0"/>
          <w:bCs/>
          <w:color w:val="000000"/>
          <w:sz w:val="28"/>
          <w:szCs w:val="28"/>
        </w:rPr>
        <w:t>矿山</w:t>
      </w:r>
      <w:r>
        <w:rPr>
          <w:b w:val="0"/>
          <w:bCs/>
          <w:color w:val="000000"/>
          <w:sz w:val="28"/>
          <w:szCs w:val="28"/>
        </w:rPr>
        <w:t>道路发生</w:t>
      </w:r>
      <w:r>
        <w:rPr>
          <w:rFonts w:hAnsi="宋体"/>
          <w:b w:val="0"/>
          <w:bCs/>
          <w:color w:val="000000"/>
          <w:sz w:val="28"/>
          <w:szCs w:val="28"/>
        </w:rPr>
        <w:t>崩塌、滑坡的可能性小，地质灾害的影响程度较轻。</w:t>
      </w:r>
    </w:p>
    <w:p w14:paraId="777FA2C9">
      <w:pPr>
        <w:widowControl w:val="0"/>
        <w:numPr>
          <w:ilvl w:val="0"/>
          <w:numId w:val="0"/>
        </w:numPr>
        <w:shd w:val="solid" w:color="FFFFFF" w:fill="auto"/>
        <w:autoSpaceDN w:val="0"/>
        <w:spacing w:line="360" w:lineRule="auto"/>
        <w:ind w:firstLine="560" w:firstLineChars="200"/>
        <w:jc w:val="both"/>
        <w:rPr>
          <w:rFonts w:hint="eastAsia" w:eastAsia="宋体"/>
          <w:b w:val="0"/>
          <w:bCs w:val="0"/>
          <w:color w:val="000000"/>
          <w:sz w:val="28"/>
          <w:szCs w:val="28"/>
          <w:lang w:val="en-US" w:eastAsia="zh-CN"/>
        </w:rPr>
      </w:pPr>
      <w:r>
        <w:rPr>
          <w:rFonts w:hint="eastAsia"/>
          <w:b w:val="0"/>
          <w:bCs w:val="0"/>
          <w:color w:val="000000"/>
          <w:sz w:val="28"/>
          <w:szCs w:val="28"/>
          <w:lang w:val="en-US" w:eastAsia="zh-CN"/>
        </w:rPr>
        <w:t>4</w:t>
      </w:r>
      <w:r>
        <w:rPr>
          <w:rFonts w:ascii="Times New Roman" w:hAnsi="Times New Roman"/>
          <w:b w:val="0"/>
          <w:bCs w:val="0"/>
          <w:color w:val="000000"/>
          <w:sz w:val="28"/>
          <w:szCs w:val="28"/>
        </w:rPr>
        <w:t>）</w:t>
      </w:r>
      <w:r>
        <w:rPr>
          <w:rFonts w:hint="eastAsia"/>
          <w:b w:val="0"/>
          <w:bCs w:val="0"/>
          <w:color w:val="000000"/>
          <w:sz w:val="28"/>
          <w:szCs w:val="28"/>
          <w:lang w:val="en-US" w:eastAsia="zh-CN"/>
        </w:rPr>
        <w:t>排土场</w:t>
      </w:r>
      <w:r>
        <w:rPr>
          <w:b w:val="0"/>
          <w:bCs w:val="0"/>
          <w:color w:val="000000"/>
          <w:sz w:val="28"/>
          <w:szCs w:val="28"/>
        </w:rPr>
        <w:t>建设引发的地质灾害</w:t>
      </w:r>
      <w:r>
        <w:rPr>
          <w:b w:val="0"/>
          <w:bCs w:val="0"/>
          <w:sz w:val="28"/>
          <w:szCs w:val="28"/>
        </w:rPr>
        <w:t>预测</w:t>
      </w:r>
    </w:p>
    <w:p w14:paraId="4F5F405B">
      <w:pPr>
        <w:keepNext w:val="0"/>
        <w:keepLines w:val="0"/>
        <w:pageBreakBefore w:val="0"/>
        <w:widowControl w:val="0"/>
        <w:kinsoku/>
        <w:wordWrap/>
        <w:overflowPunct/>
        <w:topLinePunct w:val="0"/>
        <w:autoSpaceDE/>
        <w:bidi w:val="0"/>
        <w:adjustRightInd/>
        <w:snapToGrid/>
        <w:spacing w:line="360" w:lineRule="auto"/>
        <w:ind w:firstLine="560" w:firstLineChars="200"/>
        <w:textAlignment w:val="auto"/>
        <w:rPr>
          <w:rFonts w:hint="eastAsia" w:ascii="宋体" w:hAnsi="宋体" w:cs="宋体"/>
          <w:sz w:val="28"/>
          <w:szCs w:val="28"/>
        </w:rPr>
      </w:pPr>
      <w:r>
        <w:rPr>
          <w:rFonts w:hint="eastAsia" w:ascii="宋体" w:hAnsi="宋体"/>
          <w:color w:val="000000"/>
          <w:sz w:val="28"/>
          <w:szCs w:val="28"/>
        </w:rPr>
        <w:t>排土场设置在矿区</w:t>
      </w:r>
      <w:r>
        <w:rPr>
          <w:rFonts w:hint="eastAsia" w:ascii="宋体" w:hAnsi="宋体"/>
          <w:sz w:val="28"/>
          <w:szCs w:val="28"/>
        </w:rPr>
        <w:t>3号拐点西南侧</w:t>
      </w:r>
      <w:r>
        <w:rPr>
          <w:rFonts w:hint="eastAsia"/>
          <w:sz w:val="28"/>
          <w:szCs w:val="28"/>
          <w:lang w:val="en-US" w:eastAsia="zh-CN"/>
        </w:rPr>
        <w:t>历史采坑二</w:t>
      </w:r>
      <w:r>
        <w:rPr>
          <w:rFonts w:hint="eastAsia" w:ascii="宋体" w:hAnsi="宋体"/>
          <w:sz w:val="28"/>
          <w:szCs w:val="28"/>
        </w:rPr>
        <w:t>，根据场地情况，</w:t>
      </w:r>
      <w:r>
        <w:rPr>
          <w:rFonts w:hint="eastAsia" w:ascii="宋体" w:hAnsi="宋体" w:cs="宋体"/>
          <w:sz w:val="28"/>
          <w:szCs w:val="28"/>
        </w:rPr>
        <w:t>采用</w:t>
      </w:r>
      <w:r>
        <w:rPr>
          <w:rFonts w:hint="eastAsia"/>
          <w:sz w:val="28"/>
          <w:szCs w:val="28"/>
        </w:rPr>
        <w:t>凹陷地形堆放</w:t>
      </w:r>
      <w:r>
        <w:rPr>
          <w:rFonts w:hint="eastAsia" w:ascii="宋体" w:hAnsi="宋体" w:cs="宋体"/>
          <w:sz w:val="28"/>
          <w:szCs w:val="28"/>
        </w:rPr>
        <w:t>方式堆填</w:t>
      </w:r>
      <w:r>
        <w:rPr>
          <w:rFonts w:hint="eastAsia"/>
          <w:sz w:val="28"/>
          <w:szCs w:val="28"/>
        </w:rPr>
        <w:t>，设计排土场堆土的顶部标高至约53-57m，堆放完成后形成北东平台（标高约57m）南西平台（标高约53m）两个堆填终了平台。堆填物为采矿剥离层（部分用于复垦绿化的风化残积土除外）</w:t>
      </w:r>
      <w:r>
        <w:rPr>
          <w:rFonts w:hint="eastAsia" w:ascii="宋体" w:hAnsi="宋体" w:cs="宋体"/>
          <w:sz w:val="28"/>
          <w:szCs w:val="28"/>
        </w:rPr>
        <w:t>。</w:t>
      </w:r>
    </w:p>
    <w:p w14:paraId="0F406DE1">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sz w:val="28"/>
          <w:szCs w:val="28"/>
          <w:lang w:val="en-US" w:eastAsia="zh-CN"/>
        </w:rPr>
      </w:pPr>
      <w:r>
        <w:rPr>
          <w:rFonts w:hint="eastAsia" w:ascii="宋体" w:hAnsi="宋体" w:cs="宋体"/>
          <w:sz w:val="28"/>
          <w:szCs w:val="28"/>
          <w:lang w:val="en-US" w:eastAsia="zh-CN"/>
        </w:rPr>
        <w:t>依据开发利用方案，排土场</w:t>
      </w:r>
      <w:r>
        <w:rPr>
          <w:rFonts w:hint="eastAsia" w:ascii="宋体" w:hAnsi="宋体" w:cs="宋体"/>
          <w:sz w:val="28"/>
          <w:szCs w:val="28"/>
        </w:rPr>
        <w:t>采用</w:t>
      </w:r>
      <w:r>
        <w:rPr>
          <w:rFonts w:hint="eastAsia"/>
          <w:sz w:val="28"/>
          <w:szCs w:val="28"/>
        </w:rPr>
        <w:t>凹陷地形堆放</w:t>
      </w:r>
      <w:r>
        <w:rPr>
          <w:rFonts w:hint="eastAsia" w:ascii="宋体" w:hAnsi="宋体" w:cs="宋体"/>
          <w:sz w:val="28"/>
          <w:szCs w:val="28"/>
        </w:rPr>
        <w:t>方式堆填</w:t>
      </w:r>
      <w:r>
        <w:rPr>
          <w:rFonts w:hint="eastAsia" w:ascii="宋体" w:hAnsi="宋体" w:cs="宋体"/>
          <w:sz w:val="28"/>
          <w:szCs w:val="28"/>
          <w:lang w:eastAsia="zh-CN"/>
        </w:rPr>
        <w:t>，</w:t>
      </w:r>
      <w:r>
        <w:rPr>
          <w:rFonts w:hint="eastAsia"/>
          <w:sz w:val="28"/>
          <w:szCs w:val="28"/>
        </w:rPr>
        <w:t>堆放完成后形成北东平台（标高约57m）</w:t>
      </w:r>
      <w:r>
        <w:rPr>
          <w:rFonts w:hint="eastAsia"/>
          <w:sz w:val="28"/>
          <w:szCs w:val="28"/>
          <w:lang w:eastAsia="zh-CN"/>
        </w:rPr>
        <w:t>，</w:t>
      </w:r>
      <w:r>
        <w:rPr>
          <w:rFonts w:hint="eastAsia"/>
          <w:sz w:val="28"/>
          <w:szCs w:val="28"/>
          <w:lang w:val="en-US" w:eastAsia="zh-CN"/>
        </w:rPr>
        <w:t>与排土场东北侧地形标高基本一致，</w:t>
      </w:r>
      <w:r>
        <w:rPr>
          <w:rFonts w:hint="eastAsia"/>
          <w:sz w:val="28"/>
          <w:szCs w:val="28"/>
        </w:rPr>
        <w:t>堆放完成后形成南西平台（标高约53m）</w:t>
      </w:r>
      <w:r>
        <w:rPr>
          <w:rFonts w:hint="eastAsia"/>
          <w:sz w:val="28"/>
          <w:szCs w:val="28"/>
          <w:lang w:eastAsia="zh-CN"/>
        </w:rPr>
        <w:t>，</w:t>
      </w:r>
      <w:r>
        <w:rPr>
          <w:rFonts w:hint="eastAsia"/>
          <w:sz w:val="28"/>
          <w:szCs w:val="28"/>
          <w:lang w:val="en-US" w:eastAsia="zh-CN"/>
        </w:rPr>
        <w:t>与排土场西南侧地形标高基本一致，不易形成崩塌滑坡泥石流等地质灾害。</w:t>
      </w:r>
    </w:p>
    <w:p w14:paraId="38DA45E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Ansi="宋体"/>
          <w:bCs/>
          <w:color w:val="000000"/>
          <w:sz w:val="28"/>
          <w:szCs w:val="28"/>
        </w:rPr>
      </w:pPr>
      <w:r>
        <w:rPr>
          <w:bCs/>
          <w:color w:val="000000"/>
          <w:sz w:val="28"/>
          <w:szCs w:val="28"/>
        </w:rPr>
        <w:t>因此，预测</w:t>
      </w:r>
      <w:r>
        <w:rPr>
          <w:rFonts w:hint="eastAsia"/>
          <w:bCs/>
          <w:color w:val="000000"/>
          <w:sz w:val="28"/>
          <w:szCs w:val="28"/>
          <w:lang w:val="en-US" w:eastAsia="zh-CN"/>
        </w:rPr>
        <w:t>排土场建设</w:t>
      </w:r>
      <w:r>
        <w:rPr>
          <w:bCs/>
          <w:color w:val="000000"/>
          <w:sz w:val="28"/>
          <w:szCs w:val="28"/>
        </w:rPr>
        <w:t>发生</w:t>
      </w:r>
      <w:r>
        <w:rPr>
          <w:rFonts w:hAnsi="宋体"/>
          <w:bCs/>
          <w:color w:val="000000"/>
          <w:sz w:val="28"/>
          <w:szCs w:val="28"/>
        </w:rPr>
        <w:t>崩塌、滑坡</w:t>
      </w:r>
      <w:r>
        <w:rPr>
          <w:rFonts w:hint="eastAsia" w:hAnsi="宋体"/>
          <w:bCs/>
          <w:color w:val="000000"/>
          <w:sz w:val="28"/>
          <w:szCs w:val="28"/>
          <w:lang w:eastAsia="zh-CN"/>
        </w:rPr>
        <w:t>、</w:t>
      </w:r>
      <w:r>
        <w:rPr>
          <w:rFonts w:hint="eastAsia" w:hAnsi="宋体"/>
          <w:bCs/>
          <w:color w:val="000000"/>
          <w:sz w:val="28"/>
          <w:szCs w:val="28"/>
          <w:lang w:val="en-US" w:eastAsia="zh-CN"/>
        </w:rPr>
        <w:t>泥石流</w:t>
      </w:r>
      <w:r>
        <w:rPr>
          <w:rFonts w:hAnsi="宋体"/>
          <w:bCs/>
          <w:color w:val="000000"/>
          <w:sz w:val="28"/>
          <w:szCs w:val="28"/>
        </w:rPr>
        <w:t>的可能性小，地质灾害的影响程度</w:t>
      </w:r>
      <w:r>
        <w:rPr>
          <w:rFonts w:hAnsi="宋体"/>
          <w:b w:val="0"/>
          <w:bCs w:val="0"/>
          <w:color w:val="000000"/>
          <w:sz w:val="28"/>
          <w:szCs w:val="28"/>
        </w:rPr>
        <w:t>较轻。</w:t>
      </w:r>
    </w:p>
    <w:p w14:paraId="6DF13AD3">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s="宋体"/>
          <w:b w:val="0"/>
          <w:bCs/>
          <w:sz w:val="28"/>
          <w:szCs w:val="28"/>
        </w:rPr>
      </w:pPr>
      <w:r>
        <w:rPr>
          <w:rFonts w:hint="eastAsia" w:ascii="Times New Roman" w:hAnsi="Times New Roman" w:eastAsia="宋体" w:cs="宋体"/>
          <w:b w:val="0"/>
          <w:bCs/>
          <w:sz w:val="28"/>
          <w:szCs w:val="28"/>
          <w:lang w:val="en-US" w:eastAsia="zh-CN" w:bidi="ar-SA"/>
        </w:rPr>
        <w:t>5）</w:t>
      </w:r>
      <w:r>
        <w:rPr>
          <w:rFonts w:hint="eastAsia" w:cs="宋体"/>
          <w:b w:val="0"/>
          <w:bCs/>
          <w:sz w:val="28"/>
          <w:szCs w:val="28"/>
        </w:rPr>
        <w:t>复垦用土</w:t>
      </w:r>
      <w:r>
        <w:rPr>
          <w:rFonts w:cs="宋体"/>
          <w:b w:val="0"/>
          <w:bCs/>
          <w:sz w:val="28"/>
          <w:szCs w:val="28"/>
        </w:rPr>
        <w:t>临时</w:t>
      </w:r>
      <w:r>
        <w:rPr>
          <w:rFonts w:hint="eastAsia" w:cs="宋体"/>
          <w:b w:val="0"/>
          <w:bCs/>
          <w:sz w:val="28"/>
          <w:szCs w:val="28"/>
        </w:rPr>
        <w:t>堆场</w:t>
      </w:r>
      <w:r>
        <w:rPr>
          <w:b w:val="0"/>
          <w:bCs/>
          <w:color w:val="000000"/>
          <w:sz w:val="28"/>
          <w:szCs w:val="28"/>
        </w:rPr>
        <w:t>建设引发的地质灾害</w:t>
      </w:r>
      <w:r>
        <w:rPr>
          <w:b w:val="0"/>
          <w:bCs/>
          <w:sz w:val="28"/>
          <w:szCs w:val="28"/>
        </w:rPr>
        <w:t>预测</w:t>
      </w:r>
    </w:p>
    <w:p w14:paraId="6B15A017">
      <w:pPr>
        <w:keepNext w:val="0"/>
        <w:keepLines w:val="0"/>
        <w:pageBreakBefore w:val="0"/>
        <w:widowControl w:val="0"/>
        <w:kinsoku/>
        <w:wordWrap/>
        <w:overflowPunct/>
        <w:topLinePunct w:val="0"/>
        <w:autoSpaceDE/>
        <w:bidi w:val="0"/>
        <w:adjustRightInd/>
        <w:snapToGrid/>
        <w:spacing w:line="360" w:lineRule="auto"/>
        <w:ind w:firstLine="560" w:firstLineChars="200"/>
        <w:textAlignment w:val="auto"/>
        <w:rPr>
          <w:rFonts w:hint="eastAsia"/>
          <w:color w:val="000000"/>
          <w:sz w:val="28"/>
          <w:szCs w:val="28"/>
        </w:rPr>
      </w:pPr>
      <w:r>
        <w:rPr>
          <w:rFonts w:hint="eastAsia" w:ascii="宋体" w:hAnsi="宋体"/>
          <w:sz w:val="28"/>
          <w:szCs w:val="28"/>
        </w:rPr>
        <w:t>复垦用土临时堆场设置于矿区南侧、破碎站北侧，地势平坦，设计最大堆放场地面积约</w:t>
      </w:r>
      <w:r>
        <w:rPr>
          <w:rFonts w:ascii="宋体" w:hAnsi="宋体"/>
          <w:sz w:val="28"/>
          <w:szCs w:val="28"/>
        </w:rPr>
        <w:t>14921</w:t>
      </w:r>
      <w:r>
        <w:rPr>
          <w:rFonts w:hint="eastAsia" w:ascii="宋体" w:hAnsi="宋体"/>
          <w:sz w:val="28"/>
          <w:szCs w:val="28"/>
        </w:rPr>
        <w:t>m</w:t>
      </w:r>
      <w:r>
        <w:rPr>
          <w:rFonts w:hint="eastAsia" w:ascii="宋体" w:hAnsi="宋体"/>
          <w:sz w:val="28"/>
          <w:szCs w:val="28"/>
          <w:vertAlign w:val="superscript"/>
        </w:rPr>
        <w:t>2</w:t>
      </w:r>
      <w:r>
        <w:rPr>
          <w:rFonts w:hint="eastAsia" w:ascii="宋体" w:hAnsi="宋体" w:cs="宋体"/>
          <w:sz w:val="28"/>
          <w:szCs w:val="28"/>
        </w:rPr>
        <w:t>（包括料堆面积、汽车装运场地、拦挡设施及截排水设施）</w:t>
      </w:r>
      <w:r>
        <w:rPr>
          <w:rFonts w:hint="eastAsia" w:ascii="宋体" w:hAnsi="宋体"/>
          <w:sz w:val="28"/>
          <w:szCs w:val="28"/>
        </w:rPr>
        <w:t>，</w:t>
      </w:r>
      <w:r>
        <w:rPr>
          <w:rFonts w:hint="eastAsia" w:ascii="宋体" w:hAnsi="宋体" w:cs="宋体"/>
          <w:sz w:val="28"/>
          <w:szCs w:val="28"/>
        </w:rPr>
        <w:t>场地平整后的标高为</w:t>
      </w:r>
      <w:r>
        <w:rPr>
          <w:rFonts w:hint="eastAsia" w:ascii="宋体" w:hAnsi="宋体"/>
          <w:sz w:val="28"/>
          <w:szCs w:val="28"/>
        </w:rPr>
        <w:t>5</w:t>
      </w:r>
      <w:r>
        <w:rPr>
          <w:rFonts w:ascii="宋体" w:hAnsi="宋体"/>
          <w:sz w:val="28"/>
          <w:szCs w:val="28"/>
        </w:rPr>
        <w:t>9</w:t>
      </w:r>
      <w:r>
        <w:rPr>
          <w:rFonts w:hint="eastAsia" w:ascii="宋体" w:hAnsi="宋体"/>
          <w:sz w:val="28"/>
          <w:szCs w:val="28"/>
        </w:rPr>
        <w:t>m。</w:t>
      </w:r>
      <w:r>
        <w:rPr>
          <w:rFonts w:hint="eastAsia"/>
          <w:sz w:val="28"/>
          <w:szCs w:val="28"/>
        </w:rPr>
        <w:t>设计堆放高度不超过10</w:t>
      </w:r>
      <w:r>
        <w:rPr>
          <w:sz w:val="28"/>
          <w:szCs w:val="28"/>
        </w:rPr>
        <w:t>m</w:t>
      </w:r>
      <w:r>
        <w:rPr>
          <w:rFonts w:hint="eastAsia"/>
          <w:sz w:val="28"/>
          <w:szCs w:val="28"/>
        </w:rPr>
        <w:t>，堆放坡面角不大于45°</w:t>
      </w:r>
      <w:r>
        <w:rPr>
          <w:rFonts w:hint="eastAsia"/>
          <w:sz w:val="28"/>
          <w:szCs w:val="28"/>
          <w:lang w:eastAsia="zh-CN"/>
        </w:rPr>
        <w:t>，</w:t>
      </w:r>
      <w:r>
        <w:rPr>
          <w:rFonts w:hint="eastAsia"/>
          <w:sz w:val="28"/>
          <w:szCs w:val="28"/>
        </w:rPr>
        <w:t>顶部为平顶、面积约1500 m</w:t>
      </w:r>
      <w:r>
        <w:rPr>
          <w:rFonts w:hint="eastAsia"/>
          <w:sz w:val="28"/>
          <w:szCs w:val="28"/>
          <w:vertAlign w:val="superscript"/>
        </w:rPr>
        <w:t>2</w:t>
      </w:r>
      <w:r>
        <w:rPr>
          <w:rFonts w:hint="eastAsia"/>
          <w:sz w:val="28"/>
          <w:szCs w:val="28"/>
        </w:rPr>
        <w:t>，采用截锥体公式计算得最大可暂存剥离土约</w:t>
      </w:r>
      <w:r>
        <w:rPr>
          <w:sz w:val="28"/>
          <w:szCs w:val="28"/>
        </w:rPr>
        <w:t>5.4</w:t>
      </w:r>
      <w:r>
        <w:rPr>
          <w:rFonts w:hint="eastAsia"/>
          <w:sz w:val="28"/>
          <w:szCs w:val="28"/>
        </w:rPr>
        <w:t>5万m</w:t>
      </w:r>
      <w:r>
        <w:rPr>
          <w:rFonts w:hint="eastAsia"/>
          <w:sz w:val="28"/>
          <w:szCs w:val="28"/>
          <w:vertAlign w:val="superscript"/>
        </w:rPr>
        <w:t>3</w:t>
      </w:r>
      <w:r>
        <w:rPr>
          <w:rFonts w:hint="eastAsia"/>
          <w:sz w:val="28"/>
          <w:szCs w:val="28"/>
        </w:rPr>
        <w:t>，</w:t>
      </w:r>
      <w:r>
        <w:rPr>
          <w:rFonts w:hint="eastAsia" w:ascii="宋体" w:hAnsi="宋体"/>
          <w:sz w:val="28"/>
          <w:szCs w:val="28"/>
        </w:rPr>
        <w:t>能够满</w:t>
      </w:r>
      <w:r>
        <w:rPr>
          <w:rFonts w:hint="eastAsia"/>
          <w:sz w:val="28"/>
          <w:szCs w:val="28"/>
        </w:rPr>
        <w:t>足矿山所需复垦用土量5.4 m</w:t>
      </w:r>
      <w:r>
        <w:rPr>
          <w:rFonts w:hint="eastAsia"/>
          <w:sz w:val="28"/>
          <w:szCs w:val="28"/>
          <w:vertAlign w:val="superscript"/>
        </w:rPr>
        <w:t>3</w:t>
      </w:r>
      <w:r>
        <w:rPr>
          <w:rFonts w:hint="eastAsia"/>
          <w:sz w:val="28"/>
          <w:szCs w:val="28"/>
        </w:rPr>
        <w:t>的暂存要求。</w:t>
      </w:r>
    </w:p>
    <w:p w14:paraId="2E2325A6">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lang w:val="en-GB"/>
        </w:rPr>
      </w:pPr>
      <w:r>
        <w:rPr>
          <w:color w:val="000000"/>
          <w:sz w:val="28"/>
          <w:szCs w:val="28"/>
        </w:rPr>
        <w:t>预测</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如截排水设施及拦截设施没有充分做好可能引发泥石流，现对泥石流预测评估如下。</w:t>
      </w:r>
    </w:p>
    <w:p w14:paraId="10E92E07">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1）泥石流形成的条件</w:t>
      </w:r>
    </w:p>
    <w:p w14:paraId="0ABAC573">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color w:val="000000"/>
          <w:sz w:val="28"/>
          <w:szCs w:val="28"/>
        </w:rPr>
      </w:pPr>
      <w:r>
        <w:rPr>
          <w:color w:val="000000"/>
          <w:sz w:val="28"/>
          <w:szCs w:val="28"/>
        </w:rPr>
        <w:t>地形地貌条件：</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位于</w:t>
      </w:r>
      <w:r>
        <w:rPr>
          <w:rFonts w:hint="eastAsia"/>
          <w:color w:val="000000"/>
          <w:sz w:val="28"/>
          <w:szCs w:val="28"/>
          <w:lang w:val="en-US" w:eastAsia="zh-CN"/>
        </w:rPr>
        <w:t>破碎站</w:t>
      </w:r>
      <w:r>
        <w:rPr>
          <w:rFonts w:hint="eastAsia"/>
          <w:color w:val="000000"/>
          <w:sz w:val="28"/>
          <w:szCs w:val="28"/>
        </w:rPr>
        <w:t>北侧平缓地带</w:t>
      </w:r>
      <w:r>
        <w:rPr>
          <w:color w:val="000000"/>
          <w:sz w:val="28"/>
          <w:szCs w:val="28"/>
        </w:rPr>
        <w:t>，其平均坡降比</w:t>
      </w:r>
      <w:r>
        <w:rPr>
          <w:rFonts w:hint="eastAsia"/>
          <w:color w:val="000000"/>
          <w:sz w:val="28"/>
          <w:szCs w:val="28"/>
        </w:rPr>
        <w:t>小于</w:t>
      </w:r>
      <w:r>
        <w:rPr>
          <w:color w:val="000000"/>
          <w:kern w:val="0"/>
          <w:sz w:val="28"/>
          <w:szCs w:val="28"/>
        </w:rPr>
        <w:t>＜</w:t>
      </w:r>
      <w:r>
        <w:rPr>
          <w:rFonts w:hint="eastAsia"/>
          <w:color w:val="000000"/>
          <w:kern w:val="0"/>
          <w:sz w:val="28"/>
          <w:szCs w:val="28"/>
        </w:rPr>
        <w:t>5</w:t>
      </w:r>
      <w:r>
        <w:rPr>
          <w:color w:val="000000"/>
          <w:sz w:val="28"/>
          <w:szCs w:val="28"/>
        </w:rPr>
        <w:t>%。沟床纵坡降越大，越有利于泥石流的发生，但比降在10～30%的发生频率较高，5～10%和30～40%的其次，其余发生频率较低。据此，</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所处区域，坡降比属于发生频率</w:t>
      </w:r>
      <w:r>
        <w:rPr>
          <w:rFonts w:hint="eastAsia"/>
          <w:color w:val="000000"/>
          <w:sz w:val="28"/>
          <w:szCs w:val="28"/>
        </w:rPr>
        <w:t>较低</w:t>
      </w:r>
      <w:r>
        <w:rPr>
          <w:color w:val="000000"/>
          <w:sz w:val="28"/>
          <w:szCs w:val="28"/>
        </w:rPr>
        <w:t>区间。</w:t>
      </w:r>
    </w:p>
    <w:p w14:paraId="0A47D265">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水动力条件：矿区</w:t>
      </w:r>
      <w:r>
        <w:rPr>
          <w:rFonts w:hAnsi="宋体"/>
          <w:bCs/>
          <w:color w:val="000000"/>
          <w:sz w:val="28"/>
          <w:szCs w:val="28"/>
          <w:shd w:val="clear" w:color="auto" w:fill="FFFFFF"/>
        </w:rPr>
        <w:t>属热带季风湿润气候区</w:t>
      </w:r>
      <w:r>
        <w:rPr>
          <w:color w:val="000000"/>
          <w:sz w:val="28"/>
          <w:szCs w:val="28"/>
        </w:rPr>
        <w:t>，当地雨水充沛，多年平均降雨量约</w:t>
      </w:r>
      <w:r>
        <w:rPr>
          <w:rFonts w:hAnsi="宋体"/>
          <w:bCs/>
          <w:color w:val="000000"/>
          <w:sz w:val="28"/>
          <w:szCs w:val="28"/>
          <w:shd w:val="clear" w:color="auto" w:fill="FFFFFF"/>
        </w:rPr>
        <w:t>1711.6毫米</w:t>
      </w:r>
      <w:r>
        <w:rPr>
          <w:color w:val="000000"/>
          <w:sz w:val="28"/>
          <w:szCs w:val="28"/>
        </w:rPr>
        <w:t>，日最大降雨量</w:t>
      </w:r>
      <w:r>
        <w:rPr>
          <w:bCs/>
          <w:color w:val="000000"/>
          <w:sz w:val="28"/>
          <w:szCs w:val="28"/>
        </w:rPr>
        <w:t>300.1毫米</w:t>
      </w:r>
      <w:r>
        <w:rPr>
          <w:color w:val="000000"/>
          <w:sz w:val="28"/>
          <w:szCs w:val="28"/>
        </w:rPr>
        <w:t>，区域径流系数为</w:t>
      </w:r>
      <w:r>
        <w:rPr>
          <w:bCs/>
          <w:color w:val="000000"/>
          <w:sz w:val="28"/>
          <w:szCs w:val="28"/>
        </w:rPr>
        <w:t>0.7</w:t>
      </w:r>
      <w:r>
        <w:rPr>
          <w:color w:val="000000"/>
          <w:sz w:val="28"/>
          <w:szCs w:val="28"/>
        </w:rPr>
        <w:t>，最大汇水面积为</w:t>
      </w:r>
      <w:r>
        <w:rPr>
          <w:rFonts w:hint="eastAsia"/>
          <w:color w:val="000000"/>
          <w:sz w:val="28"/>
          <w:szCs w:val="28"/>
          <w:highlight w:val="none"/>
          <w:lang w:val="en-US" w:eastAsia="zh-CN"/>
        </w:rPr>
        <w:t>27124</w:t>
      </w:r>
      <w:r>
        <w:rPr>
          <w:rFonts w:hint="eastAsia"/>
          <w:color w:val="000000"/>
          <w:sz w:val="28"/>
          <w:szCs w:val="28"/>
        </w:rPr>
        <w:t>平方米</w:t>
      </w:r>
      <w:r>
        <w:rPr>
          <w:color w:val="000000"/>
          <w:sz w:val="28"/>
          <w:szCs w:val="28"/>
        </w:rPr>
        <w:t>，日最大汇水量</w:t>
      </w:r>
      <w:r>
        <w:rPr>
          <w:rFonts w:hint="eastAsia"/>
          <w:bCs/>
          <w:color w:val="000000"/>
          <w:sz w:val="28"/>
          <w:szCs w:val="28"/>
          <w:highlight w:val="none"/>
          <w:lang w:val="en-US" w:eastAsia="zh-CN"/>
        </w:rPr>
        <w:t>5698</w:t>
      </w:r>
      <w:r>
        <w:rPr>
          <w:rFonts w:hint="eastAsia"/>
          <w:color w:val="000000"/>
          <w:sz w:val="28"/>
          <w:szCs w:val="28"/>
        </w:rPr>
        <w:t>立方米</w:t>
      </w:r>
      <w:r>
        <w:rPr>
          <w:color w:val="000000"/>
          <w:sz w:val="28"/>
          <w:szCs w:val="28"/>
        </w:rPr>
        <w:t>（计算方法见下）：</w:t>
      </w:r>
    </w:p>
    <w:p w14:paraId="06BB65C0">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涌水来自大气降水和地下水，而地下水的补给全部来自大气降水，因此，计算</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涌水量时只计算大气降水。</w:t>
      </w:r>
    </w:p>
    <w:p w14:paraId="0F92AFFF">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预测</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涌水量为主要表现为大气降雨，汇水面积按雨水可能进入场内的地表分水岭圈定，</w:t>
      </w:r>
      <w:r>
        <w:rPr>
          <w:color w:val="000000"/>
          <w:sz w:val="28"/>
          <w:szCs w:val="28"/>
          <w:highlight w:val="none"/>
        </w:rPr>
        <w:t>在地形图测定面积为</w:t>
      </w:r>
      <w:r>
        <w:rPr>
          <w:rFonts w:hint="eastAsia"/>
          <w:color w:val="000000"/>
          <w:sz w:val="28"/>
          <w:szCs w:val="28"/>
          <w:highlight w:val="none"/>
          <w:lang w:val="en-US" w:eastAsia="zh-CN"/>
        </w:rPr>
        <w:t>27124</w:t>
      </w:r>
      <w:r>
        <w:rPr>
          <w:rFonts w:hint="eastAsia"/>
          <w:color w:val="000000"/>
          <w:sz w:val="28"/>
          <w:szCs w:val="28"/>
          <w:highlight w:val="none"/>
        </w:rPr>
        <w:t>平方米</w:t>
      </w:r>
      <w:r>
        <w:rPr>
          <w:color w:val="000000"/>
          <w:sz w:val="28"/>
          <w:szCs w:val="28"/>
          <w:highlight w:val="none"/>
        </w:rPr>
        <w:t>。</w:t>
      </w:r>
    </w:p>
    <w:p w14:paraId="6D065E67">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矿山自然降雨对</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涌水量影响较大，由于大气降雨，具有突发性，持续时间较短的特点，按日最大降雨量</w:t>
      </w:r>
      <w:r>
        <w:rPr>
          <w:bCs/>
          <w:color w:val="000000"/>
          <w:sz w:val="28"/>
          <w:szCs w:val="28"/>
        </w:rPr>
        <w:t>300.1毫米</w:t>
      </w:r>
      <w:r>
        <w:rPr>
          <w:color w:val="000000"/>
          <w:sz w:val="28"/>
          <w:szCs w:val="28"/>
        </w:rPr>
        <w:t>测算，</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涌水量可按下式计算：</w:t>
      </w:r>
    </w:p>
    <w:p w14:paraId="5B079AEF">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i/>
          <w:color w:val="000000"/>
          <w:sz w:val="28"/>
          <w:szCs w:val="28"/>
        </w:rPr>
        <w:t>Q</w:t>
      </w:r>
      <w:r>
        <w:rPr>
          <w:color w:val="000000"/>
          <w:sz w:val="28"/>
          <w:szCs w:val="28"/>
          <w:vertAlign w:val="subscript"/>
        </w:rPr>
        <w:t>降</w:t>
      </w:r>
      <w:r>
        <w:rPr>
          <w:color w:val="000000"/>
          <w:sz w:val="28"/>
          <w:szCs w:val="28"/>
        </w:rPr>
        <w:t>=</w:t>
      </w:r>
      <w:r>
        <w:rPr>
          <w:i/>
          <w:color w:val="000000"/>
          <w:sz w:val="28"/>
          <w:szCs w:val="28"/>
        </w:rPr>
        <w:t>F·u·k</w:t>
      </w:r>
      <w:r>
        <w:rPr>
          <w:color w:val="000000"/>
          <w:sz w:val="28"/>
          <w:szCs w:val="28"/>
        </w:rPr>
        <w:t>/1000</w:t>
      </w:r>
    </w:p>
    <w:p w14:paraId="0C958D4F">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式中：</w:t>
      </w:r>
    </w:p>
    <w:p w14:paraId="21C3672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i/>
          <w:color w:val="000000"/>
          <w:sz w:val="28"/>
          <w:szCs w:val="28"/>
        </w:rPr>
        <w:t>Q</w:t>
      </w:r>
      <w:r>
        <w:rPr>
          <w:color w:val="000000"/>
          <w:sz w:val="28"/>
          <w:szCs w:val="28"/>
          <w:vertAlign w:val="subscript"/>
        </w:rPr>
        <w:t>降</w:t>
      </w:r>
      <w:r>
        <w:rPr>
          <w:color w:val="000000"/>
          <w:sz w:val="28"/>
          <w:szCs w:val="28"/>
        </w:rPr>
        <w:t>……降雨直接汇入</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的水量（</w:t>
      </w:r>
      <w:r>
        <w:rPr>
          <w:rFonts w:hint="eastAsia"/>
          <w:color w:val="000000"/>
          <w:sz w:val="28"/>
          <w:szCs w:val="28"/>
        </w:rPr>
        <w:t>立方米</w:t>
      </w:r>
      <w:r>
        <w:rPr>
          <w:color w:val="000000"/>
          <w:sz w:val="28"/>
          <w:szCs w:val="28"/>
        </w:rPr>
        <w:t>/d）；</w:t>
      </w:r>
    </w:p>
    <w:p w14:paraId="34CA922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F……</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汇水面积（</w:t>
      </w:r>
      <w:r>
        <w:rPr>
          <w:rFonts w:hint="eastAsia"/>
          <w:color w:val="000000"/>
          <w:sz w:val="28"/>
          <w:szCs w:val="28"/>
        </w:rPr>
        <w:t>平方米</w:t>
      </w:r>
      <w:r>
        <w:rPr>
          <w:color w:val="000000"/>
          <w:sz w:val="28"/>
          <w:szCs w:val="28"/>
        </w:rPr>
        <w:t>），其圈定按雨水可能进入场内的地表分水岭圈定；</w:t>
      </w:r>
    </w:p>
    <w:p w14:paraId="592BD931">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μ……日最大降雨量（</w:t>
      </w:r>
      <w:r>
        <w:rPr>
          <w:rFonts w:hint="eastAsia"/>
          <w:color w:val="000000"/>
          <w:sz w:val="28"/>
          <w:szCs w:val="28"/>
        </w:rPr>
        <w:t>毫米</w:t>
      </w:r>
      <w:r>
        <w:rPr>
          <w:color w:val="000000"/>
          <w:sz w:val="28"/>
          <w:szCs w:val="28"/>
        </w:rPr>
        <w:t>/d），</w:t>
      </w:r>
      <w:r>
        <w:rPr>
          <w:bCs/>
          <w:color w:val="000000"/>
          <w:sz w:val="28"/>
          <w:szCs w:val="28"/>
        </w:rPr>
        <w:t>300.1毫米</w:t>
      </w:r>
      <w:r>
        <w:rPr>
          <w:color w:val="000000"/>
          <w:sz w:val="28"/>
          <w:szCs w:val="28"/>
        </w:rPr>
        <w:t xml:space="preserve">； </w:t>
      </w:r>
    </w:p>
    <w:p w14:paraId="3C10365A">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i/>
          <w:color w:val="000000"/>
          <w:sz w:val="28"/>
          <w:szCs w:val="28"/>
        </w:rPr>
        <w:t>k</w:t>
      </w:r>
      <w:r>
        <w:rPr>
          <w:color w:val="000000"/>
          <w:sz w:val="28"/>
          <w:szCs w:val="28"/>
        </w:rPr>
        <w:t>……区域径流系数为0.</w:t>
      </w:r>
      <w:r>
        <w:rPr>
          <w:rFonts w:hint="eastAsia"/>
          <w:color w:val="000000"/>
          <w:sz w:val="28"/>
          <w:szCs w:val="28"/>
        </w:rPr>
        <w:t>7</w:t>
      </w:r>
      <w:r>
        <w:rPr>
          <w:color w:val="000000"/>
          <w:sz w:val="28"/>
          <w:szCs w:val="28"/>
        </w:rPr>
        <w:t>。</w:t>
      </w:r>
    </w:p>
    <w:p w14:paraId="3847317B">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bCs/>
          <w:color w:val="000000"/>
          <w:sz w:val="28"/>
          <w:szCs w:val="28"/>
        </w:rPr>
      </w:pPr>
      <w:r>
        <w:rPr>
          <w:bCs/>
          <w:color w:val="000000"/>
          <w:sz w:val="28"/>
          <w:szCs w:val="28"/>
        </w:rPr>
        <w:t>最大降雨计算的</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日最大汇水量</w:t>
      </w:r>
      <w:r>
        <w:rPr>
          <w:bCs/>
          <w:color w:val="000000"/>
          <w:sz w:val="28"/>
          <w:szCs w:val="28"/>
        </w:rPr>
        <w:t>为：</w:t>
      </w:r>
    </w:p>
    <w:p w14:paraId="518BA35E">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bCs/>
          <w:color w:val="000000"/>
          <w:sz w:val="28"/>
          <w:szCs w:val="28"/>
        </w:rPr>
      </w:pPr>
      <w:r>
        <w:rPr>
          <w:bCs/>
          <w:color w:val="000000"/>
          <w:sz w:val="28"/>
          <w:szCs w:val="28"/>
        </w:rPr>
        <w:t>Q</w:t>
      </w:r>
      <w:r>
        <w:rPr>
          <w:bCs/>
          <w:color w:val="000000"/>
          <w:sz w:val="28"/>
          <w:szCs w:val="28"/>
          <w:vertAlign w:val="subscript"/>
        </w:rPr>
        <w:t>最大</w:t>
      </w:r>
      <w:r>
        <w:rPr>
          <w:bCs/>
          <w:color w:val="000000"/>
          <w:sz w:val="28"/>
          <w:szCs w:val="28"/>
        </w:rPr>
        <w:t>=</w:t>
      </w:r>
      <w:r>
        <w:rPr>
          <w:rFonts w:hint="eastAsia"/>
          <w:color w:val="000000"/>
          <w:sz w:val="28"/>
          <w:szCs w:val="28"/>
          <w:lang w:val="en-US" w:eastAsia="zh-CN"/>
        </w:rPr>
        <w:t>27124</w:t>
      </w:r>
      <w:r>
        <w:rPr>
          <w:bCs/>
          <w:color w:val="000000"/>
          <w:sz w:val="28"/>
          <w:szCs w:val="28"/>
        </w:rPr>
        <w:t>×</w:t>
      </w:r>
      <w:r>
        <w:rPr>
          <w:rFonts w:hint="eastAsia"/>
          <w:color w:val="000000"/>
          <w:sz w:val="28"/>
          <w:szCs w:val="28"/>
        </w:rPr>
        <w:t>300.1</w:t>
      </w:r>
      <w:r>
        <w:rPr>
          <w:bCs/>
          <w:color w:val="000000"/>
          <w:sz w:val="28"/>
          <w:szCs w:val="28"/>
        </w:rPr>
        <w:t>×10</w:t>
      </w:r>
      <w:r>
        <w:rPr>
          <w:bCs/>
          <w:color w:val="000000"/>
          <w:sz w:val="28"/>
          <w:szCs w:val="28"/>
          <w:vertAlign w:val="superscript"/>
        </w:rPr>
        <w:t>-3</w:t>
      </w:r>
      <w:r>
        <w:rPr>
          <w:bCs/>
          <w:color w:val="000000"/>
          <w:sz w:val="28"/>
          <w:szCs w:val="28"/>
        </w:rPr>
        <w:t xml:space="preserve"> ×0.</w:t>
      </w:r>
      <w:r>
        <w:rPr>
          <w:rFonts w:hint="eastAsia"/>
          <w:bCs/>
          <w:color w:val="000000"/>
          <w:sz w:val="28"/>
          <w:szCs w:val="28"/>
        </w:rPr>
        <w:t>7</w:t>
      </w:r>
      <w:r>
        <w:rPr>
          <w:bCs/>
          <w:color w:val="000000"/>
          <w:sz w:val="28"/>
          <w:szCs w:val="28"/>
        </w:rPr>
        <w:t>=</w:t>
      </w:r>
      <w:r>
        <w:rPr>
          <w:rFonts w:hint="eastAsia"/>
          <w:bCs/>
          <w:color w:val="000000"/>
          <w:sz w:val="28"/>
          <w:szCs w:val="28"/>
          <w:lang w:val="en-US" w:eastAsia="zh-CN"/>
        </w:rPr>
        <w:t>5698</w:t>
      </w:r>
      <w:r>
        <w:rPr>
          <w:bCs/>
          <w:color w:val="000000"/>
          <w:sz w:val="28"/>
          <w:szCs w:val="28"/>
        </w:rPr>
        <w:t>(</w:t>
      </w:r>
      <w:r>
        <w:rPr>
          <w:rFonts w:hint="eastAsia"/>
          <w:bCs/>
          <w:color w:val="000000"/>
          <w:sz w:val="28"/>
          <w:szCs w:val="28"/>
        </w:rPr>
        <w:t>立方米</w:t>
      </w:r>
      <w:r>
        <w:rPr>
          <w:bCs/>
          <w:color w:val="000000"/>
          <w:sz w:val="28"/>
          <w:szCs w:val="28"/>
        </w:rPr>
        <w:t>/d)</w:t>
      </w:r>
    </w:p>
    <w:p w14:paraId="469523E4">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因此，构成短时间内可以聚集突然性大量水源的条件。</w:t>
      </w:r>
    </w:p>
    <w:p w14:paraId="270FD199">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物源条件：</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主要是用来堆置开采过程中剥离的残坡积土及少量废石渣，其结构松散，土体遇强降雨条件下易被饱和稀释后形成洪流。</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堆场内固体排弃物，可以成为泥石流的物源。</w:t>
      </w:r>
    </w:p>
    <w:p w14:paraId="1B576B4F">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lang w:val="en-GB"/>
        </w:rPr>
      </w:pPr>
      <w:r>
        <w:rPr>
          <w:color w:val="000000"/>
          <w:sz w:val="28"/>
          <w:szCs w:val="28"/>
        </w:rPr>
        <w:t>因此，若矿方严格按照方案设计，设置截排水系统，管理好</w:t>
      </w:r>
      <w:r>
        <w:rPr>
          <w:rFonts w:hint="eastAsia"/>
          <w:color w:val="000000"/>
          <w:sz w:val="28"/>
          <w:szCs w:val="28"/>
        </w:rPr>
        <w:t>拟设复垦用土</w:t>
      </w:r>
      <w:r>
        <w:rPr>
          <w:color w:val="000000"/>
          <w:sz w:val="28"/>
          <w:szCs w:val="28"/>
        </w:rPr>
        <w:t>临时</w:t>
      </w:r>
      <w:r>
        <w:rPr>
          <w:rFonts w:hint="eastAsia"/>
          <w:color w:val="000000"/>
          <w:sz w:val="28"/>
          <w:szCs w:val="28"/>
        </w:rPr>
        <w:t>堆场</w:t>
      </w:r>
      <w:r>
        <w:rPr>
          <w:color w:val="000000"/>
          <w:sz w:val="28"/>
          <w:szCs w:val="28"/>
        </w:rPr>
        <w:t>边坡，则发生泥石流地质灾害可能性小，若没有做好充分的截排水措施、拦截措施及其它安全措施，造成泥石流地质灾害可能性</w:t>
      </w:r>
      <w:r>
        <w:rPr>
          <w:rFonts w:hint="eastAsia"/>
          <w:color w:val="000000"/>
          <w:sz w:val="28"/>
          <w:szCs w:val="28"/>
        </w:rPr>
        <w:t>中等</w:t>
      </w:r>
      <w:r>
        <w:rPr>
          <w:color w:val="000000"/>
          <w:sz w:val="28"/>
          <w:szCs w:val="28"/>
        </w:rPr>
        <w:t>。</w:t>
      </w:r>
    </w:p>
    <w:p w14:paraId="1C0027C9">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2）泥石流的潜在危害性、危险性评估</w:t>
      </w:r>
    </w:p>
    <w:p w14:paraId="53381AB8">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highlight w:val="none"/>
          <w:lang w:val="en-GB"/>
        </w:rPr>
      </w:pPr>
      <w:r>
        <w:rPr>
          <w:bCs/>
          <w:color w:val="000000"/>
          <w:sz w:val="28"/>
          <w:szCs w:val="28"/>
        </w:rPr>
        <w:t>根据《广东省地质灾害危险性评估实施细则》（</w:t>
      </w:r>
      <w:r>
        <w:rPr>
          <w:rFonts w:hint="eastAsia"/>
          <w:bCs/>
          <w:color w:val="000000"/>
          <w:sz w:val="28"/>
          <w:szCs w:val="28"/>
        </w:rPr>
        <w:t>202</w:t>
      </w:r>
      <w:r>
        <w:rPr>
          <w:rFonts w:hint="eastAsia"/>
          <w:bCs/>
          <w:color w:val="000000"/>
          <w:sz w:val="28"/>
          <w:szCs w:val="28"/>
          <w:lang w:val="en-US" w:eastAsia="zh-CN"/>
        </w:rPr>
        <w:t>5</w:t>
      </w:r>
      <w:r>
        <w:rPr>
          <w:bCs/>
          <w:color w:val="000000"/>
          <w:sz w:val="28"/>
          <w:szCs w:val="28"/>
        </w:rPr>
        <w:t>年修订版），结合本矿区实际情况，</w:t>
      </w:r>
      <w:r>
        <w:rPr>
          <w:color w:val="000000"/>
          <w:sz w:val="28"/>
          <w:szCs w:val="28"/>
        </w:rPr>
        <w:t>由于</w:t>
      </w:r>
      <w:r>
        <w:rPr>
          <w:rFonts w:hint="eastAsia"/>
          <w:color w:val="000000"/>
          <w:sz w:val="28"/>
          <w:szCs w:val="28"/>
        </w:rPr>
        <w:t>复垦用土</w:t>
      </w:r>
      <w:r>
        <w:rPr>
          <w:color w:val="000000"/>
          <w:sz w:val="28"/>
          <w:szCs w:val="28"/>
        </w:rPr>
        <w:t>临时</w:t>
      </w:r>
      <w:r>
        <w:rPr>
          <w:rFonts w:hint="eastAsia"/>
          <w:color w:val="000000"/>
          <w:sz w:val="28"/>
          <w:szCs w:val="28"/>
        </w:rPr>
        <w:t>堆场</w:t>
      </w:r>
      <w:r>
        <w:rPr>
          <w:color w:val="000000"/>
          <w:sz w:val="28"/>
          <w:szCs w:val="28"/>
        </w:rPr>
        <w:t>容纳废土石量较多，在极端灾害天气下，可能引发泥石流，使废弃土石冲向下游。泥石流危害对象主要为采矿工作人员、机械车辆及下游农田，故预测矿山发生泥石流地质灾害其潜在危害、危险性</w:t>
      </w:r>
      <w:r>
        <w:rPr>
          <w:rFonts w:hint="eastAsia"/>
          <w:color w:val="000000"/>
          <w:sz w:val="28"/>
          <w:szCs w:val="28"/>
          <w:highlight w:val="none"/>
          <w:lang w:val="en-US" w:eastAsia="zh-CN"/>
        </w:rPr>
        <w:t>小</w:t>
      </w:r>
      <w:r>
        <w:rPr>
          <w:color w:val="000000"/>
          <w:sz w:val="28"/>
          <w:szCs w:val="28"/>
        </w:rPr>
        <w:t>，受威胁人数</w:t>
      </w:r>
      <w:r>
        <w:rPr>
          <w:rFonts w:hint="eastAsia"/>
          <w:color w:val="000000"/>
          <w:sz w:val="28"/>
          <w:szCs w:val="28"/>
          <w:highlight w:val="none"/>
          <w:lang w:val="en-US" w:eastAsia="zh-CN"/>
        </w:rPr>
        <w:t>10-20</w:t>
      </w:r>
      <w:r>
        <w:rPr>
          <w:color w:val="000000"/>
          <w:sz w:val="28"/>
          <w:szCs w:val="28"/>
          <w:highlight w:val="none"/>
        </w:rPr>
        <w:t>人，经济损失在</w:t>
      </w:r>
      <w:r>
        <w:rPr>
          <w:rFonts w:hint="eastAsia"/>
          <w:color w:val="000000"/>
          <w:sz w:val="28"/>
          <w:szCs w:val="28"/>
          <w:highlight w:val="none"/>
          <w:lang w:val="en-US" w:eastAsia="zh-CN"/>
        </w:rPr>
        <w:t>500</w:t>
      </w:r>
      <w:r>
        <w:rPr>
          <w:color w:val="000000"/>
          <w:sz w:val="28"/>
          <w:szCs w:val="28"/>
          <w:highlight w:val="none"/>
        </w:rPr>
        <w:t>万元以内，矿山发生泥石流地质灾害对矿山地质环境影响</w:t>
      </w:r>
      <w:r>
        <w:rPr>
          <w:rFonts w:hint="eastAsia"/>
          <w:b w:val="0"/>
          <w:bCs/>
          <w:color w:val="000000"/>
          <w:sz w:val="28"/>
          <w:szCs w:val="28"/>
          <w:highlight w:val="none"/>
          <w:lang w:val="en-US" w:eastAsia="zh-CN"/>
        </w:rPr>
        <w:t>较严重</w:t>
      </w:r>
      <w:r>
        <w:rPr>
          <w:b w:val="0"/>
          <w:bCs/>
          <w:color w:val="000000"/>
          <w:sz w:val="28"/>
          <w:szCs w:val="28"/>
          <w:highlight w:val="none"/>
        </w:rPr>
        <w:t>。</w:t>
      </w:r>
    </w:p>
    <w:p w14:paraId="4C50A0C2">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rFonts w:hint="eastAsia"/>
          <w:b/>
          <w:color w:val="000000"/>
          <w:sz w:val="28"/>
          <w:szCs w:val="28"/>
          <w:highlight w:val="none"/>
        </w:rPr>
      </w:pPr>
      <w:r>
        <w:rPr>
          <w:color w:val="000000"/>
          <w:sz w:val="28"/>
          <w:szCs w:val="28"/>
          <w:highlight w:val="none"/>
        </w:rPr>
        <w:t>根据表3-</w:t>
      </w:r>
      <w:r>
        <w:rPr>
          <w:rFonts w:hint="eastAsia"/>
          <w:color w:val="000000"/>
          <w:sz w:val="28"/>
          <w:szCs w:val="28"/>
          <w:highlight w:val="none"/>
          <w:lang w:val="en-US" w:eastAsia="zh-CN"/>
        </w:rPr>
        <w:t>9</w:t>
      </w:r>
      <w:r>
        <w:rPr>
          <w:color w:val="000000"/>
          <w:sz w:val="28"/>
          <w:szCs w:val="28"/>
          <w:highlight w:val="none"/>
        </w:rPr>
        <w:t>，可判断评估区内泥石流发育程度属于</w:t>
      </w:r>
      <w:r>
        <w:rPr>
          <w:rFonts w:hint="eastAsia"/>
          <w:b w:val="0"/>
          <w:bCs/>
          <w:color w:val="000000"/>
          <w:sz w:val="28"/>
          <w:szCs w:val="28"/>
          <w:highlight w:val="none"/>
        </w:rPr>
        <w:t>弱</w:t>
      </w:r>
      <w:r>
        <w:rPr>
          <w:b w:val="0"/>
          <w:bCs/>
          <w:color w:val="000000"/>
          <w:sz w:val="28"/>
          <w:szCs w:val="28"/>
          <w:highlight w:val="none"/>
        </w:rPr>
        <w:t>发育</w:t>
      </w:r>
      <w:r>
        <w:rPr>
          <w:color w:val="000000"/>
          <w:sz w:val="28"/>
          <w:szCs w:val="28"/>
          <w:highlight w:val="none"/>
        </w:rPr>
        <w:t>。</w:t>
      </w:r>
    </w:p>
    <w:p w14:paraId="681480D6">
      <w:pPr>
        <w:keepNext w:val="0"/>
        <w:keepLines w:val="0"/>
        <w:pageBreakBefore w:val="0"/>
        <w:widowControl w:val="0"/>
        <w:kinsoku/>
        <w:wordWrap/>
        <w:overflowPunct/>
        <w:topLinePunct w:val="0"/>
        <w:autoSpaceDE/>
        <w:bidi w:val="0"/>
        <w:adjustRightInd/>
        <w:snapToGrid/>
        <w:spacing w:line="240" w:lineRule="auto"/>
        <w:ind w:firstLine="482" w:firstLineChars="200"/>
        <w:jc w:val="center"/>
        <w:textAlignment w:val="auto"/>
        <w:rPr>
          <w:b/>
          <w:bCs/>
          <w:color w:val="000000"/>
          <w:sz w:val="24"/>
        </w:rPr>
      </w:pPr>
      <w:r>
        <w:rPr>
          <w:b/>
          <w:bCs/>
          <w:color w:val="000000"/>
          <w:sz w:val="24"/>
        </w:rPr>
        <w:t>表3-</w:t>
      </w:r>
      <w:r>
        <w:rPr>
          <w:rFonts w:hint="eastAsia"/>
          <w:b/>
          <w:bCs/>
          <w:color w:val="000000"/>
          <w:sz w:val="24"/>
          <w:lang w:val="en-US" w:eastAsia="zh-CN"/>
        </w:rPr>
        <w:t>9</w:t>
      </w:r>
      <w:r>
        <w:rPr>
          <w:b/>
          <w:bCs/>
          <w:color w:val="000000"/>
          <w:sz w:val="24"/>
        </w:rPr>
        <w:t xml:space="preserve">  泥石流发育程度评估要素表</w:t>
      </w:r>
    </w:p>
    <w:tbl>
      <w:tblPr>
        <w:tblStyle w:val="33"/>
        <w:tblW w:w="5313" w:type="pct"/>
        <w:jc w:val="center"/>
        <w:tblLayout w:type="autofit"/>
        <w:tblCellMar>
          <w:top w:w="0" w:type="dxa"/>
          <w:left w:w="108" w:type="dxa"/>
          <w:bottom w:w="0" w:type="dxa"/>
          <w:right w:w="108" w:type="dxa"/>
        </w:tblCellMar>
      </w:tblPr>
      <w:tblGrid>
        <w:gridCol w:w="437"/>
        <w:gridCol w:w="1308"/>
        <w:gridCol w:w="1179"/>
        <w:gridCol w:w="523"/>
        <w:gridCol w:w="1398"/>
        <w:gridCol w:w="703"/>
        <w:gridCol w:w="1444"/>
        <w:gridCol w:w="703"/>
        <w:gridCol w:w="1222"/>
        <w:gridCol w:w="481"/>
      </w:tblGrid>
      <w:tr w14:paraId="377F0ED9">
        <w:tblPrEx>
          <w:tblCellMar>
            <w:top w:w="0" w:type="dxa"/>
            <w:left w:w="108" w:type="dxa"/>
            <w:bottom w:w="0" w:type="dxa"/>
            <w:right w:w="108" w:type="dxa"/>
          </w:tblCellMar>
        </w:tblPrEx>
        <w:trPr>
          <w:trHeight w:val="253" w:hRule="atLeast"/>
          <w:tblHeader/>
          <w:jc w:val="center"/>
        </w:trPr>
        <w:tc>
          <w:tcPr>
            <w:tcW w:w="233" w:type="pct"/>
            <w:vMerge w:val="restart"/>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06D6EA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序号</w:t>
            </w:r>
          </w:p>
        </w:tc>
        <w:tc>
          <w:tcPr>
            <w:tcW w:w="695" w:type="pct"/>
            <w:vMerge w:val="restart"/>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2527C3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影响因素</w:t>
            </w:r>
          </w:p>
        </w:tc>
        <w:tc>
          <w:tcPr>
            <w:tcW w:w="4070" w:type="pct"/>
            <w:gridSpan w:val="8"/>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C7E983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量级划分</w:t>
            </w:r>
          </w:p>
        </w:tc>
      </w:tr>
      <w:tr w14:paraId="3534D3D8">
        <w:tblPrEx>
          <w:tblCellMar>
            <w:top w:w="0" w:type="dxa"/>
            <w:left w:w="108" w:type="dxa"/>
            <w:bottom w:w="0" w:type="dxa"/>
            <w:right w:w="108" w:type="dxa"/>
          </w:tblCellMar>
        </w:tblPrEx>
        <w:trPr>
          <w:trHeight w:val="497" w:hRule="atLeast"/>
          <w:tblHeader/>
          <w:jc w:val="center"/>
        </w:trPr>
        <w:tc>
          <w:tcPr>
            <w:tcW w:w="233" w:type="pct"/>
            <w:vMerge w:val="continue"/>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38A16D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p>
        </w:tc>
        <w:tc>
          <w:tcPr>
            <w:tcW w:w="695" w:type="pct"/>
            <w:vMerge w:val="continue"/>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4EDBE4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090429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强发育（A）</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9A9AF1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得分</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22E384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中等发育（B）</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FBD5CE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得分</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DEAAE4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弱发育（C）</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12AC7A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得分</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49C5F5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不发育（D）</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C9A6B3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得分</w:t>
            </w:r>
          </w:p>
        </w:tc>
      </w:tr>
      <w:tr w14:paraId="20904186">
        <w:tblPrEx>
          <w:tblCellMar>
            <w:top w:w="0" w:type="dxa"/>
            <w:left w:w="108" w:type="dxa"/>
            <w:bottom w:w="0" w:type="dxa"/>
            <w:right w:w="108" w:type="dxa"/>
          </w:tblCellMar>
        </w:tblPrEx>
        <w:trPr>
          <w:trHeight w:val="171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C8DA2A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BB973D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崩塌、滑坡及水土流失（自然和认为活动的）严重程度</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9CF4E1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崩塌、滑坡等重力侵蚀严重，多层滑坡和大型崩塌，表土疏松，冲沟十分发育</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E12310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21</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EA2A2D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崩塌、滑坡发育，多层滑坡和中小型崩塌，有零星植被覆盖，冲沟发育。</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41A2C0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16</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D15FB5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有零星崩塌、滑坡和冲沟存在</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570530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12</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7E6B44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无崩塌、滑坡、冲沟或发育轻微</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F6866B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w:t>
            </w:r>
          </w:p>
        </w:tc>
      </w:tr>
      <w:tr w14:paraId="19CB6263">
        <w:tblPrEx>
          <w:tblCellMar>
            <w:top w:w="0" w:type="dxa"/>
            <w:left w:w="108" w:type="dxa"/>
            <w:bottom w:w="0" w:type="dxa"/>
            <w:right w:w="108" w:type="dxa"/>
          </w:tblCellMar>
        </w:tblPrEx>
        <w:trPr>
          <w:trHeight w:val="741"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8810FC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2</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C1AE8C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泥砂沿程补给长度比（%）</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FB5C6C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≥60</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54AE6A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16</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89D82E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30≤～＜60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672F5F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12</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4CD2AF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10≤～＜30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0A41B4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8</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9330C6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F44358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6601FF11">
        <w:tblPrEx>
          <w:tblCellMar>
            <w:top w:w="0" w:type="dxa"/>
            <w:left w:w="108" w:type="dxa"/>
            <w:bottom w:w="0" w:type="dxa"/>
            <w:right w:w="108" w:type="dxa"/>
          </w:tblCellMar>
        </w:tblPrEx>
        <w:trPr>
          <w:trHeight w:val="985"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D0FBB7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9B7E00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沟口泥石流堆积活动程度</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C31E41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主河河形弯曲或堵塞，主流受挤压偏移</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5B7D4A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14</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C66A74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主河河形无较大变化，仅主流受迫偏移</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B42890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11</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B20A1C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主河河流无变化，主流在高水位时偏，在低水位时不偏</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B8CD08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7</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6AB523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主河无河形变化，主流不偏</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C64A51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34A44906">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07E5E9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11BBDB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河沟纵比降（%）</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3C7F9C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≥21.3</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3D0C1D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12</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09BE99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10.5≤～＜21.3</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F1D68F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9</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511680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5.2≤～＜10.5</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AD3A1D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6</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64F7E4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＜5.2</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8DE6FB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w:t>
            </w:r>
          </w:p>
        </w:tc>
      </w:tr>
      <w:tr w14:paraId="07123F4E">
        <w:tblPrEx>
          <w:tblCellMar>
            <w:top w:w="0" w:type="dxa"/>
            <w:left w:w="108" w:type="dxa"/>
            <w:bottom w:w="0" w:type="dxa"/>
            <w:right w:w="108" w:type="dxa"/>
          </w:tblCellMar>
        </w:tblPrEx>
        <w:trPr>
          <w:trHeight w:val="985"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3B6B2A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783917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区域构造影响程度</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E5DF6A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强抬升区，6级以上地震区，断层破碎带</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31ED30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9</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F61B08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抬升区，4～6级地震区，有中小支断层</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777120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7</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0B0783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相对稳定区，4级以下地震区</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AA1DAF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5</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C2F7F7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沉降区，构造影响小或无影响</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939B8B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513381E6">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99FA4B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6</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811984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流域植被覆盖率（%）</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B911A6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5A0B6A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9</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3205A1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10≤～＜30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5622F5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7</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639C55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30≤～＜60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A9B0F5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5</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D706BF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≥60</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7CB2E8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11FE43C1">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034F65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7</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6FBD4E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河沟近期一次变幅（m）</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272C61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≥2.0</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17A62D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8</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5E3BA4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1.0≤～＜2.0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0F0811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6</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CBFA7E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0.2≤～＜1.0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A2AE95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492B10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＜0.2</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C5C848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1CDB66F5">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CC8874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8</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86C492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岩性影响</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D22E41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软岩、黄土</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3CFF52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6</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92BCA6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软硬相同</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C6BCA6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5A6C0A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风化强烈和节理发育的硬岩</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2BF262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93BFFA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硬岩</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1D4E97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121518B5">
        <w:tblPrEx>
          <w:tblCellMar>
            <w:top w:w="0" w:type="dxa"/>
            <w:left w:w="108" w:type="dxa"/>
            <w:bottom w:w="0" w:type="dxa"/>
            <w:right w:w="108" w:type="dxa"/>
          </w:tblCellMar>
        </w:tblPrEx>
        <w:trPr>
          <w:trHeight w:val="741"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6260F23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9</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002E4D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沿沟松散物储量/10</w:t>
            </w:r>
            <w:r>
              <w:rPr>
                <w:color w:val="000000"/>
                <w:kern w:val="0"/>
                <w:sz w:val="21"/>
                <w:szCs w:val="21"/>
                <w:vertAlign w:val="superscript"/>
              </w:rPr>
              <w:t>4</w:t>
            </w:r>
            <w:r>
              <w:rPr>
                <w:color w:val="000000"/>
                <w:kern w:val="0"/>
                <w:sz w:val="21"/>
                <w:szCs w:val="21"/>
              </w:rPr>
              <w:t>m</w:t>
            </w:r>
            <w:r>
              <w:rPr>
                <w:color w:val="000000"/>
                <w:kern w:val="0"/>
                <w:sz w:val="21"/>
                <w:szCs w:val="21"/>
                <w:vertAlign w:val="superscript"/>
              </w:rPr>
              <w:t>3</w:t>
            </w:r>
            <w:r>
              <w:rPr>
                <w:color w:val="000000"/>
                <w:kern w:val="0"/>
                <w:sz w:val="21"/>
                <w:szCs w:val="21"/>
              </w:rPr>
              <w:t>/km</w:t>
            </w:r>
            <w:r>
              <w:rPr>
                <w:color w:val="000000"/>
                <w:kern w:val="0"/>
                <w:sz w:val="21"/>
                <w:szCs w:val="21"/>
                <w:vertAlign w:val="superscript"/>
              </w:rPr>
              <w:t>2</w:t>
            </w:r>
            <w:r>
              <w:rPr>
                <w:color w:val="000000"/>
                <w:kern w:val="0"/>
                <w:sz w:val="21"/>
                <w:szCs w:val="21"/>
              </w:rPr>
              <w:t>）</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E869CA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572263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6</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6BD71F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5≤～＜10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61BC68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F14010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1≤～＜5.0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C56A7B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4</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18C863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B6B7DD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57CB45F5">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623ED5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3ECA6D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沟岸山坡坡度</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01CEBE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≥32°</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D7B76F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6</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0DCBFD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25°≤～＜32</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B0EBC4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EEF7C5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15°≤～＜25°</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E65372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C3B614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＜15°</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F59DBA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w:t>
            </w:r>
          </w:p>
        </w:tc>
      </w:tr>
      <w:tr w14:paraId="756D4D50">
        <w:tblPrEx>
          <w:tblCellMar>
            <w:top w:w="0" w:type="dxa"/>
            <w:left w:w="108" w:type="dxa"/>
            <w:bottom w:w="0" w:type="dxa"/>
            <w:right w:w="108" w:type="dxa"/>
          </w:tblCellMar>
        </w:tblPrEx>
        <w:trPr>
          <w:trHeight w:val="741"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5A7168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11</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34ECEB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产沙区沟槽横断面</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2A25CF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V形谷、U形谷，谷中谷</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DD53E6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8A7AA4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宽U形谷</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19CA26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313922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复式断面</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7D8065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00906D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平坦型</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5554AB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w:t>
            </w:r>
          </w:p>
        </w:tc>
      </w:tr>
      <w:tr w14:paraId="214C82A3">
        <w:tblPrEx>
          <w:tblCellMar>
            <w:top w:w="0" w:type="dxa"/>
            <w:left w:w="108" w:type="dxa"/>
            <w:bottom w:w="0" w:type="dxa"/>
            <w:right w:w="108" w:type="dxa"/>
          </w:tblCellMar>
        </w:tblPrEx>
        <w:trPr>
          <w:trHeight w:val="741"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08D53A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12</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DA5F94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产沙区松散物平均厚度（m）</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3101DB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C3B68F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E39A30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5≤～＜10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146063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4</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5DC74A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1≤～＜5</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857600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BD6A27B">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289691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47F66FAE">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5605226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13</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EE6853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流域面积（km</w:t>
            </w:r>
            <w:r>
              <w:rPr>
                <w:color w:val="000000"/>
                <w:kern w:val="0"/>
                <w:sz w:val="21"/>
                <w:szCs w:val="21"/>
                <w:vertAlign w:val="superscript"/>
              </w:rPr>
              <w:t>2</w:t>
            </w:r>
            <w:r>
              <w:rPr>
                <w:color w:val="000000"/>
                <w:kern w:val="0"/>
                <w:sz w:val="21"/>
                <w:szCs w:val="21"/>
              </w:rPr>
              <w:t>）</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8AA960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bCs/>
                <w:color w:val="000000"/>
                <w:kern w:val="0"/>
                <w:sz w:val="21"/>
                <w:szCs w:val="21"/>
              </w:rPr>
            </w:pPr>
            <w:r>
              <w:rPr>
                <w:b/>
                <w:bCs/>
                <w:color w:val="000000"/>
                <w:kern w:val="0"/>
                <w:sz w:val="21"/>
                <w:szCs w:val="21"/>
              </w:rPr>
              <w:t>0.2≤～＜5</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39482C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bCs/>
                <w:color w:val="000000"/>
                <w:kern w:val="0"/>
                <w:sz w:val="21"/>
                <w:szCs w:val="21"/>
              </w:rPr>
            </w:pPr>
            <w:r>
              <w:rPr>
                <w:b/>
                <w:bCs/>
                <w:color w:val="000000"/>
                <w:kern w:val="0"/>
                <w:sz w:val="21"/>
                <w:szCs w:val="21"/>
              </w:rPr>
              <w:t>5</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7404FF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5≤～＜10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FDBF24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542340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＜0.2以下</w:t>
            </w:r>
          </w:p>
          <w:p w14:paraId="1BCF3AC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color w:val="000000"/>
                <w:kern w:val="0"/>
                <w:sz w:val="21"/>
                <w:szCs w:val="21"/>
              </w:rPr>
              <w:t>10≤～＜100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9B4E303">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672633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val="0"/>
                <w:bCs/>
                <w:color w:val="000000"/>
                <w:kern w:val="0"/>
                <w:sz w:val="21"/>
                <w:szCs w:val="21"/>
              </w:rPr>
              <w:t>≥100</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2B23E2A">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rFonts w:hint="eastAsia" w:eastAsia="宋体"/>
                <w:b/>
                <w:color w:val="000000"/>
                <w:kern w:val="0"/>
                <w:sz w:val="21"/>
                <w:szCs w:val="21"/>
                <w:lang w:eastAsia="zh-CN"/>
              </w:rPr>
            </w:pPr>
            <w:r>
              <w:rPr>
                <w:rFonts w:hint="eastAsia"/>
                <w:b/>
                <w:color w:val="000000"/>
                <w:kern w:val="0"/>
                <w:sz w:val="21"/>
                <w:szCs w:val="21"/>
                <w:lang w:val="en-US" w:eastAsia="zh-CN"/>
              </w:rPr>
              <w:t>5</w:t>
            </w:r>
          </w:p>
        </w:tc>
      </w:tr>
      <w:tr w14:paraId="2A40DD81">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758C68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14</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4A3EF1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流域相对高度（m）</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34F1FD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≥500</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C3C1EF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9163F32">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300≤～＜500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025DFA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D43C68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100≤～＜300</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54B1921">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2</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FBBFE29">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＜100</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A0C239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1</w:t>
            </w:r>
          </w:p>
        </w:tc>
      </w:tr>
      <w:tr w14:paraId="4B816CF9">
        <w:tblPrEx>
          <w:tblCellMar>
            <w:top w:w="0" w:type="dxa"/>
            <w:left w:w="108" w:type="dxa"/>
            <w:bottom w:w="0" w:type="dxa"/>
            <w:right w:w="108" w:type="dxa"/>
          </w:tblCellMar>
        </w:tblPrEx>
        <w:trPr>
          <w:trHeight w:val="497" w:hRule="atLeast"/>
          <w:jc w:val="center"/>
        </w:trPr>
        <w:tc>
          <w:tcPr>
            <w:tcW w:w="233"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686357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15</w:t>
            </w:r>
          </w:p>
        </w:tc>
        <w:tc>
          <w:tcPr>
            <w:tcW w:w="6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219EE2C">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河沟堵塞程度</w:t>
            </w:r>
          </w:p>
        </w:tc>
        <w:tc>
          <w:tcPr>
            <w:tcW w:w="62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688901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严重</w:t>
            </w:r>
          </w:p>
        </w:tc>
        <w:tc>
          <w:tcPr>
            <w:tcW w:w="27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B2957D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4</w:t>
            </w:r>
          </w:p>
        </w:tc>
        <w:tc>
          <w:tcPr>
            <w:tcW w:w="74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BE4CD7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中等</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F8B4F8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3</w:t>
            </w:r>
          </w:p>
        </w:tc>
        <w:tc>
          <w:tcPr>
            <w:tcW w:w="768"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E2672F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轻微</w:t>
            </w:r>
          </w:p>
        </w:tc>
        <w:tc>
          <w:tcPr>
            <w:tcW w:w="373"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1E367F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2</w:t>
            </w:r>
          </w:p>
        </w:tc>
        <w:tc>
          <w:tcPr>
            <w:tcW w:w="65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C5DF5E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无</w:t>
            </w:r>
          </w:p>
        </w:tc>
        <w:tc>
          <w:tcPr>
            <w:tcW w:w="254"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C5A92EF">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w:t>
            </w:r>
          </w:p>
        </w:tc>
      </w:tr>
      <w:tr w14:paraId="0811B846">
        <w:tblPrEx>
          <w:tblCellMar>
            <w:top w:w="0" w:type="dxa"/>
            <w:left w:w="108" w:type="dxa"/>
            <w:bottom w:w="0" w:type="dxa"/>
            <w:right w:w="108" w:type="dxa"/>
          </w:tblCellMar>
        </w:tblPrEx>
        <w:trPr>
          <w:trHeight w:val="253" w:hRule="atLeast"/>
          <w:jc w:val="center"/>
        </w:trPr>
        <w:tc>
          <w:tcPr>
            <w:tcW w:w="929" w:type="pct"/>
            <w:gridSpan w:val="2"/>
            <w:vMerge w:val="restart"/>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22D1FC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评判等级标准</w:t>
            </w:r>
          </w:p>
        </w:tc>
        <w:tc>
          <w:tcPr>
            <w:tcW w:w="905"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60C434D">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综合得分</w:t>
            </w:r>
          </w:p>
        </w:tc>
        <w:tc>
          <w:tcPr>
            <w:tcW w:w="1118"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9EFD738">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116～130</w:t>
            </w:r>
          </w:p>
        </w:tc>
        <w:tc>
          <w:tcPr>
            <w:tcW w:w="1142"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404FB6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87～115</w:t>
            </w:r>
          </w:p>
        </w:tc>
        <w:tc>
          <w:tcPr>
            <w:tcW w:w="904"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11AFB36">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＜87</w:t>
            </w:r>
          </w:p>
        </w:tc>
      </w:tr>
      <w:tr w14:paraId="6CC89BD1">
        <w:tblPrEx>
          <w:tblCellMar>
            <w:top w:w="0" w:type="dxa"/>
            <w:left w:w="108" w:type="dxa"/>
            <w:bottom w:w="0" w:type="dxa"/>
            <w:right w:w="108" w:type="dxa"/>
          </w:tblCellMar>
        </w:tblPrEx>
        <w:trPr>
          <w:trHeight w:val="262" w:hRule="atLeast"/>
          <w:jc w:val="center"/>
        </w:trPr>
        <w:tc>
          <w:tcPr>
            <w:tcW w:w="929" w:type="pct"/>
            <w:gridSpan w:val="2"/>
            <w:vMerge w:val="continue"/>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B030EFE">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p>
        </w:tc>
        <w:tc>
          <w:tcPr>
            <w:tcW w:w="905"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CAC6840">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发育程度等级</w:t>
            </w:r>
          </w:p>
        </w:tc>
        <w:tc>
          <w:tcPr>
            <w:tcW w:w="1118"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3251657">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强发育</w:t>
            </w:r>
          </w:p>
        </w:tc>
        <w:tc>
          <w:tcPr>
            <w:tcW w:w="1142"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5968FD5">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color w:val="000000"/>
                <w:kern w:val="0"/>
                <w:sz w:val="21"/>
                <w:szCs w:val="21"/>
              </w:rPr>
            </w:pPr>
            <w:r>
              <w:rPr>
                <w:color w:val="000000"/>
                <w:kern w:val="0"/>
                <w:sz w:val="21"/>
                <w:szCs w:val="21"/>
              </w:rPr>
              <w:t>中等发育</w:t>
            </w:r>
          </w:p>
        </w:tc>
        <w:tc>
          <w:tcPr>
            <w:tcW w:w="904" w:type="pct"/>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846ED14">
            <w:pPr>
              <w:keepNext w:val="0"/>
              <w:keepLines w:val="0"/>
              <w:pageBreakBefore w:val="0"/>
              <w:widowControl/>
              <w:kinsoku/>
              <w:wordWrap/>
              <w:overflowPunct/>
              <w:topLinePunct w:val="0"/>
              <w:autoSpaceDE/>
              <w:autoSpaceDN/>
              <w:bidi w:val="0"/>
              <w:adjustRightInd/>
              <w:snapToGrid w:val="0"/>
              <w:ind w:firstLine="0" w:firstLineChars="0"/>
              <w:jc w:val="center"/>
              <w:textAlignment w:val="auto"/>
              <w:rPr>
                <w:b/>
                <w:color w:val="000000"/>
                <w:kern w:val="0"/>
                <w:sz w:val="21"/>
                <w:szCs w:val="21"/>
              </w:rPr>
            </w:pPr>
            <w:r>
              <w:rPr>
                <w:b/>
                <w:color w:val="000000"/>
                <w:kern w:val="0"/>
                <w:sz w:val="21"/>
                <w:szCs w:val="21"/>
              </w:rPr>
              <w:t>弱发育</w:t>
            </w:r>
          </w:p>
        </w:tc>
      </w:tr>
    </w:tbl>
    <w:p w14:paraId="0968FCFB">
      <w:pPr>
        <w:shd w:val="solid" w:color="FFFFFF" w:fill="auto"/>
        <w:autoSpaceDN w:val="0"/>
        <w:spacing w:line="360" w:lineRule="auto"/>
        <w:ind w:firstLine="560" w:firstLineChars="200"/>
        <w:rPr>
          <w:rFonts w:hint="eastAsia"/>
          <w:b w:val="0"/>
          <w:bCs/>
          <w:color w:val="000000"/>
          <w:sz w:val="28"/>
          <w:szCs w:val="28"/>
        </w:rPr>
      </w:pPr>
      <w:r>
        <w:rPr>
          <w:b w:val="0"/>
          <w:bCs/>
          <w:color w:val="000000"/>
          <w:sz w:val="28"/>
          <w:szCs w:val="28"/>
        </w:rPr>
        <w:t>预测评估区内矿山建设和采矿活动可能引发的地质灾害类型主要为崩塌、滑坡、泥石流</w:t>
      </w:r>
      <w:r>
        <w:rPr>
          <w:rFonts w:hint="eastAsia"/>
          <w:b w:val="0"/>
          <w:bCs/>
          <w:color w:val="000000"/>
          <w:sz w:val="28"/>
          <w:szCs w:val="28"/>
          <w:lang w:eastAsia="zh-CN"/>
        </w:rPr>
        <w:t>。</w:t>
      </w:r>
      <w:r>
        <w:rPr>
          <w:rFonts w:hint="eastAsia" w:ascii="宋体" w:hAnsi="宋体" w:cs="宋体"/>
          <w:b w:val="0"/>
          <w:bCs/>
          <w:sz w:val="28"/>
          <w:szCs w:val="28"/>
          <w:lang w:val="en-US" w:eastAsia="zh-CN"/>
        </w:rPr>
        <w:t>预测</w:t>
      </w:r>
      <w:r>
        <w:rPr>
          <w:rFonts w:hint="eastAsia"/>
          <w:b w:val="0"/>
          <w:bCs/>
          <w:color w:val="000000"/>
          <w:sz w:val="28"/>
          <w:szCs w:val="28"/>
          <w:lang w:val="en-US" w:eastAsia="zh-CN"/>
        </w:rPr>
        <w:t>露天采矿</w:t>
      </w:r>
      <w:r>
        <w:rPr>
          <w:b w:val="0"/>
          <w:bCs/>
          <w:color w:val="000000"/>
          <w:sz w:val="28"/>
          <w:szCs w:val="28"/>
        </w:rPr>
        <w:t>可能引发</w:t>
      </w:r>
      <w:r>
        <w:rPr>
          <w:rFonts w:hint="eastAsia" w:ascii="宋体" w:hAnsi="宋体" w:cs="宋体"/>
          <w:b w:val="0"/>
          <w:bCs/>
          <w:sz w:val="28"/>
          <w:szCs w:val="28"/>
        </w:rPr>
        <w:t>滑坡、崩塌的可能性中等，可能造成的损失小，</w:t>
      </w:r>
      <w:r>
        <w:rPr>
          <w:b w:val="0"/>
          <w:bCs/>
          <w:color w:val="000000"/>
          <w:sz w:val="28"/>
          <w:szCs w:val="28"/>
        </w:rPr>
        <w:t>地质灾害的影响程度为</w:t>
      </w:r>
      <w:r>
        <w:rPr>
          <w:rFonts w:hint="eastAsia"/>
          <w:b w:val="0"/>
          <w:bCs/>
          <w:color w:val="000000"/>
          <w:sz w:val="28"/>
          <w:szCs w:val="28"/>
        </w:rPr>
        <w:t>较</w:t>
      </w:r>
      <w:r>
        <w:rPr>
          <w:b w:val="0"/>
          <w:bCs/>
          <w:color w:val="000000"/>
          <w:sz w:val="28"/>
          <w:szCs w:val="28"/>
        </w:rPr>
        <w:t>严重。</w:t>
      </w:r>
      <w:r>
        <w:rPr>
          <w:rFonts w:hint="eastAsia" w:hAnsi="宋体"/>
          <w:b w:val="0"/>
          <w:bCs/>
          <w:color w:val="000000"/>
          <w:sz w:val="28"/>
          <w:szCs w:val="28"/>
        </w:rPr>
        <w:t>预测</w:t>
      </w:r>
      <w:r>
        <w:rPr>
          <w:rFonts w:hint="eastAsia" w:hAnsi="宋体"/>
          <w:b w:val="0"/>
          <w:bCs/>
          <w:color w:val="000000"/>
          <w:sz w:val="28"/>
          <w:szCs w:val="28"/>
          <w:lang w:val="en-US" w:eastAsia="zh-CN"/>
        </w:rPr>
        <w:t>破碎站、</w:t>
      </w:r>
      <w:r>
        <w:rPr>
          <w:rFonts w:hint="eastAsia"/>
          <w:color w:val="000000"/>
          <w:sz w:val="28"/>
          <w:szCs w:val="28"/>
          <w:lang w:val="en-US" w:eastAsia="zh-CN"/>
        </w:rPr>
        <w:t>办公生活区</w:t>
      </w:r>
      <w:r>
        <w:rPr>
          <w:rFonts w:hAnsi="宋体"/>
          <w:b w:val="0"/>
          <w:bCs/>
          <w:color w:val="000000"/>
          <w:sz w:val="28"/>
          <w:szCs w:val="28"/>
        </w:rPr>
        <w:t>场地建设引发崩塌、滑坡的可能性小，地质灾害的影响程度较轻。</w:t>
      </w:r>
      <w:r>
        <w:rPr>
          <w:b w:val="0"/>
          <w:bCs/>
          <w:color w:val="000000"/>
          <w:sz w:val="28"/>
          <w:szCs w:val="28"/>
        </w:rPr>
        <w:t>预测</w:t>
      </w:r>
      <w:r>
        <w:rPr>
          <w:rFonts w:hint="eastAsia"/>
          <w:b w:val="0"/>
          <w:bCs/>
          <w:color w:val="000000"/>
          <w:sz w:val="28"/>
          <w:szCs w:val="28"/>
        </w:rPr>
        <w:t>矿山</w:t>
      </w:r>
      <w:r>
        <w:rPr>
          <w:b w:val="0"/>
          <w:bCs/>
          <w:color w:val="000000"/>
          <w:sz w:val="28"/>
          <w:szCs w:val="28"/>
        </w:rPr>
        <w:t>道路发生</w:t>
      </w:r>
      <w:r>
        <w:rPr>
          <w:rFonts w:hAnsi="宋体"/>
          <w:b w:val="0"/>
          <w:bCs/>
          <w:color w:val="000000"/>
          <w:sz w:val="28"/>
          <w:szCs w:val="28"/>
        </w:rPr>
        <w:t>崩塌、滑坡的可能性小，地质灾害的影响程度较轻。</w:t>
      </w:r>
      <w:r>
        <w:rPr>
          <w:b w:val="0"/>
          <w:bCs/>
          <w:color w:val="000000"/>
          <w:sz w:val="28"/>
          <w:szCs w:val="28"/>
        </w:rPr>
        <w:t>预测</w:t>
      </w:r>
      <w:r>
        <w:rPr>
          <w:rFonts w:hint="eastAsia"/>
          <w:b w:val="0"/>
          <w:bCs/>
          <w:color w:val="000000"/>
          <w:sz w:val="28"/>
          <w:szCs w:val="28"/>
          <w:lang w:val="en-US" w:eastAsia="zh-CN"/>
        </w:rPr>
        <w:t>排土场建设</w:t>
      </w:r>
      <w:r>
        <w:rPr>
          <w:b w:val="0"/>
          <w:bCs/>
          <w:color w:val="000000"/>
          <w:sz w:val="28"/>
          <w:szCs w:val="28"/>
        </w:rPr>
        <w:t>发生</w:t>
      </w:r>
      <w:r>
        <w:rPr>
          <w:rFonts w:hAnsi="宋体"/>
          <w:b w:val="0"/>
          <w:bCs/>
          <w:color w:val="000000"/>
          <w:sz w:val="28"/>
          <w:szCs w:val="28"/>
        </w:rPr>
        <w:t>崩塌、滑坡</w:t>
      </w:r>
      <w:r>
        <w:rPr>
          <w:rFonts w:hint="eastAsia" w:hAnsi="宋体"/>
          <w:b w:val="0"/>
          <w:bCs/>
          <w:color w:val="000000"/>
          <w:sz w:val="28"/>
          <w:szCs w:val="28"/>
          <w:lang w:eastAsia="zh-CN"/>
        </w:rPr>
        <w:t>、</w:t>
      </w:r>
      <w:r>
        <w:rPr>
          <w:rFonts w:hint="eastAsia" w:hAnsi="宋体"/>
          <w:b w:val="0"/>
          <w:bCs/>
          <w:color w:val="000000"/>
          <w:sz w:val="28"/>
          <w:szCs w:val="28"/>
          <w:lang w:val="en-US" w:eastAsia="zh-CN"/>
        </w:rPr>
        <w:t>泥石流</w:t>
      </w:r>
      <w:r>
        <w:rPr>
          <w:rFonts w:hAnsi="宋体"/>
          <w:b w:val="0"/>
          <w:bCs/>
          <w:color w:val="000000"/>
          <w:sz w:val="28"/>
          <w:szCs w:val="28"/>
        </w:rPr>
        <w:t>的可能性小，地质灾害的影响程度较轻。</w:t>
      </w:r>
      <w:r>
        <w:rPr>
          <w:b w:val="0"/>
          <w:bCs/>
          <w:color w:val="000000"/>
          <w:sz w:val="28"/>
          <w:szCs w:val="28"/>
        </w:rPr>
        <w:t>预测</w:t>
      </w:r>
      <w:r>
        <w:rPr>
          <w:rFonts w:hint="eastAsia"/>
          <w:b w:val="0"/>
          <w:bCs/>
          <w:color w:val="000000"/>
          <w:sz w:val="28"/>
          <w:szCs w:val="28"/>
        </w:rPr>
        <w:t>复垦用土</w:t>
      </w:r>
      <w:r>
        <w:rPr>
          <w:b w:val="0"/>
          <w:bCs/>
          <w:color w:val="000000"/>
          <w:sz w:val="28"/>
          <w:szCs w:val="28"/>
        </w:rPr>
        <w:t>临时</w:t>
      </w:r>
      <w:r>
        <w:rPr>
          <w:rFonts w:hint="eastAsia"/>
          <w:b w:val="0"/>
          <w:bCs/>
          <w:color w:val="000000"/>
          <w:sz w:val="28"/>
          <w:szCs w:val="28"/>
        </w:rPr>
        <w:t>堆场</w:t>
      </w:r>
      <w:r>
        <w:rPr>
          <w:b w:val="0"/>
          <w:bCs/>
          <w:color w:val="000000"/>
          <w:sz w:val="28"/>
          <w:szCs w:val="28"/>
        </w:rPr>
        <w:t>发生崩塌及滑坡的可能性中等，危害中等、危险性中等，对矿山地质环境影响较严重</w:t>
      </w:r>
      <w:r>
        <w:rPr>
          <w:rFonts w:hint="eastAsia"/>
          <w:b w:val="0"/>
          <w:bCs/>
          <w:color w:val="000000"/>
          <w:sz w:val="28"/>
          <w:szCs w:val="28"/>
        </w:rPr>
        <w:t>。</w:t>
      </w:r>
    </w:p>
    <w:p w14:paraId="0D3AB8C9">
      <w:pPr>
        <w:numPr>
          <w:ilvl w:val="0"/>
          <w:numId w:val="0"/>
        </w:numPr>
        <w:spacing w:line="360" w:lineRule="auto"/>
        <w:ind w:left="0" w:leftChars="0" w:firstLine="562" w:firstLineChars="200"/>
        <w:rPr>
          <w:rFonts w:hint="eastAsia"/>
          <w:b/>
          <w:bCs/>
          <w:sz w:val="28"/>
          <w:szCs w:val="28"/>
          <w:lang w:eastAsia="zh-CN"/>
        </w:rPr>
      </w:pPr>
      <w:r>
        <w:rPr>
          <w:rFonts w:hint="eastAsia" w:ascii="Times New Roman" w:hAnsi="Times New Roman" w:eastAsia="宋体" w:cs="Times New Roman"/>
          <w:b/>
          <w:bCs/>
          <w:sz w:val="28"/>
          <w:szCs w:val="28"/>
          <w:lang w:val="en-US" w:eastAsia="zh-CN" w:bidi="ar-SA"/>
        </w:rPr>
        <w:t>（</w:t>
      </w:r>
      <w:r>
        <w:rPr>
          <w:rFonts w:hint="eastAsia" w:cs="Times New Roman"/>
          <w:b/>
          <w:bCs/>
          <w:sz w:val="28"/>
          <w:szCs w:val="28"/>
          <w:lang w:val="en-US" w:eastAsia="zh-CN" w:bidi="ar-SA"/>
        </w:rPr>
        <w:t>2</w:t>
      </w:r>
      <w:r>
        <w:rPr>
          <w:rFonts w:hint="eastAsia" w:ascii="Times New Roman" w:hAnsi="Times New Roman" w:eastAsia="宋体" w:cs="Times New Roman"/>
          <w:b/>
          <w:bCs/>
          <w:sz w:val="28"/>
          <w:szCs w:val="28"/>
          <w:lang w:val="en-US" w:eastAsia="zh-CN" w:bidi="ar-SA"/>
        </w:rPr>
        <w:t>）</w:t>
      </w:r>
      <w:r>
        <w:rPr>
          <w:rFonts w:hint="eastAsia"/>
          <w:b/>
          <w:bCs/>
          <w:sz w:val="28"/>
          <w:szCs w:val="28"/>
          <w:lang w:eastAsia="zh-CN"/>
        </w:rPr>
        <w:t>矿区含水层破坏预测分析</w:t>
      </w:r>
    </w:p>
    <w:p w14:paraId="7DFAB155">
      <w:pPr>
        <w:shd w:val="solid" w:color="FFFFFF" w:fill="auto"/>
        <w:autoSpaceDN w:val="0"/>
        <w:spacing w:line="360" w:lineRule="auto"/>
        <w:ind w:firstLine="560" w:firstLineChars="200"/>
        <w:rPr>
          <w:color w:val="000000"/>
          <w:sz w:val="28"/>
          <w:szCs w:val="28"/>
        </w:rPr>
      </w:pPr>
      <w:r>
        <w:rPr>
          <w:color w:val="000000"/>
          <w:sz w:val="28"/>
          <w:szCs w:val="28"/>
        </w:rPr>
        <w:t>1）对水资源影响的预测评估</w:t>
      </w:r>
    </w:p>
    <w:p w14:paraId="6FFBD612">
      <w:pPr>
        <w:shd w:val="solid" w:color="FFFFFF" w:fill="auto"/>
        <w:autoSpaceDN w:val="0"/>
        <w:spacing w:line="360" w:lineRule="auto"/>
        <w:ind w:firstLine="560" w:firstLineChars="200"/>
        <w:rPr>
          <w:rFonts w:hint="eastAsia"/>
          <w:color w:val="000000"/>
          <w:sz w:val="28"/>
          <w:szCs w:val="28"/>
        </w:rPr>
      </w:pPr>
      <w:r>
        <w:rPr>
          <w:rFonts w:hint="eastAsia"/>
          <w:color w:val="000000"/>
          <w:sz w:val="28"/>
          <w:szCs w:val="28"/>
        </w:rPr>
        <w:t>评估区内含水层为</w:t>
      </w:r>
      <w:r>
        <w:rPr>
          <w:color w:val="000000"/>
          <w:sz w:val="28"/>
          <w:szCs w:val="28"/>
        </w:rPr>
        <w:t>松散岩类孔隙水</w:t>
      </w:r>
      <w:r>
        <w:rPr>
          <w:rFonts w:hint="eastAsia"/>
          <w:color w:val="000000"/>
          <w:sz w:val="28"/>
          <w:szCs w:val="28"/>
        </w:rPr>
        <w:t>含水层及玄武岩孔洞裂隙水含水层</w:t>
      </w:r>
      <w:r>
        <w:rPr>
          <w:color w:val="000000"/>
          <w:sz w:val="28"/>
          <w:szCs w:val="28"/>
        </w:rPr>
        <w:t>，矿区范围内地表水体不发育，大气降雨是本区地下水的主要补给来源。孔隙潜水含水层富水性受降雨量影响明显，大部分时段富水性弱。矿区采用山坡露天水平台阶开采方式，矿山设计开采</w:t>
      </w:r>
      <w:r>
        <w:rPr>
          <w:rFonts w:hint="eastAsia"/>
          <w:color w:val="000000"/>
          <w:sz w:val="28"/>
          <w:szCs w:val="28"/>
        </w:rPr>
        <w:t>标高</w:t>
      </w:r>
      <w:r>
        <w:rPr>
          <w:color w:val="000000"/>
          <w:sz w:val="28"/>
          <w:szCs w:val="28"/>
          <w:lang w:val="en-GB"/>
        </w:rPr>
        <w:t>+</w:t>
      </w:r>
      <w:r>
        <w:rPr>
          <w:rFonts w:hint="eastAsia"/>
          <w:color w:val="000000"/>
          <w:sz w:val="28"/>
          <w:szCs w:val="28"/>
          <w:lang w:val="en-US" w:eastAsia="zh-CN"/>
        </w:rPr>
        <w:t>59</w:t>
      </w:r>
      <w:r>
        <w:rPr>
          <w:color w:val="000000"/>
          <w:sz w:val="28"/>
          <w:szCs w:val="28"/>
          <w:lang w:val="en-GB"/>
        </w:rPr>
        <w:t>～+</w:t>
      </w:r>
      <w:r>
        <w:rPr>
          <w:rFonts w:hint="eastAsia"/>
          <w:color w:val="000000"/>
          <w:sz w:val="28"/>
          <w:szCs w:val="28"/>
          <w:lang w:val="en-US" w:eastAsia="zh-CN"/>
        </w:rPr>
        <w:t>30</w:t>
      </w:r>
      <w:r>
        <w:rPr>
          <w:rFonts w:hint="eastAsia"/>
          <w:color w:val="000000"/>
          <w:sz w:val="28"/>
          <w:szCs w:val="28"/>
          <w:lang w:val="en-GB"/>
        </w:rPr>
        <w:t>米</w:t>
      </w:r>
      <w:r>
        <w:rPr>
          <w:color w:val="000000"/>
          <w:sz w:val="28"/>
          <w:szCs w:val="28"/>
          <w:lang w:val="en-GB"/>
        </w:rPr>
        <w:t>，位于当地侵蚀基准面</w:t>
      </w:r>
      <w:r>
        <w:rPr>
          <w:rFonts w:hint="eastAsia"/>
          <w:color w:val="000000"/>
          <w:sz w:val="28"/>
          <w:szCs w:val="28"/>
          <w:lang w:val="en-US" w:eastAsia="zh-CN"/>
        </w:rPr>
        <w:t>+20m</w:t>
      </w:r>
      <w:r>
        <w:rPr>
          <w:color w:val="000000"/>
          <w:sz w:val="28"/>
          <w:szCs w:val="28"/>
          <w:lang w:val="en-GB"/>
        </w:rPr>
        <w:t>之上</w:t>
      </w:r>
      <w:r>
        <w:rPr>
          <w:rFonts w:hint="eastAsia"/>
          <w:color w:val="000000"/>
          <w:sz w:val="28"/>
          <w:szCs w:val="28"/>
        </w:rPr>
        <w:t>。</w:t>
      </w:r>
      <w:r>
        <w:rPr>
          <w:color w:val="000000"/>
          <w:sz w:val="28"/>
          <w:szCs w:val="28"/>
        </w:rPr>
        <w:t>矿山开采不会造成附近水源缺乏，</w:t>
      </w:r>
      <w:r>
        <w:rPr>
          <w:rFonts w:hint="eastAsia"/>
          <w:color w:val="000000"/>
          <w:sz w:val="28"/>
          <w:szCs w:val="28"/>
        </w:rPr>
        <w:t>且</w:t>
      </w:r>
      <w:r>
        <w:rPr>
          <w:color w:val="000000"/>
          <w:sz w:val="28"/>
          <w:szCs w:val="28"/>
        </w:rPr>
        <w:t>地下水涌水量较小，</w:t>
      </w:r>
      <w:r>
        <w:rPr>
          <w:rFonts w:hint="eastAsia"/>
          <w:color w:val="000000"/>
          <w:sz w:val="28"/>
          <w:szCs w:val="28"/>
        </w:rPr>
        <w:t>未来</w:t>
      </w:r>
      <w:r>
        <w:rPr>
          <w:color w:val="000000"/>
          <w:sz w:val="28"/>
          <w:szCs w:val="28"/>
        </w:rPr>
        <w:t>矿山建设及采矿活动会造成局部地下水位的小幅度下降，但仅局限于矿区所在独立的水文地质单元，因而对地表水和区域地下水的影响小。</w:t>
      </w:r>
    </w:p>
    <w:p w14:paraId="7D76F651">
      <w:pPr>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560" w:firstLineChars="200"/>
        <w:textAlignment w:val="auto"/>
        <w:rPr>
          <w:color w:val="000000"/>
          <w:sz w:val="28"/>
          <w:szCs w:val="28"/>
        </w:rPr>
      </w:pPr>
      <w:r>
        <w:rPr>
          <w:color w:val="000000"/>
          <w:sz w:val="28"/>
          <w:szCs w:val="28"/>
        </w:rPr>
        <w:t>2）对水环境影响的预测评估</w:t>
      </w:r>
    </w:p>
    <w:p w14:paraId="4B1680FD">
      <w:pPr>
        <w:shd w:val="solid" w:color="FFFFFF" w:fill="auto"/>
        <w:autoSpaceDN w:val="0"/>
        <w:spacing w:line="360" w:lineRule="auto"/>
        <w:ind w:firstLine="560" w:firstLineChars="200"/>
        <w:rPr>
          <w:color w:val="000000"/>
          <w:sz w:val="28"/>
          <w:szCs w:val="28"/>
        </w:rPr>
      </w:pPr>
      <w:r>
        <w:rPr>
          <w:color w:val="000000"/>
          <w:sz w:val="28"/>
          <w:szCs w:val="28"/>
        </w:rPr>
        <w:t>露天采场内水沟自流至场外经沉淀后排放，污染主要为泥浆水，对矿山的地表水造成污染小。矿山开采的</w:t>
      </w:r>
      <w:r>
        <w:rPr>
          <w:rFonts w:hint="eastAsia"/>
          <w:color w:val="000000"/>
          <w:sz w:val="28"/>
          <w:szCs w:val="28"/>
        </w:rPr>
        <w:t>矿体</w:t>
      </w:r>
      <w:r>
        <w:rPr>
          <w:color w:val="000000"/>
          <w:sz w:val="28"/>
          <w:szCs w:val="28"/>
        </w:rPr>
        <w:t>化学成分稳定，</w:t>
      </w:r>
      <w:r>
        <w:rPr>
          <w:bCs/>
          <w:color w:val="000000"/>
          <w:sz w:val="28"/>
          <w:szCs w:val="28"/>
        </w:rPr>
        <w:t>没有污染性强的重金属成分，</w:t>
      </w:r>
      <w:r>
        <w:rPr>
          <w:color w:val="000000"/>
          <w:sz w:val="28"/>
          <w:szCs w:val="28"/>
        </w:rPr>
        <w:t>各元素含量均在正常岩石元素含量范围内，而采矿是直接挖掘装运矿石，没有选</w:t>
      </w:r>
      <w:r>
        <w:rPr>
          <w:rFonts w:hint="eastAsia"/>
          <w:color w:val="000000"/>
          <w:sz w:val="28"/>
          <w:szCs w:val="28"/>
        </w:rPr>
        <w:t>矿</w:t>
      </w:r>
      <w:r>
        <w:rPr>
          <w:color w:val="000000"/>
          <w:sz w:val="28"/>
          <w:szCs w:val="28"/>
        </w:rPr>
        <w:t>工艺，一般不产生影响水环境的有害元素；基本不存在污染源，不会影响到矿区及周边生产生活供水。</w:t>
      </w:r>
    </w:p>
    <w:p w14:paraId="05CE64D6">
      <w:pPr>
        <w:shd w:val="solid" w:color="FFFFFF" w:fill="auto"/>
        <w:autoSpaceDN w:val="0"/>
        <w:spacing w:line="360" w:lineRule="auto"/>
        <w:ind w:firstLine="560" w:firstLineChars="200"/>
        <w:rPr>
          <w:color w:val="000000"/>
          <w:kern w:val="0"/>
          <w:sz w:val="28"/>
          <w:szCs w:val="28"/>
        </w:rPr>
      </w:pPr>
      <w:r>
        <w:rPr>
          <w:color w:val="000000"/>
          <w:sz w:val="28"/>
          <w:szCs w:val="28"/>
        </w:rPr>
        <w:t>因此，预测评估采矿活动对地下水和含水层的影响</w:t>
      </w:r>
      <w:r>
        <w:rPr>
          <w:b/>
          <w:color w:val="000000"/>
          <w:sz w:val="28"/>
          <w:szCs w:val="28"/>
        </w:rPr>
        <w:t>较轻</w:t>
      </w:r>
      <w:r>
        <w:rPr>
          <w:color w:val="000000"/>
          <w:sz w:val="28"/>
          <w:szCs w:val="28"/>
        </w:rPr>
        <w:t>。</w:t>
      </w:r>
    </w:p>
    <w:p w14:paraId="1ADD14B3">
      <w:pPr>
        <w:spacing w:line="360" w:lineRule="auto"/>
        <w:ind w:firstLine="482"/>
        <w:rPr>
          <w:b/>
          <w:bCs/>
          <w:sz w:val="28"/>
          <w:szCs w:val="28"/>
        </w:rPr>
      </w:pPr>
      <w:r>
        <w:rPr>
          <w:rFonts w:hint="eastAsia"/>
          <w:b/>
          <w:bCs/>
          <w:sz w:val="28"/>
          <w:szCs w:val="28"/>
        </w:rPr>
        <w:t>（</w:t>
      </w:r>
      <w:r>
        <w:rPr>
          <w:rFonts w:hint="eastAsia"/>
          <w:b/>
          <w:bCs/>
          <w:sz w:val="28"/>
          <w:szCs w:val="28"/>
          <w:lang w:val="en-US" w:eastAsia="zh-CN"/>
        </w:rPr>
        <w:t>3</w:t>
      </w:r>
      <w:r>
        <w:rPr>
          <w:rFonts w:hint="eastAsia"/>
          <w:b/>
          <w:bCs/>
          <w:sz w:val="28"/>
          <w:szCs w:val="28"/>
        </w:rPr>
        <w:t>）</w:t>
      </w:r>
      <w:r>
        <w:rPr>
          <w:b/>
          <w:bCs/>
          <w:sz w:val="28"/>
          <w:szCs w:val="28"/>
        </w:rPr>
        <w:t>矿区地形地貌景观破坏</w:t>
      </w:r>
      <w:r>
        <w:rPr>
          <w:rFonts w:hint="eastAsia"/>
          <w:b/>
          <w:bCs/>
          <w:sz w:val="28"/>
          <w:szCs w:val="28"/>
        </w:rPr>
        <w:t>预测</w:t>
      </w:r>
      <w:r>
        <w:rPr>
          <w:b/>
          <w:bCs/>
          <w:sz w:val="28"/>
          <w:szCs w:val="28"/>
        </w:rPr>
        <w:t>分析</w:t>
      </w:r>
    </w:p>
    <w:p w14:paraId="6547F1AA">
      <w:pPr>
        <w:shd w:val="solid" w:color="FFFFFF" w:fill="auto"/>
        <w:autoSpaceDN w:val="0"/>
        <w:spacing w:line="360" w:lineRule="auto"/>
        <w:ind w:firstLine="560" w:firstLineChars="200"/>
        <w:rPr>
          <w:rFonts w:hint="default" w:eastAsia="宋体"/>
          <w:color w:val="000000"/>
          <w:sz w:val="28"/>
          <w:szCs w:val="28"/>
          <w:lang w:val="en-US" w:eastAsia="zh-CN"/>
        </w:rPr>
      </w:pPr>
      <w:r>
        <w:rPr>
          <w:rFonts w:hint="eastAsia"/>
          <w:color w:val="000000"/>
          <w:sz w:val="28"/>
          <w:szCs w:val="28"/>
        </w:rPr>
        <w:t>采矿活动主</w:t>
      </w:r>
      <w:r>
        <w:rPr>
          <w:color w:val="000000"/>
          <w:sz w:val="28"/>
          <w:szCs w:val="28"/>
        </w:rPr>
        <w:t>要对</w:t>
      </w:r>
      <w:r>
        <w:rPr>
          <w:rFonts w:hint="eastAsia"/>
          <w:color w:val="000000"/>
          <w:sz w:val="28"/>
          <w:szCs w:val="28"/>
        </w:rPr>
        <w:t>露天采场</w:t>
      </w:r>
      <w:r>
        <w:rPr>
          <w:color w:val="000000"/>
          <w:sz w:val="28"/>
          <w:szCs w:val="28"/>
        </w:rPr>
        <w:t>、</w:t>
      </w:r>
      <w:r>
        <w:rPr>
          <w:rFonts w:hint="eastAsia"/>
          <w:color w:val="000000"/>
          <w:sz w:val="28"/>
          <w:szCs w:val="28"/>
          <w:lang w:val="en-US" w:eastAsia="zh-CN"/>
        </w:rPr>
        <w:t>破碎站等场地</w:t>
      </w:r>
      <w:r>
        <w:rPr>
          <w:rFonts w:hint="eastAsia"/>
          <w:color w:val="000000"/>
          <w:sz w:val="28"/>
          <w:szCs w:val="28"/>
        </w:rPr>
        <w:t>的植被和地质地貌景观造成破坏或影响，导致地形破碎、植被破坏、岩土体裸露。</w:t>
      </w:r>
      <w:r>
        <w:rPr>
          <w:rFonts w:hint="eastAsia"/>
          <w:color w:val="000000"/>
          <w:sz w:val="28"/>
          <w:szCs w:val="28"/>
          <w:lang w:val="en-US" w:eastAsia="zh-CN"/>
        </w:rPr>
        <w:t>预测后续采矿活动对露天采场、历史采坑一地形地貌损毁严重。破碎站、复垦用地临时堆场等地形地貌损毁较严重。</w:t>
      </w:r>
    </w:p>
    <w:p w14:paraId="1D7BEA1A">
      <w:pPr>
        <w:numPr>
          <w:ilvl w:val="0"/>
          <w:numId w:val="0"/>
        </w:numPr>
        <w:spacing w:line="360" w:lineRule="auto"/>
        <w:ind w:left="0" w:leftChars="0" w:firstLine="562" w:firstLineChars="200"/>
        <w:rPr>
          <w:rFonts w:hint="eastAsia"/>
          <w:b/>
          <w:bCs/>
          <w:sz w:val="28"/>
          <w:szCs w:val="28"/>
        </w:rPr>
      </w:pPr>
      <w:r>
        <w:rPr>
          <w:rFonts w:hint="eastAsia" w:ascii="Times New Roman" w:hAnsi="Times New Roman" w:eastAsia="宋体" w:cs="Times New Roman"/>
          <w:b/>
          <w:bCs/>
          <w:sz w:val="28"/>
          <w:szCs w:val="28"/>
          <w:lang w:val="en-US" w:eastAsia="zh-CN" w:bidi="ar-SA"/>
        </w:rPr>
        <w:t>（4）</w:t>
      </w:r>
      <w:r>
        <w:rPr>
          <w:rFonts w:hint="eastAsia"/>
          <w:b/>
          <w:bCs/>
          <w:sz w:val="28"/>
          <w:szCs w:val="28"/>
        </w:rPr>
        <w:t>矿区水土环境污染预测分析</w:t>
      </w:r>
    </w:p>
    <w:p w14:paraId="59F6D7B6">
      <w:pPr>
        <w:shd w:val="solid" w:color="FFFFFF" w:fill="auto"/>
        <w:autoSpaceDN w:val="0"/>
        <w:spacing w:line="360" w:lineRule="auto"/>
        <w:ind w:firstLine="560" w:firstLineChars="200"/>
        <w:rPr>
          <w:rFonts w:hint="eastAsia"/>
          <w:color w:val="000000"/>
          <w:sz w:val="28"/>
          <w:szCs w:val="28"/>
        </w:rPr>
      </w:pPr>
      <w:r>
        <w:rPr>
          <w:rFonts w:hint="eastAsia"/>
          <w:color w:val="000000"/>
          <w:sz w:val="28"/>
          <w:szCs w:val="28"/>
        </w:rPr>
        <w:t>（1）水资源污染预测</w:t>
      </w:r>
    </w:p>
    <w:p w14:paraId="4DD871A1">
      <w:pPr>
        <w:spacing w:line="360" w:lineRule="auto"/>
        <w:ind w:firstLine="480"/>
        <w:rPr>
          <w:rFonts w:hint="eastAsia"/>
          <w:color w:val="000000"/>
          <w:sz w:val="28"/>
          <w:szCs w:val="28"/>
        </w:rPr>
      </w:pPr>
      <w:r>
        <w:rPr>
          <w:rFonts w:hint="eastAsia"/>
          <w:sz w:val="28"/>
          <w:szCs w:val="28"/>
        </w:rPr>
        <w:t>凹陷露天采坑内汇水通过坑底集水池和水泵抽排至矿区设置的沉砂池内，沉淀达到排放标准后自流排泄</w:t>
      </w:r>
      <w:r>
        <w:rPr>
          <w:rFonts w:hint="eastAsia"/>
          <w:color w:val="000000"/>
          <w:sz w:val="28"/>
          <w:szCs w:val="28"/>
        </w:rPr>
        <w:t>，对矿山的地表水造成污染小。岩石不存在较强烈的金属矿化现象；人类工程活动和生活活动等对水土资源环境污染小，粉尘以及废气中含有害组分小。生活活动产生的</w:t>
      </w:r>
      <w:r>
        <w:rPr>
          <w:color w:val="000000"/>
          <w:sz w:val="28"/>
          <w:szCs w:val="28"/>
        </w:rPr>
        <w:t>生活污水主要为粪便污水和洗涤水。采用化粪池处理，经处理后废水水质达到《污水综合排放标准》（GB8978—1996）中的</w:t>
      </w:r>
      <w:r>
        <w:rPr>
          <w:rFonts w:hint="eastAsia"/>
          <w:color w:val="000000"/>
          <w:sz w:val="28"/>
          <w:szCs w:val="28"/>
        </w:rPr>
        <w:t>三</w:t>
      </w:r>
      <w:r>
        <w:rPr>
          <w:color w:val="000000"/>
          <w:sz w:val="28"/>
          <w:szCs w:val="28"/>
        </w:rPr>
        <w:t>级标准后，</w:t>
      </w:r>
      <w:r>
        <w:rPr>
          <w:rFonts w:hint="eastAsia"/>
          <w:bCs/>
          <w:color w:val="000000"/>
          <w:sz w:val="28"/>
          <w:szCs w:val="28"/>
        </w:rPr>
        <w:t>可</w:t>
      </w:r>
      <w:r>
        <w:rPr>
          <w:bCs/>
          <w:color w:val="000000"/>
          <w:sz w:val="28"/>
          <w:szCs w:val="28"/>
        </w:rPr>
        <w:t>通过</w:t>
      </w:r>
      <w:r>
        <w:rPr>
          <w:rFonts w:hint="eastAsia"/>
          <w:bCs/>
          <w:color w:val="000000"/>
          <w:sz w:val="28"/>
          <w:szCs w:val="28"/>
        </w:rPr>
        <w:t>涵管排至</w:t>
      </w:r>
      <w:r>
        <w:rPr>
          <w:bCs/>
          <w:color w:val="000000"/>
          <w:sz w:val="28"/>
          <w:szCs w:val="28"/>
        </w:rPr>
        <w:t>污水管网</w:t>
      </w:r>
      <w:r>
        <w:rPr>
          <w:rFonts w:hint="eastAsia"/>
          <w:bCs/>
          <w:color w:val="000000"/>
          <w:sz w:val="28"/>
          <w:szCs w:val="28"/>
        </w:rPr>
        <w:t>统一</w:t>
      </w:r>
      <w:r>
        <w:rPr>
          <w:bCs/>
          <w:color w:val="000000"/>
          <w:sz w:val="28"/>
          <w:szCs w:val="28"/>
        </w:rPr>
        <w:t>排入</w:t>
      </w:r>
      <w:r>
        <w:rPr>
          <w:rFonts w:hint="eastAsia"/>
          <w:bCs/>
          <w:color w:val="000000"/>
          <w:sz w:val="28"/>
          <w:szCs w:val="28"/>
        </w:rPr>
        <w:t>当地</w:t>
      </w:r>
      <w:r>
        <w:rPr>
          <w:bCs/>
          <w:color w:val="000000"/>
          <w:sz w:val="28"/>
          <w:szCs w:val="28"/>
        </w:rPr>
        <w:t>污水处理</w:t>
      </w:r>
      <w:r>
        <w:rPr>
          <w:rFonts w:hint="eastAsia"/>
          <w:bCs/>
          <w:color w:val="000000"/>
          <w:sz w:val="28"/>
          <w:szCs w:val="28"/>
        </w:rPr>
        <w:t>站</w:t>
      </w:r>
      <w:r>
        <w:rPr>
          <w:color w:val="000000"/>
          <w:sz w:val="28"/>
          <w:szCs w:val="28"/>
        </w:rPr>
        <w:t>。</w:t>
      </w:r>
      <w:r>
        <w:rPr>
          <w:rFonts w:hint="eastAsia"/>
          <w:color w:val="000000"/>
          <w:sz w:val="28"/>
          <w:szCs w:val="28"/>
        </w:rPr>
        <w:t>地表径流通过沉砂、澄清后排放；矿山产生废水经沉淀、澄清后排放，对水资源污染较轻。</w:t>
      </w:r>
    </w:p>
    <w:p w14:paraId="18418122">
      <w:pPr>
        <w:shd w:val="solid" w:color="FFFFFF" w:fill="auto"/>
        <w:autoSpaceDN w:val="0"/>
        <w:spacing w:line="360" w:lineRule="auto"/>
        <w:ind w:firstLine="560" w:firstLineChars="200"/>
        <w:rPr>
          <w:rFonts w:hint="eastAsia"/>
          <w:color w:val="000000"/>
          <w:sz w:val="28"/>
          <w:szCs w:val="28"/>
        </w:rPr>
      </w:pPr>
      <w:r>
        <w:rPr>
          <w:rFonts w:hint="eastAsia"/>
          <w:color w:val="000000"/>
          <w:sz w:val="28"/>
          <w:szCs w:val="28"/>
        </w:rPr>
        <w:t>（2）土壤污染预测</w:t>
      </w:r>
    </w:p>
    <w:p w14:paraId="600F69A9">
      <w:pPr>
        <w:shd w:val="solid" w:color="FFFFFF" w:fill="auto"/>
        <w:autoSpaceDN w:val="0"/>
        <w:spacing w:line="360" w:lineRule="auto"/>
        <w:ind w:firstLine="560" w:firstLineChars="200"/>
        <w:rPr>
          <w:rFonts w:hint="eastAsia"/>
          <w:color w:val="000000"/>
          <w:sz w:val="28"/>
          <w:szCs w:val="28"/>
        </w:rPr>
      </w:pPr>
      <w:r>
        <w:rPr>
          <w:rFonts w:hint="eastAsia"/>
          <w:color w:val="000000"/>
          <w:sz w:val="28"/>
          <w:szCs w:val="28"/>
        </w:rPr>
        <w:t>后续无需进行选矿等产生污染的矿业活动。露天采场后续开采的矿石无毒、无有害物质；采矿矿业活动和生活等产生的废水中含有害组分少。预测后续矿业活动不会对土地资源造成污染。</w:t>
      </w:r>
    </w:p>
    <w:p w14:paraId="443B680C">
      <w:pPr>
        <w:widowControl w:val="0"/>
        <w:numPr>
          <w:ilvl w:val="0"/>
          <w:numId w:val="0"/>
        </w:numPr>
        <w:spacing w:line="360" w:lineRule="auto"/>
        <w:ind w:firstLine="560" w:firstLineChars="200"/>
        <w:jc w:val="both"/>
        <w:rPr>
          <w:rFonts w:hint="eastAsia"/>
          <w:b/>
          <w:bCs/>
          <w:sz w:val="28"/>
          <w:szCs w:val="28"/>
          <w:lang w:eastAsia="zh-CN"/>
        </w:rPr>
      </w:pPr>
      <w:r>
        <w:rPr>
          <w:rFonts w:hint="eastAsia"/>
          <w:color w:val="000000"/>
          <w:sz w:val="28"/>
          <w:szCs w:val="28"/>
        </w:rPr>
        <w:t>预测未来矿业活动对评估区的水土环境污染程度较轻。</w:t>
      </w:r>
    </w:p>
    <w:p w14:paraId="08527DA9">
      <w:pPr>
        <w:pStyle w:val="7"/>
        <w:bidi w:val="0"/>
        <w:spacing w:line="360" w:lineRule="auto"/>
        <w:rPr>
          <w:rFonts w:hint="default"/>
          <w:sz w:val="28"/>
          <w:szCs w:val="28"/>
          <w:lang w:val="en-US" w:eastAsia="zh-CN"/>
        </w:rPr>
      </w:pPr>
      <w:r>
        <w:rPr>
          <w:rFonts w:hint="eastAsia"/>
          <w:sz w:val="28"/>
          <w:szCs w:val="28"/>
          <w:lang w:val="en-US" w:eastAsia="zh-CN"/>
        </w:rPr>
        <w:t>2.土地损毁预测分析</w:t>
      </w:r>
    </w:p>
    <w:p w14:paraId="59982FBE">
      <w:pPr>
        <w:spacing w:line="360" w:lineRule="auto"/>
        <w:rPr>
          <w:rFonts w:hint="eastAsia"/>
          <w:sz w:val="28"/>
          <w:szCs w:val="28"/>
          <w:highlight w:val="none"/>
          <w:lang w:val="en-US" w:eastAsia="zh-CN"/>
        </w:rPr>
      </w:pPr>
      <w:r>
        <w:rPr>
          <w:sz w:val="28"/>
          <w:szCs w:val="28"/>
          <w:highlight w:val="none"/>
        </w:rPr>
        <w:t>根据矿山的</w:t>
      </w:r>
      <w:r>
        <w:rPr>
          <w:rFonts w:hint="eastAsia"/>
          <w:sz w:val="28"/>
          <w:szCs w:val="28"/>
          <w:highlight w:val="none"/>
          <w:lang w:val="en-US" w:eastAsia="zh-CN"/>
        </w:rPr>
        <w:t>建设现状及开采</w:t>
      </w:r>
      <w:r>
        <w:rPr>
          <w:sz w:val="28"/>
          <w:szCs w:val="28"/>
          <w:highlight w:val="none"/>
        </w:rPr>
        <w:t>方案，预测随着矿业活动的推进，土地损毁主要表现为</w:t>
      </w:r>
      <w:r>
        <w:rPr>
          <w:rFonts w:hint="eastAsia"/>
          <w:sz w:val="28"/>
          <w:szCs w:val="28"/>
          <w:highlight w:val="none"/>
          <w:lang w:val="en-US" w:eastAsia="zh-CN"/>
        </w:rPr>
        <w:t>露天采场挖损、复垦用土临时堆场压占、破碎站建设压占，拟损毁土地面积17.9371 hm</w:t>
      </w:r>
      <w:r>
        <w:rPr>
          <w:rFonts w:hint="eastAsia"/>
          <w:sz w:val="28"/>
          <w:szCs w:val="28"/>
          <w:highlight w:val="none"/>
          <w:vertAlign w:val="superscript"/>
          <w:lang w:val="en-US" w:eastAsia="zh-CN"/>
        </w:rPr>
        <w:t>2</w:t>
      </w:r>
      <w:r>
        <w:rPr>
          <w:rFonts w:hint="eastAsia"/>
          <w:sz w:val="28"/>
          <w:szCs w:val="28"/>
          <w:highlight w:val="none"/>
          <w:lang w:val="en-US" w:eastAsia="zh-CN"/>
        </w:rPr>
        <w:t>。对具体损毁情况预测如下：</w:t>
      </w:r>
    </w:p>
    <w:p w14:paraId="2D7CEEA2">
      <w:pPr>
        <w:spacing w:line="360" w:lineRule="auto"/>
        <w:rPr>
          <w:rFonts w:hint="eastAsia"/>
          <w:sz w:val="28"/>
          <w:szCs w:val="28"/>
          <w:lang w:val="en-US" w:eastAsia="zh-CN"/>
        </w:rPr>
      </w:pPr>
      <w:r>
        <w:rPr>
          <w:rFonts w:hint="eastAsia"/>
          <w:sz w:val="28"/>
          <w:szCs w:val="28"/>
          <w:lang w:val="en-US" w:eastAsia="zh-CN"/>
        </w:rPr>
        <w:t>①露天采场挖损土地预测</w:t>
      </w:r>
    </w:p>
    <w:p w14:paraId="2CB0C0CC">
      <w:pPr>
        <w:spacing w:line="360" w:lineRule="auto"/>
        <w:rPr>
          <w:rFonts w:hint="eastAsia"/>
          <w:sz w:val="28"/>
          <w:szCs w:val="28"/>
        </w:rPr>
      </w:pPr>
      <w:r>
        <w:rPr>
          <w:rFonts w:hint="eastAsia"/>
          <w:sz w:val="28"/>
          <w:szCs w:val="28"/>
        </w:rPr>
        <w:t>根据开发利用方案设计的开采终了境界，</w:t>
      </w:r>
      <w:r>
        <w:rPr>
          <w:rFonts w:hint="eastAsia" w:ascii="宋体" w:hAnsi="宋体" w:cs="宋体"/>
          <w:kern w:val="0"/>
          <w:sz w:val="28"/>
          <w:szCs w:val="28"/>
        </w:rPr>
        <w:t>露天采场实际挖损面积为</w:t>
      </w:r>
      <w:r>
        <w:rPr>
          <w:rFonts w:ascii="宋体" w:hAnsi="宋体" w:cs="宋体"/>
          <w:kern w:val="0"/>
          <w:sz w:val="28"/>
          <w:szCs w:val="28"/>
        </w:rPr>
        <w:t>0.1012</w:t>
      </w:r>
      <w:r>
        <w:rPr>
          <w:rFonts w:hint="eastAsia" w:ascii="宋体" w:hAnsi="宋体" w:cs="宋体"/>
          <w:kern w:val="0"/>
          <w:sz w:val="28"/>
          <w:szCs w:val="28"/>
        </w:rPr>
        <w:t>km</w:t>
      </w:r>
      <w:r>
        <w:rPr>
          <w:rFonts w:hint="eastAsia" w:ascii="宋体" w:hAnsi="宋体" w:cs="宋体"/>
          <w:kern w:val="0"/>
          <w:sz w:val="28"/>
          <w:szCs w:val="28"/>
          <w:vertAlign w:val="superscript"/>
        </w:rPr>
        <w:t>2</w:t>
      </w:r>
      <w:r>
        <w:rPr>
          <w:rFonts w:hint="eastAsia" w:ascii="宋体" w:hAnsi="宋体" w:cs="宋体"/>
          <w:kern w:val="0"/>
          <w:sz w:val="28"/>
          <w:szCs w:val="28"/>
        </w:rPr>
        <w:t>，</w:t>
      </w:r>
      <w:r>
        <w:rPr>
          <w:rFonts w:hint="eastAsia"/>
          <w:sz w:val="28"/>
          <w:szCs w:val="28"/>
        </w:rPr>
        <w:t>开采区后续拟</w:t>
      </w:r>
      <w:r>
        <w:rPr>
          <w:rFonts w:hint="eastAsia"/>
          <w:sz w:val="28"/>
          <w:szCs w:val="28"/>
          <w:lang w:val="en-US" w:eastAsia="zh-CN"/>
        </w:rPr>
        <w:t>开采新增</w:t>
      </w:r>
      <w:r>
        <w:rPr>
          <w:rFonts w:hint="eastAsia"/>
          <w:sz w:val="28"/>
          <w:szCs w:val="28"/>
        </w:rPr>
        <w:t>损毁面积为</w:t>
      </w:r>
      <w:r>
        <w:rPr>
          <w:rFonts w:hint="eastAsia"/>
          <w:bCs/>
          <w:color w:val="000000"/>
          <w:sz w:val="28"/>
          <w:szCs w:val="28"/>
          <w:highlight w:val="none"/>
          <w:lang w:val="en-US" w:eastAsia="zh-CN"/>
        </w:rPr>
        <w:t>8.3331hm</w:t>
      </w:r>
      <w:r>
        <w:rPr>
          <w:rFonts w:hint="eastAsia"/>
          <w:bCs/>
          <w:color w:val="000000"/>
          <w:sz w:val="28"/>
          <w:szCs w:val="28"/>
          <w:highlight w:val="none"/>
          <w:vertAlign w:val="superscript"/>
          <w:lang w:val="en-US" w:eastAsia="zh-CN"/>
        </w:rPr>
        <w:t>2</w:t>
      </w:r>
      <w:r>
        <w:rPr>
          <w:rFonts w:hint="eastAsia"/>
          <w:bCs/>
          <w:color w:val="000000"/>
          <w:sz w:val="28"/>
          <w:szCs w:val="28"/>
          <w:lang w:val="en-US" w:eastAsia="zh-CN"/>
        </w:rPr>
        <w:t>，</w:t>
      </w:r>
      <w:r>
        <w:rPr>
          <w:rFonts w:hint="eastAsia"/>
          <w:sz w:val="28"/>
          <w:szCs w:val="28"/>
          <w:lang w:val="en-US" w:eastAsia="zh-CN"/>
        </w:rPr>
        <w:t>其他区域损毁范围与现有历史采坑一重叠。设计开采区最大采深29m，</w:t>
      </w:r>
      <w:r>
        <w:rPr>
          <w:rFonts w:hint="eastAsia"/>
          <w:sz w:val="28"/>
          <w:szCs w:val="28"/>
        </w:rPr>
        <w:t>采用自上往下、分水平台阶式采矿方法</w:t>
      </w:r>
      <w:r>
        <w:rPr>
          <w:rFonts w:hint="eastAsia"/>
          <w:sz w:val="28"/>
          <w:szCs w:val="28"/>
          <w:lang w:eastAsia="zh-CN"/>
        </w:rPr>
        <w:t>，</w:t>
      </w:r>
      <w:r>
        <w:rPr>
          <w:rFonts w:hint="eastAsia"/>
          <w:sz w:val="28"/>
          <w:szCs w:val="28"/>
        </w:rPr>
        <w:t>终了台阶自上而下分别为：+55m、+50m、+42m和+30m共4个开采平台。损毁类型为挖损，</w:t>
      </w:r>
      <w:r>
        <w:rPr>
          <w:rFonts w:hint="eastAsia"/>
          <w:sz w:val="28"/>
          <w:szCs w:val="28"/>
          <w:lang w:val="en-US" w:eastAsia="zh-CN"/>
        </w:rPr>
        <w:t>拟</w:t>
      </w:r>
      <w:r>
        <w:rPr>
          <w:rFonts w:hint="eastAsia"/>
          <w:sz w:val="28"/>
          <w:szCs w:val="28"/>
        </w:rPr>
        <w:t>损毁土地类型为</w:t>
      </w:r>
      <w:r>
        <w:rPr>
          <w:rFonts w:hint="eastAsia"/>
          <w:sz w:val="28"/>
          <w:szCs w:val="28"/>
          <w:lang w:val="en-US" w:eastAsia="zh-CN"/>
        </w:rPr>
        <w:t>主要为果园、乔木林地、灌木林地、其他草地、沟渠，损毁程度为重度损毁</w:t>
      </w:r>
      <w:r>
        <w:rPr>
          <w:rFonts w:hint="eastAsia"/>
          <w:sz w:val="28"/>
          <w:szCs w:val="28"/>
        </w:rPr>
        <w:t>。</w:t>
      </w:r>
    </w:p>
    <w:p w14:paraId="7CBB5271">
      <w:pPr>
        <w:spacing w:line="360" w:lineRule="auto"/>
        <w:rPr>
          <w:rFonts w:hint="eastAsia"/>
          <w:sz w:val="28"/>
          <w:szCs w:val="28"/>
          <w:lang w:val="en-US" w:eastAsia="zh-CN"/>
        </w:rPr>
      </w:pPr>
      <w:r>
        <w:rPr>
          <w:rFonts w:hint="eastAsia"/>
          <w:sz w:val="28"/>
          <w:szCs w:val="28"/>
          <w:lang w:val="en-US" w:eastAsia="zh-CN"/>
        </w:rPr>
        <w:t>②破碎站压占土地预测</w:t>
      </w:r>
    </w:p>
    <w:p w14:paraId="7E12D31B">
      <w:pPr>
        <w:spacing w:line="360" w:lineRule="auto"/>
        <w:rPr>
          <w:rFonts w:hint="default" w:eastAsia="宋体"/>
          <w:sz w:val="28"/>
          <w:szCs w:val="28"/>
          <w:lang w:val="en-US" w:eastAsia="zh-CN"/>
        </w:rPr>
      </w:pPr>
      <w:r>
        <w:rPr>
          <w:rFonts w:hint="eastAsia"/>
          <w:sz w:val="28"/>
          <w:szCs w:val="28"/>
        </w:rPr>
        <w:t>根据开发利用方案设计</w:t>
      </w:r>
      <w:r>
        <w:rPr>
          <w:rFonts w:hint="eastAsia"/>
          <w:sz w:val="28"/>
          <w:szCs w:val="28"/>
          <w:lang w:val="en-US" w:eastAsia="zh-CN"/>
        </w:rPr>
        <w:t>，</w:t>
      </w:r>
      <w:r>
        <w:rPr>
          <w:rFonts w:hint="eastAsia" w:ascii="宋体" w:hAnsi="宋体"/>
          <w:sz w:val="28"/>
          <w:szCs w:val="28"/>
        </w:rPr>
        <w:t>破碎站设置在矿区</w:t>
      </w:r>
      <w:r>
        <w:rPr>
          <w:rFonts w:hint="eastAsia"/>
          <w:sz w:val="28"/>
          <w:szCs w:val="28"/>
        </w:rPr>
        <w:t>矿区东南部</w:t>
      </w:r>
      <w:r>
        <w:rPr>
          <w:rFonts w:hint="eastAsia" w:ascii="宋体" w:hAnsi="宋体"/>
          <w:sz w:val="28"/>
          <w:szCs w:val="28"/>
        </w:rPr>
        <w:t>，</w:t>
      </w:r>
      <w:r>
        <w:rPr>
          <w:rFonts w:hint="eastAsia" w:ascii="宋体" w:hAnsi="宋体"/>
          <w:sz w:val="28"/>
          <w:szCs w:val="28"/>
          <w:highlight w:val="none"/>
          <w:lang w:val="en-US" w:eastAsia="zh-CN"/>
        </w:rPr>
        <w:t>破碎站设计面积</w:t>
      </w:r>
      <w:r>
        <w:rPr>
          <w:rFonts w:hint="eastAsia" w:ascii="宋体" w:hAnsi="宋体"/>
          <w:sz w:val="28"/>
          <w:szCs w:val="28"/>
          <w:lang w:val="en-US" w:eastAsia="zh-CN"/>
        </w:rPr>
        <w:t>1.9368h</w:t>
      </w:r>
      <w:r>
        <w:rPr>
          <w:rFonts w:hint="eastAsia" w:ascii="宋体" w:hAnsi="宋体"/>
          <w:sz w:val="28"/>
          <w:szCs w:val="28"/>
        </w:rPr>
        <w:t>m</w:t>
      </w:r>
      <w:r>
        <w:rPr>
          <w:rFonts w:hint="eastAsia" w:ascii="宋体" w:hAnsi="宋体"/>
          <w:sz w:val="28"/>
          <w:szCs w:val="28"/>
          <w:vertAlign w:val="superscript"/>
        </w:rPr>
        <w:t>2</w:t>
      </w:r>
      <w:r>
        <w:rPr>
          <w:rFonts w:hint="eastAsia" w:ascii="宋体" w:hAnsi="宋体"/>
          <w:sz w:val="28"/>
          <w:szCs w:val="28"/>
        </w:rPr>
        <w:t>。场地原始地形标高约为+</w:t>
      </w:r>
      <w:r>
        <w:rPr>
          <w:rFonts w:ascii="宋体" w:hAnsi="宋体"/>
          <w:sz w:val="28"/>
          <w:szCs w:val="28"/>
        </w:rPr>
        <w:t>59</w:t>
      </w:r>
      <w:r>
        <w:rPr>
          <w:rFonts w:hint="eastAsia" w:ascii="宋体" w:hAnsi="宋体"/>
          <w:sz w:val="28"/>
          <w:szCs w:val="28"/>
        </w:rPr>
        <w:t>m～+</w:t>
      </w:r>
      <w:r>
        <w:rPr>
          <w:rFonts w:ascii="宋体" w:hAnsi="宋体"/>
          <w:sz w:val="28"/>
          <w:szCs w:val="28"/>
        </w:rPr>
        <w:t>69</w:t>
      </w:r>
      <w:r>
        <w:rPr>
          <w:rFonts w:hint="eastAsia" w:ascii="宋体" w:hAnsi="宋体"/>
          <w:sz w:val="28"/>
          <w:szCs w:val="28"/>
        </w:rPr>
        <w:t>m之间，地形平缓、开阔。</w:t>
      </w:r>
      <w:r>
        <w:rPr>
          <w:rFonts w:hint="eastAsia" w:ascii="宋体" w:hAnsi="宋体"/>
          <w:sz w:val="28"/>
          <w:szCs w:val="28"/>
          <w:lang w:val="en-US" w:eastAsia="zh-CN"/>
        </w:rPr>
        <w:t>未来开采过程中将对破碎站进行少量改造建设，预计新增损毁土地面积</w:t>
      </w:r>
      <w:r>
        <w:rPr>
          <w:rFonts w:hint="eastAsia"/>
          <w:sz w:val="28"/>
          <w:szCs w:val="28"/>
          <w:highlight w:val="none"/>
          <w:lang w:val="en-US" w:eastAsia="zh-CN"/>
        </w:rPr>
        <w:t>0.6052</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rPr>
        <w:t>，</w:t>
      </w:r>
      <w:r>
        <w:rPr>
          <w:rFonts w:hint="eastAsia"/>
          <w:sz w:val="28"/>
          <w:szCs w:val="28"/>
          <w:lang w:val="en-US" w:eastAsia="zh-CN"/>
        </w:rPr>
        <w:t>其他区域损毁范围和原破碎站重叠。</w:t>
      </w:r>
      <w:r>
        <w:rPr>
          <w:rFonts w:hint="eastAsia"/>
          <w:sz w:val="28"/>
          <w:szCs w:val="28"/>
        </w:rPr>
        <w:t>损毁类型为</w:t>
      </w:r>
      <w:r>
        <w:rPr>
          <w:rFonts w:hint="eastAsia"/>
          <w:sz w:val="28"/>
          <w:szCs w:val="28"/>
          <w:lang w:val="en-US" w:eastAsia="zh-CN"/>
        </w:rPr>
        <w:t>压占</w:t>
      </w:r>
      <w:r>
        <w:rPr>
          <w:rFonts w:hint="eastAsia"/>
          <w:sz w:val="28"/>
          <w:szCs w:val="28"/>
        </w:rPr>
        <w:t>，</w:t>
      </w:r>
      <w:r>
        <w:rPr>
          <w:rFonts w:hint="eastAsia"/>
          <w:sz w:val="28"/>
          <w:szCs w:val="28"/>
          <w:lang w:val="en-US" w:eastAsia="zh-CN"/>
        </w:rPr>
        <w:t>拟</w:t>
      </w:r>
      <w:r>
        <w:rPr>
          <w:rFonts w:hint="eastAsia"/>
          <w:sz w:val="28"/>
          <w:szCs w:val="28"/>
        </w:rPr>
        <w:t>损毁土地类型为</w:t>
      </w:r>
      <w:r>
        <w:rPr>
          <w:rFonts w:hint="eastAsia"/>
          <w:sz w:val="28"/>
          <w:szCs w:val="28"/>
          <w:highlight w:val="none"/>
        </w:rPr>
        <w:t>采矿用地</w:t>
      </w:r>
      <w:r>
        <w:rPr>
          <w:rFonts w:hint="eastAsia"/>
          <w:sz w:val="28"/>
          <w:szCs w:val="28"/>
          <w:highlight w:val="none"/>
          <w:lang w:val="en-US" w:eastAsia="zh-CN"/>
        </w:rPr>
        <w:t>，</w:t>
      </w:r>
      <w:r>
        <w:rPr>
          <w:rFonts w:hint="eastAsia"/>
          <w:sz w:val="28"/>
          <w:szCs w:val="28"/>
          <w:lang w:val="en-US" w:eastAsia="zh-CN"/>
        </w:rPr>
        <w:t>损毁程度为中度损毁</w:t>
      </w:r>
      <w:r>
        <w:rPr>
          <w:rFonts w:hint="eastAsia"/>
          <w:sz w:val="28"/>
          <w:szCs w:val="28"/>
        </w:rPr>
        <w:t>。</w:t>
      </w:r>
    </w:p>
    <w:p w14:paraId="3F4CFB84">
      <w:pPr>
        <w:spacing w:line="360" w:lineRule="auto"/>
        <w:rPr>
          <w:rFonts w:hint="eastAsia"/>
          <w:sz w:val="28"/>
          <w:szCs w:val="28"/>
          <w:lang w:val="en-US" w:eastAsia="zh-CN"/>
        </w:rPr>
      </w:pPr>
      <w:r>
        <w:rPr>
          <w:rFonts w:hint="default"/>
          <w:sz w:val="28"/>
          <w:szCs w:val="28"/>
          <w:lang w:val="en-US" w:eastAsia="zh-CN"/>
        </w:rPr>
        <w:t>③</w:t>
      </w:r>
      <w:r>
        <w:rPr>
          <w:rFonts w:hint="eastAsia"/>
          <w:sz w:val="28"/>
          <w:szCs w:val="28"/>
          <w:lang w:val="en-US" w:eastAsia="zh-CN"/>
        </w:rPr>
        <w:t>复垦用土临时堆场压占土地预测</w:t>
      </w:r>
    </w:p>
    <w:p w14:paraId="04F43D77">
      <w:pPr>
        <w:spacing w:line="360" w:lineRule="auto"/>
        <w:rPr>
          <w:rFonts w:hint="eastAsia"/>
          <w:sz w:val="28"/>
          <w:szCs w:val="28"/>
          <w:highlight w:val="none"/>
        </w:rPr>
      </w:pPr>
      <w:r>
        <w:rPr>
          <w:rFonts w:hint="eastAsia"/>
          <w:sz w:val="28"/>
          <w:szCs w:val="28"/>
        </w:rPr>
        <w:t>根据开发利用方案设计</w:t>
      </w:r>
      <w:r>
        <w:rPr>
          <w:rFonts w:hint="eastAsia"/>
          <w:sz w:val="28"/>
          <w:szCs w:val="28"/>
          <w:lang w:val="en-US" w:eastAsia="zh-CN"/>
        </w:rPr>
        <w:t>，</w:t>
      </w:r>
      <w:r>
        <w:rPr>
          <w:rFonts w:hint="eastAsia" w:ascii="宋体" w:hAnsi="宋体"/>
          <w:sz w:val="28"/>
          <w:szCs w:val="28"/>
        </w:rPr>
        <w:t>复垦用土临时堆场设置于矿区南侧、破碎站北侧，地</w:t>
      </w:r>
      <w:r>
        <w:rPr>
          <w:rFonts w:hint="eastAsia" w:ascii="宋体" w:hAnsi="宋体"/>
          <w:sz w:val="28"/>
          <w:szCs w:val="28"/>
          <w:highlight w:val="none"/>
        </w:rPr>
        <w:t>势平坦，设计堆放场地面积约</w:t>
      </w:r>
      <w:r>
        <w:rPr>
          <w:rFonts w:ascii="宋体" w:hAnsi="宋体"/>
          <w:sz w:val="28"/>
          <w:szCs w:val="28"/>
          <w:highlight w:val="none"/>
        </w:rPr>
        <w:t>1</w:t>
      </w:r>
      <w:r>
        <w:rPr>
          <w:rFonts w:hint="eastAsia" w:ascii="宋体" w:hAnsi="宋体"/>
          <w:sz w:val="28"/>
          <w:szCs w:val="28"/>
          <w:highlight w:val="none"/>
          <w:lang w:val="en-US" w:eastAsia="zh-CN"/>
        </w:rPr>
        <w:t>.</w:t>
      </w:r>
      <w:r>
        <w:rPr>
          <w:rFonts w:ascii="宋体" w:hAnsi="宋体"/>
          <w:sz w:val="28"/>
          <w:szCs w:val="28"/>
          <w:highlight w:val="none"/>
        </w:rPr>
        <w:t>4921</w:t>
      </w:r>
      <w:r>
        <w:rPr>
          <w:rFonts w:hint="eastAsia" w:ascii="宋体" w:hAnsi="宋体"/>
          <w:sz w:val="28"/>
          <w:szCs w:val="28"/>
          <w:highlight w:val="none"/>
          <w:lang w:val="en-US" w:eastAsia="zh-CN"/>
        </w:rPr>
        <w:t>h</w:t>
      </w:r>
      <w:r>
        <w:rPr>
          <w:rFonts w:hint="eastAsia" w:ascii="宋体" w:hAnsi="宋体"/>
          <w:sz w:val="28"/>
          <w:szCs w:val="28"/>
          <w:highlight w:val="none"/>
        </w:rPr>
        <w:t>m</w:t>
      </w:r>
      <w:r>
        <w:rPr>
          <w:rFonts w:hint="eastAsia" w:ascii="宋体" w:hAnsi="宋体"/>
          <w:sz w:val="28"/>
          <w:szCs w:val="28"/>
          <w:highlight w:val="none"/>
          <w:vertAlign w:val="superscript"/>
        </w:rPr>
        <w:t>2</w:t>
      </w:r>
      <w:r>
        <w:rPr>
          <w:rFonts w:hint="eastAsia" w:ascii="宋体" w:hAnsi="宋体" w:cs="宋体"/>
          <w:sz w:val="28"/>
          <w:szCs w:val="28"/>
          <w:highlight w:val="none"/>
        </w:rPr>
        <w:t>（包括料堆面积、汽车装运场地、拦挡设施及截排水设施）</w:t>
      </w:r>
      <w:r>
        <w:rPr>
          <w:rFonts w:hint="eastAsia" w:ascii="宋体" w:hAnsi="宋体"/>
          <w:sz w:val="28"/>
          <w:szCs w:val="28"/>
          <w:highlight w:val="none"/>
        </w:rPr>
        <w:t>。</w:t>
      </w:r>
      <w:r>
        <w:rPr>
          <w:rFonts w:hint="eastAsia" w:ascii="宋体" w:hAnsi="宋体"/>
          <w:sz w:val="28"/>
          <w:szCs w:val="28"/>
          <w:highlight w:val="none"/>
          <w:lang w:val="en-US" w:eastAsia="zh-CN"/>
        </w:rPr>
        <w:t>预计新增损毁土地面积</w:t>
      </w:r>
      <w:r>
        <w:rPr>
          <w:rFonts w:ascii="宋体" w:hAnsi="宋体"/>
          <w:sz w:val="28"/>
          <w:szCs w:val="28"/>
          <w:highlight w:val="none"/>
        </w:rPr>
        <w:t>1</w:t>
      </w:r>
      <w:r>
        <w:rPr>
          <w:rFonts w:hint="eastAsia" w:ascii="宋体" w:hAnsi="宋体"/>
          <w:sz w:val="28"/>
          <w:szCs w:val="28"/>
          <w:highlight w:val="none"/>
          <w:lang w:val="en-US" w:eastAsia="zh-CN"/>
        </w:rPr>
        <w:t>.</w:t>
      </w:r>
      <w:r>
        <w:rPr>
          <w:rFonts w:ascii="宋体" w:hAnsi="宋体"/>
          <w:sz w:val="28"/>
          <w:szCs w:val="28"/>
          <w:highlight w:val="none"/>
        </w:rPr>
        <w:t>4921</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vertAlign w:val="baseline"/>
          <w:lang w:eastAsia="zh-CN"/>
        </w:rPr>
        <w:t>，</w:t>
      </w:r>
      <w:r>
        <w:rPr>
          <w:rFonts w:hint="eastAsia"/>
          <w:sz w:val="28"/>
          <w:szCs w:val="28"/>
          <w:highlight w:val="none"/>
          <w:lang w:val="en-US" w:eastAsia="zh-CN"/>
        </w:rPr>
        <w:t>损毁方式为压占，损毁土地类型为乔木林地、其他草地、采矿用地，损毁程度为中度损毁</w:t>
      </w:r>
      <w:r>
        <w:rPr>
          <w:rFonts w:hint="eastAsia"/>
          <w:sz w:val="28"/>
          <w:szCs w:val="28"/>
          <w:highlight w:val="none"/>
        </w:rPr>
        <w:t>。</w:t>
      </w:r>
    </w:p>
    <w:p w14:paraId="20297BEF">
      <w:pPr>
        <w:spacing w:line="360" w:lineRule="auto"/>
        <w:rPr>
          <w:rFonts w:hint="default"/>
          <w:sz w:val="28"/>
          <w:szCs w:val="28"/>
          <w:highlight w:val="none"/>
          <w:lang w:val="en-US" w:eastAsia="zh-CN"/>
        </w:rPr>
      </w:pPr>
      <w:r>
        <w:rPr>
          <w:rFonts w:hint="default"/>
          <w:sz w:val="28"/>
          <w:szCs w:val="28"/>
          <w:highlight w:val="none"/>
          <w:lang w:val="en-US" w:eastAsia="zh-CN"/>
        </w:rPr>
        <w:t>④</w:t>
      </w:r>
      <w:r>
        <w:rPr>
          <w:rFonts w:hint="eastAsia"/>
          <w:sz w:val="28"/>
          <w:szCs w:val="28"/>
          <w:highlight w:val="none"/>
          <w:lang w:val="en-US" w:eastAsia="zh-CN"/>
        </w:rPr>
        <w:t>排土场压占土地预测</w:t>
      </w:r>
    </w:p>
    <w:p w14:paraId="182DAAEC">
      <w:pPr>
        <w:spacing w:line="360" w:lineRule="auto"/>
        <w:rPr>
          <w:rFonts w:hint="eastAsia"/>
          <w:sz w:val="28"/>
          <w:szCs w:val="28"/>
          <w:highlight w:val="none"/>
        </w:rPr>
      </w:pPr>
      <w:r>
        <w:rPr>
          <w:rFonts w:hint="eastAsia" w:ascii="宋体" w:hAnsi="宋体"/>
          <w:color w:val="000000"/>
          <w:sz w:val="28"/>
          <w:szCs w:val="28"/>
        </w:rPr>
        <w:t>排土场设置在矿区</w:t>
      </w:r>
      <w:r>
        <w:rPr>
          <w:rFonts w:hint="eastAsia" w:ascii="宋体" w:hAnsi="宋体"/>
          <w:sz w:val="28"/>
          <w:szCs w:val="28"/>
        </w:rPr>
        <w:t>3号拐点西南侧</w:t>
      </w:r>
      <w:r>
        <w:rPr>
          <w:rFonts w:hint="eastAsia"/>
          <w:sz w:val="28"/>
          <w:szCs w:val="28"/>
          <w:lang w:val="en-US" w:eastAsia="zh-CN"/>
        </w:rPr>
        <w:t>历史采坑二全部区域</w:t>
      </w:r>
      <w:r>
        <w:rPr>
          <w:rFonts w:hint="eastAsia" w:ascii="宋体" w:hAnsi="宋体"/>
          <w:sz w:val="28"/>
          <w:szCs w:val="28"/>
        </w:rPr>
        <w:t>，总占地面积约</w:t>
      </w:r>
      <w:r>
        <w:rPr>
          <w:rFonts w:ascii="宋体" w:hAnsi="宋体"/>
          <w:sz w:val="28"/>
          <w:szCs w:val="28"/>
        </w:rPr>
        <w:t>24635</w:t>
      </w:r>
      <w:r>
        <w:rPr>
          <w:rFonts w:hint="eastAsia" w:ascii="宋体" w:hAnsi="宋体"/>
          <w:sz w:val="28"/>
          <w:szCs w:val="28"/>
        </w:rPr>
        <w:t>m</w:t>
      </w:r>
      <w:r>
        <w:rPr>
          <w:rFonts w:hint="eastAsia" w:ascii="宋体" w:hAnsi="宋体"/>
          <w:sz w:val="28"/>
          <w:szCs w:val="28"/>
          <w:vertAlign w:val="superscript"/>
        </w:rPr>
        <w:t>2</w:t>
      </w:r>
      <w:r>
        <w:rPr>
          <w:rFonts w:hint="eastAsia" w:ascii="宋体" w:hAnsi="宋体" w:cs="宋体"/>
          <w:sz w:val="28"/>
          <w:szCs w:val="28"/>
        </w:rPr>
        <w:t>（包括料堆面积、汽车装运场地及截排水设施）</w:t>
      </w:r>
      <w:r>
        <w:rPr>
          <w:rFonts w:hint="eastAsia" w:ascii="宋体" w:hAnsi="宋体"/>
          <w:sz w:val="28"/>
          <w:szCs w:val="28"/>
        </w:rPr>
        <w:t>。根据场地情况，</w:t>
      </w:r>
      <w:r>
        <w:rPr>
          <w:rFonts w:hint="eastAsia" w:ascii="宋体" w:hAnsi="宋体" w:cs="宋体"/>
          <w:sz w:val="28"/>
          <w:szCs w:val="28"/>
        </w:rPr>
        <w:t>采用</w:t>
      </w:r>
      <w:r>
        <w:rPr>
          <w:rFonts w:hint="eastAsia"/>
          <w:sz w:val="28"/>
          <w:szCs w:val="28"/>
        </w:rPr>
        <w:t>凹陷地形堆放</w:t>
      </w:r>
      <w:r>
        <w:rPr>
          <w:rFonts w:hint="eastAsia" w:ascii="宋体" w:hAnsi="宋体" w:cs="宋体"/>
          <w:sz w:val="28"/>
          <w:szCs w:val="28"/>
        </w:rPr>
        <w:t>方式堆填</w:t>
      </w:r>
      <w:r>
        <w:rPr>
          <w:rFonts w:hint="eastAsia"/>
          <w:sz w:val="28"/>
          <w:szCs w:val="28"/>
        </w:rPr>
        <w:t>，设计排土场堆土的顶部标高至约53-57m，堆放完成后形成北东平台（标高约57m）南西平台（标高约53m）两个堆填终了平台。损毁类型为</w:t>
      </w:r>
      <w:r>
        <w:rPr>
          <w:rFonts w:hint="eastAsia"/>
          <w:sz w:val="28"/>
          <w:szCs w:val="28"/>
          <w:lang w:val="en-US" w:eastAsia="zh-CN"/>
        </w:rPr>
        <w:t>压占</w:t>
      </w:r>
      <w:r>
        <w:rPr>
          <w:rFonts w:hint="eastAsia"/>
          <w:sz w:val="28"/>
          <w:szCs w:val="28"/>
        </w:rPr>
        <w:t>，</w:t>
      </w:r>
      <w:r>
        <w:rPr>
          <w:rFonts w:hint="eastAsia"/>
          <w:sz w:val="28"/>
          <w:szCs w:val="28"/>
          <w:highlight w:val="none"/>
          <w:lang w:val="en-US" w:eastAsia="zh-CN"/>
        </w:rPr>
        <w:t>损毁程度为中度损毁</w:t>
      </w:r>
      <w:r>
        <w:rPr>
          <w:rFonts w:hint="eastAsia"/>
          <w:sz w:val="28"/>
          <w:szCs w:val="28"/>
          <w:highlight w:val="none"/>
        </w:rPr>
        <w:t>。</w:t>
      </w:r>
    </w:p>
    <w:p w14:paraId="258F5A38">
      <w:pPr>
        <w:spacing w:line="360" w:lineRule="auto"/>
        <w:rPr>
          <w:rFonts w:hint="default"/>
          <w:sz w:val="28"/>
          <w:szCs w:val="28"/>
          <w:highlight w:val="none"/>
          <w:lang w:val="en-US" w:eastAsia="zh-CN"/>
        </w:rPr>
      </w:pPr>
      <w:r>
        <w:rPr>
          <w:rFonts w:hint="eastAsia"/>
          <w:sz w:val="28"/>
          <w:szCs w:val="28"/>
          <w:highlight w:val="none"/>
          <w:lang w:val="en-US" w:eastAsia="zh-CN"/>
        </w:rPr>
        <w:t>⑤办公生活区与原综合服务区</w:t>
      </w:r>
    </w:p>
    <w:p w14:paraId="4C1569F7">
      <w:pPr>
        <w:spacing w:line="360" w:lineRule="auto"/>
        <w:rPr>
          <w:rFonts w:hint="eastAsia"/>
          <w:sz w:val="28"/>
          <w:szCs w:val="28"/>
          <w:highlight w:val="none"/>
          <w:lang w:val="en-US" w:eastAsia="zh-CN"/>
        </w:rPr>
      </w:pPr>
      <w:r>
        <w:rPr>
          <w:rFonts w:hint="eastAsia" w:ascii="宋体" w:hAnsi="宋体"/>
          <w:sz w:val="28"/>
          <w:szCs w:val="28"/>
        </w:rPr>
        <w:t>办公生活区设置在矿区</w:t>
      </w:r>
      <w:r>
        <w:rPr>
          <w:rFonts w:hint="eastAsia"/>
          <w:sz w:val="28"/>
          <w:szCs w:val="28"/>
        </w:rPr>
        <w:t>东南部</w:t>
      </w:r>
      <w:r>
        <w:rPr>
          <w:rFonts w:hint="eastAsia"/>
          <w:sz w:val="28"/>
          <w:szCs w:val="28"/>
          <w:lang w:eastAsia="zh-CN"/>
        </w:rPr>
        <w:t>，</w:t>
      </w:r>
      <w:r>
        <w:rPr>
          <w:rFonts w:hint="eastAsia"/>
          <w:sz w:val="28"/>
          <w:szCs w:val="28"/>
          <w:lang w:val="en-US" w:eastAsia="zh-CN"/>
        </w:rPr>
        <w:t>与原综合服务区部分重叠</w:t>
      </w:r>
      <w:r>
        <w:rPr>
          <w:rFonts w:hint="eastAsia" w:ascii="宋体" w:hAnsi="宋体" w:cs="宋体"/>
          <w:kern w:val="0"/>
          <w:sz w:val="28"/>
          <w:szCs w:val="28"/>
        </w:rPr>
        <w:t>，包括行政办公楼、员工宿舍、医务室、食堂、文娱设施等</w:t>
      </w:r>
      <w:r>
        <w:rPr>
          <w:rFonts w:hint="eastAsia" w:ascii="宋体" w:hAnsi="宋体" w:cs="宋体"/>
          <w:kern w:val="0"/>
          <w:sz w:val="28"/>
          <w:szCs w:val="28"/>
          <w:lang w:val="en-US" w:eastAsia="zh-CN"/>
        </w:rPr>
        <w:t>。</w:t>
      </w:r>
      <w:r>
        <w:rPr>
          <w:rFonts w:hint="eastAsia"/>
          <w:sz w:val="28"/>
          <w:szCs w:val="28"/>
        </w:rPr>
        <w:t>损毁类型为</w:t>
      </w:r>
      <w:r>
        <w:rPr>
          <w:rFonts w:hint="eastAsia"/>
          <w:sz w:val="28"/>
          <w:szCs w:val="28"/>
          <w:lang w:val="en-US" w:eastAsia="zh-CN"/>
        </w:rPr>
        <w:t>压占</w:t>
      </w:r>
      <w:r>
        <w:rPr>
          <w:rFonts w:hint="eastAsia"/>
          <w:sz w:val="28"/>
          <w:szCs w:val="28"/>
        </w:rPr>
        <w:t>，</w:t>
      </w:r>
      <w:r>
        <w:rPr>
          <w:rFonts w:hint="eastAsia"/>
          <w:sz w:val="28"/>
          <w:szCs w:val="28"/>
          <w:highlight w:val="none"/>
          <w:lang w:val="en-US" w:eastAsia="zh-CN"/>
        </w:rPr>
        <w:t>损毁程度为中度损毁</w:t>
      </w:r>
      <w:r>
        <w:rPr>
          <w:rFonts w:hint="eastAsia"/>
          <w:sz w:val="28"/>
          <w:szCs w:val="28"/>
          <w:highlight w:val="none"/>
        </w:rPr>
        <w:t>。</w:t>
      </w:r>
    </w:p>
    <w:p w14:paraId="4539FECA">
      <w:pPr>
        <w:spacing w:line="360" w:lineRule="auto"/>
        <w:rPr>
          <w:rFonts w:hint="eastAsia"/>
          <w:sz w:val="28"/>
          <w:szCs w:val="28"/>
          <w:highlight w:val="none"/>
          <w:lang w:val="en-US" w:eastAsia="zh-CN"/>
        </w:rPr>
      </w:pPr>
      <w:r>
        <w:rPr>
          <w:rFonts w:hint="default"/>
          <w:sz w:val="28"/>
          <w:szCs w:val="28"/>
          <w:highlight w:val="none"/>
          <w:lang w:val="en-US" w:eastAsia="zh-CN"/>
        </w:rPr>
        <w:t>⑥</w:t>
      </w:r>
      <w:r>
        <w:rPr>
          <w:rFonts w:hint="eastAsia"/>
          <w:sz w:val="28"/>
          <w:szCs w:val="28"/>
          <w:highlight w:val="none"/>
          <w:lang w:val="en-US" w:eastAsia="zh-CN"/>
        </w:rPr>
        <w:t>其他外围区域</w:t>
      </w:r>
    </w:p>
    <w:p w14:paraId="1250DDCE">
      <w:pPr>
        <w:spacing w:line="360" w:lineRule="auto"/>
        <w:rPr>
          <w:sz w:val="28"/>
          <w:szCs w:val="28"/>
          <w:highlight w:val="none"/>
          <w:lang w:val="zh-CN"/>
        </w:rPr>
        <w:sectPr>
          <w:headerReference r:id="rId14" w:type="default"/>
          <w:pgSz w:w="11906" w:h="16838"/>
          <w:pgMar w:top="1701" w:right="1417" w:bottom="1417" w:left="1701" w:header="1134" w:footer="992" w:gutter="0"/>
          <w:pgBorders>
            <w:top w:val="none" w:sz="0" w:space="0"/>
            <w:left w:val="none" w:sz="0" w:space="0"/>
            <w:bottom w:val="none" w:sz="0" w:space="0"/>
            <w:right w:val="none" w:sz="0" w:space="0"/>
          </w:pgBorders>
          <w:pgNumType w:fmt="decimal"/>
          <w:cols w:space="0" w:num="1"/>
          <w:rtlGutter w:val="0"/>
          <w:docGrid w:type="lines" w:linePitch="404" w:charSpace="0"/>
        </w:sectPr>
      </w:pPr>
      <w:r>
        <w:rPr>
          <w:rFonts w:hint="eastAsia"/>
          <w:sz w:val="28"/>
          <w:szCs w:val="28"/>
          <w:highlight w:val="none"/>
          <w:lang w:val="en-US" w:eastAsia="zh-CN"/>
        </w:rPr>
        <w:t>其他外围区域无矿业活动产生挖损和压占。</w:t>
      </w:r>
      <w:r>
        <w:rPr>
          <w:sz w:val="28"/>
          <w:szCs w:val="28"/>
          <w:highlight w:val="none"/>
          <w:lang w:val="zh-CN"/>
        </w:rPr>
        <w:t>项目区</w:t>
      </w:r>
      <w:r>
        <w:rPr>
          <w:rFonts w:hint="eastAsia"/>
          <w:sz w:val="28"/>
          <w:szCs w:val="28"/>
          <w:highlight w:val="none"/>
          <w:lang w:val="en-US" w:eastAsia="zh-CN"/>
        </w:rPr>
        <w:t>拟</w:t>
      </w:r>
      <w:r>
        <w:rPr>
          <w:rFonts w:hint="eastAsia"/>
          <w:sz w:val="28"/>
          <w:szCs w:val="28"/>
          <w:highlight w:val="none"/>
        </w:rPr>
        <w:t>损毁</w:t>
      </w:r>
      <w:r>
        <w:rPr>
          <w:sz w:val="28"/>
          <w:szCs w:val="28"/>
          <w:highlight w:val="none"/>
          <w:lang w:val="zh-CN"/>
        </w:rPr>
        <w:t>土地</w:t>
      </w:r>
      <w:r>
        <w:rPr>
          <w:rFonts w:hint="eastAsia"/>
          <w:sz w:val="28"/>
          <w:szCs w:val="28"/>
          <w:highlight w:val="none"/>
        </w:rPr>
        <w:t>情况</w:t>
      </w:r>
      <w:r>
        <w:rPr>
          <w:sz w:val="28"/>
          <w:szCs w:val="28"/>
          <w:highlight w:val="none"/>
          <w:lang w:val="zh-CN"/>
        </w:rPr>
        <w:t>详见</w:t>
      </w:r>
      <w:r>
        <w:rPr>
          <w:rFonts w:hint="eastAsia"/>
          <w:sz w:val="28"/>
          <w:szCs w:val="28"/>
          <w:highlight w:val="none"/>
        </w:rPr>
        <w:t>表3-</w:t>
      </w:r>
      <w:r>
        <w:rPr>
          <w:rFonts w:hint="eastAsia"/>
          <w:sz w:val="28"/>
          <w:szCs w:val="28"/>
          <w:highlight w:val="none"/>
          <w:lang w:val="en-US" w:eastAsia="zh-CN"/>
        </w:rPr>
        <w:t>11</w:t>
      </w:r>
      <w:r>
        <w:rPr>
          <w:sz w:val="28"/>
          <w:szCs w:val="28"/>
          <w:highlight w:val="none"/>
          <w:lang w:val="zh-CN"/>
        </w:rPr>
        <w:t>。</w:t>
      </w:r>
    </w:p>
    <w:p w14:paraId="4145C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8"/>
          <w:szCs w:val="28"/>
          <w:highlight w:val="none"/>
          <w:lang w:val="zh-CN"/>
        </w:rPr>
      </w:pPr>
      <w:r>
        <w:rPr>
          <w:rFonts w:hint="eastAsia" w:ascii="宋体" w:hAnsi="宋体" w:eastAsia="宋体" w:cs="宋体"/>
          <w:b/>
          <w:bCs/>
          <w:sz w:val="24"/>
          <w:szCs w:val="24"/>
          <w:highlight w:val="none"/>
        </w:rPr>
        <w:t>表3-</w:t>
      </w:r>
      <w:r>
        <w:rPr>
          <w:rFonts w:hint="eastAsia" w:ascii="宋体" w:hAnsi="宋体" w:eastAsia="宋体" w:cs="宋体"/>
          <w:b/>
          <w:bCs/>
          <w:sz w:val="24"/>
          <w:szCs w:val="24"/>
          <w:highlight w:val="none"/>
          <w:lang w:val="en-US" w:eastAsia="zh-CN"/>
        </w:rPr>
        <w:t>11</w:t>
      </w:r>
      <w:r>
        <w:rPr>
          <w:rFonts w:hint="eastAsia" w:ascii="宋体" w:hAnsi="宋体" w:eastAsia="宋体" w:cs="宋体"/>
          <w:b/>
          <w:bCs/>
          <w:sz w:val="24"/>
          <w:szCs w:val="24"/>
          <w:highlight w:val="none"/>
        </w:rPr>
        <w:t xml:space="preserve">      项目区</w:t>
      </w:r>
      <w:r>
        <w:rPr>
          <w:rFonts w:hint="eastAsia" w:ascii="宋体" w:hAnsi="宋体" w:eastAsia="宋体" w:cs="宋体"/>
          <w:b/>
          <w:bCs/>
          <w:sz w:val="24"/>
          <w:szCs w:val="24"/>
          <w:highlight w:val="none"/>
          <w:lang w:val="en-US" w:eastAsia="zh-CN"/>
        </w:rPr>
        <w:t>预测</w:t>
      </w:r>
      <w:r>
        <w:rPr>
          <w:rFonts w:hint="eastAsia" w:ascii="宋体" w:hAnsi="宋体" w:eastAsia="宋体" w:cs="宋体"/>
          <w:b/>
          <w:bCs/>
          <w:sz w:val="24"/>
          <w:szCs w:val="24"/>
          <w:highlight w:val="none"/>
        </w:rPr>
        <w:t>损毁土地面积</w:t>
      </w:r>
      <w:r>
        <w:rPr>
          <w:rFonts w:hint="eastAsia" w:ascii="宋体" w:hAnsi="宋体" w:eastAsia="宋体" w:cs="宋体"/>
          <w:b/>
          <w:bCs/>
          <w:sz w:val="24"/>
          <w:szCs w:val="24"/>
          <w:highlight w:val="none"/>
          <w:lang w:val="en-US" w:eastAsia="zh-CN"/>
        </w:rPr>
        <w:t>及损毁程度</w:t>
      </w:r>
      <w:r>
        <w:rPr>
          <w:rFonts w:hint="eastAsia" w:ascii="宋体" w:hAnsi="宋体" w:eastAsia="宋体" w:cs="宋体"/>
          <w:b/>
          <w:bCs/>
          <w:sz w:val="24"/>
          <w:szCs w:val="24"/>
          <w:highlight w:val="none"/>
        </w:rPr>
        <w:t>统计表</w:t>
      </w:r>
    </w:p>
    <w:tbl>
      <w:tblPr>
        <w:tblStyle w:val="3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2"/>
        <w:gridCol w:w="1215"/>
        <w:gridCol w:w="860"/>
        <w:gridCol w:w="860"/>
        <w:gridCol w:w="860"/>
        <w:gridCol w:w="860"/>
        <w:gridCol w:w="1177"/>
        <w:gridCol w:w="908"/>
        <w:gridCol w:w="789"/>
        <w:gridCol w:w="737"/>
        <w:gridCol w:w="874"/>
        <w:gridCol w:w="823"/>
        <w:gridCol w:w="912"/>
        <w:gridCol w:w="590"/>
        <w:gridCol w:w="590"/>
        <w:gridCol w:w="1011"/>
      </w:tblGrid>
      <w:tr w14:paraId="2A64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EC573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441"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63E6F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包含范围</w:t>
            </w:r>
          </w:p>
        </w:tc>
        <w:tc>
          <w:tcPr>
            <w:tcW w:w="3176" w:type="pct"/>
            <w:gridSpan w:val="10"/>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3D8C6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面积（hm</w:t>
            </w:r>
            <w:r>
              <w:rPr>
                <w:rFonts w:hint="eastAsia" w:ascii="宋体" w:hAnsi="宋体" w:eastAsia="宋体" w:cs="宋体"/>
                <w:i w:val="0"/>
                <w:iCs w:val="0"/>
                <w:color w:val="000000"/>
                <w:kern w:val="0"/>
                <w:sz w:val="21"/>
                <w:szCs w:val="21"/>
                <w:u w:val="none"/>
                <w:vertAlign w:val="superscript"/>
                <w:lang w:val="en-US" w:eastAsia="zh-CN" w:bidi="ar"/>
              </w:rPr>
              <w:t>2</w:t>
            </w:r>
            <w:r>
              <w:rPr>
                <w:rFonts w:hint="eastAsia" w:ascii="宋体" w:hAnsi="宋体" w:eastAsia="宋体" w:cs="宋体"/>
                <w:i w:val="0"/>
                <w:iCs w:val="0"/>
                <w:color w:val="000000"/>
                <w:kern w:val="0"/>
                <w:sz w:val="21"/>
                <w:szCs w:val="21"/>
                <w:u w:val="none"/>
                <w:lang w:val="en-US" w:eastAsia="zh-CN" w:bidi="ar"/>
              </w:rPr>
              <w:t>）</w:t>
            </w:r>
          </w:p>
        </w:tc>
        <w:tc>
          <w:tcPr>
            <w:tcW w:w="331"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AB3C9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总计</w:t>
            </w:r>
          </w:p>
        </w:tc>
        <w:tc>
          <w:tcPr>
            <w:tcW w:w="21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6E35F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损毁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方式</w:t>
            </w:r>
          </w:p>
        </w:tc>
        <w:tc>
          <w:tcPr>
            <w:tcW w:w="21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B4853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损毁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程度</w:t>
            </w: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4E36F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71119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252F5A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1"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8285B6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E44D3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0201</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E4480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0301</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E6F230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0305</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8132D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0404</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629B2D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05H1</w:t>
            </w:r>
          </w:p>
        </w:tc>
        <w:tc>
          <w:tcPr>
            <w:tcW w:w="329"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76A1ED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0602</w:t>
            </w: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68EACA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0702</w:t>
            </w:r>
          </w:p>
        </w:tc>
        <w:tc>
          <w:tcPr>
            <w:tcW w:w="2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1547B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1006</w:t>
            </w: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A0491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1104</w:t>
            </w:r>
          </w:p>
        </w:tc>
        <w:tc>
          <w:tcPr>
            <w:tcW w:w="298"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A0B07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1107</w:t>
            </w: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1C766A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1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C7AA40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1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353B76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C503D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r>
      <w:tr w14:paraId="6A2A3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5B41D0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1"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F4075C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7A185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果园</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70312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乔木林地</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B255E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灌木林地</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1901C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其他草地</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BE274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商业服务业设施用地</w:t>
            </w:r>
          </w:p>
        </w:tc>
        <w:tc>
          <w:tcPr>
            <w:tcW w:w="329"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8B271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采矿用地</w:t>
            </w:r>
          </w:p>
        </w:tc>
        <w:tc>
          <w:tcPr>
            <w:tcW w:w="286"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C5978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宅基地</w:t>
            </w:r>
          </w:p>
        </w:tc>
        <w:tc>
          <w:tcPr>
            <w:tcW w:w="2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6D405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农村道路</w:t>
            </w:r>
          </w:p>
        </w:tc>
        <w:tc>
          <w:tcPr>
            <w:tcW w:w="31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BCF64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坑塘水面</w:t>
            </w:r>
          </w:p>
        </w:tc>
        <w:tc>
          <w:tcPr>
            <w:tcW w:w="298"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A0766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沟渠</w:t>
            </w:r>
          </w:p>
        </w:tc>
        <w:tc>
          <w:tcPr>
            <w:tcW w:w="331"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A6D0E3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1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867198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1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330F25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95D58E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r>
      <w:tr w14:paraId="39722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32088F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受损区块1</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F54C6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露天采场</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C58ED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3.3292</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0F833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1.1904</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F4BBD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0.0005</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E933C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3.7127</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137AE8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C0AF11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C86C5A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4B0297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0.0000</w:t>
            </w:r>
          </w:p>
        </w:tc>
        <w:tc>
          <w:tcPr>
            <w:tcW w:w="31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2EE2FC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D3901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0.1002</w:t>
            </w: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A958B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8.3331</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7BB3E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挖损</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ACE37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D794A9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新增损毁</w:t>
            </w:r>
          </w:p>
        </w:tc>
      </w:tr>
      <w:tr w14:paraId="638A3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65EBE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受损区块2</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994F9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复垦用土临时堆场</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7A52B7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F1A96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0.8520</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C145D1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7EEA0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0.3575</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FE430E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33F72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0.2826</w:t>
            </w:r>
          </w:p>
        </w:tc>
        <w:tc>
          <w:tcPr>
            <w:tcW w:w="286"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BDF359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328C4C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222516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0C9A09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0C90F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1.4921</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6A492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3B709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047D82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新增损毁</w:t>
            </w:r>
          </w:p>
        </w:tc>
      </w:tr>
      <w:tr w14:paraId="5FA5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F1063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受损区块3</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8653B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破碎站</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7031FE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5E7DBC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404953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3F4602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DEFED6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D1708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0.6052</w:t>
            </w:r>
          </w:p>
        </w:tc>
        <w:tc>
          <w:tcPr>
            <w:tcW w:w="286"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929213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50CDF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92FA67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25BD24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FD0AC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0.6052</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E3AE6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DF1C57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814ED6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新增损毁</w:t>
            </w:r>
          </w:p>
        </w:tc>
      </w:tr>
      <w:tr w14:paraId="0C653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A0819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受损区块4</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7D474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历史采坑一</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66FA0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0.0919</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2F4EB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1.4188</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53C8EA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0.0860</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B7B61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0.1368</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1A91218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7617B8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374D16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ED6D42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09FB9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0.3044</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D132D9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EEAB0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2.0378</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F102B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挖损</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73CD1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681025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现状损毁，预测重复损毁</w:t>
            </w:r>
          </w:p>
        </w:tc>
      </w:tr>
      <w:tr w14:paraId="367ED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83CE79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受损区块5</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38586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排土场（历史采坑二）</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BBAE28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3D1C9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0.0306</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0BC595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932AF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0.0257</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FD9DB8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DD947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1.1197</w:t>
            </w: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1341B7E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4F65EB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3F896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1.2876</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55F066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6984F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2.4635</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A00BA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69C36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304B88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现状损毁，预测重复损毁</w:t>
            </w:r>
          </w:p>
        </w:tc>
      </w:tr>
      <w:tr w14:paraId="0623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52EBA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受损区块6</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8AD8A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原破碎站及废石堆场</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D9F0F7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7EFDDC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633EE3B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B178A3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505075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C4B27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6359FD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5C37F0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12EA12D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35DD7A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61FAF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0856E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692BF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2AD2D0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现状损毁，预测重复损毁</w:t>
            </w:r>
          </w:p>
        </w:tc>
      </w:tr>
      <w:tr w14:paraId="06D1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CE41D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受损区块7</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6D28A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办公生活区</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1D46844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8EA84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0.0759</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D104FF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392BD9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5C358A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0.0390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381A28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31A5E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0.2313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323336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729D87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598215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3B502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0.3463</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B9B40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79EF8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CBEE72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现状损毁，预测重复损毁</w:t>
            </w:r>
          </w:p>
        </w:tc>
      </w:tr>
      <w:tr w14:paraId="4155B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B7546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受损区块8</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A4E123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原综合服务区</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67B9133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5F19EA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0.2351</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1A6858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4A6929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717E488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45A178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0B3187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0.1360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7F73B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923378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2852004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7A386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0.3711</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4A0A4A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压占</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28" w:type="dxa"/>
              <w:bottom w:w="0" w:type="dxa"/>
              <w:right w:w="28" w:type="dxa"/>
            </w:tcMar>
            <w:vAlign w:val="center"/>
          </w:tcPr>
          <w:p w14:paraId="3D2A7EB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中度</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6D5073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现状损毁</w:t>
            </w:r>
          </w:p>
        </w:tc>
      </w:tr>
      <w:tr w14:paraId="2119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33BF38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44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E92F9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296D3F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3.4211</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B18351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3.8028</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9BF43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0.0864</w:t>
            </w:r>
          </w:p>
        </w:tc>
        <w:tc>
          <w:tcPr>
            <w:tcW w:w="312"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12AEF1D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4.2327</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B7DFA2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0.0390</w:t>
            </w:r>
          </w:p>
        </w:tc>
        <w:tc>
          <w:tcPr>
            <w:tcW w:w="329"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D711D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4.2954</w:t>
            </w:r>
          </w:p>
        </w:tc>
        <w:tc>
          <w:tcPr>
            <w:tcW w:w="286"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DA9D2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0.3673</w:t>
            </w:r>
          </w:p>
        </w:tc>
        <w:tc>
          <w:tcPr>
            <w:tcW w:w="2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D5286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0.0000</w:t>
            </w:r>
          </w:p>
        </w:tc>
        <w:tc>
          <w:tcPr>
            <w:tcW w:w="31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751EF8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1.5920</w:t>
            </w:r>
          </w:p>
        </w:tc>
        <w:tc>
          <w:tcPr>
            <w:tcW w:w="298"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45B899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0.1002</w:t>
            </w:r>
          </w:p>
        </w:tc>
        <w:tc>
          <w:tcPr>
            <w:tcW w:w="331"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A7CC2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17.9371</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0FB9A47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64767E7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0" w:type="dxa"/>
              <w:left w:w="28" w:type="dxa"/>
              <w:bottom w:w="0" w:type="dxa"/>
              <w:right w:w="28" w:type="dxa"/>
            </w:tcMar>
            <w:vAlign w:val="center"/>
          </w:tcPr>
          <w:p w14:paraId="5A0FE40B">
            <w:pPr>
              <w:keepNext w:val="0"/>
              <w:keepLines w:val="0"/>
              <w:pageBreakBefore w:val="0"/>
              <w:widowControl/>
              <w:kinsoku/>
              <w:wordWrap/>
              <w:overflowPunct/>
              <w:topLinePunct w:val="0"/>
              <w:autoSpaceDE/>
              <w:autoSpaceDN/>
              <w:bidi w:val="0"/>
              <w:adjustRightInd/>
              <w:snapToGrid/>
              <w:ind w:firstLine="0" w:firstLineChars="0"/>
              <w:rPr>
                <w:rFonts w:hint="eastAsia" w:ascii="宋体" w:hAnsi="宋体" w:eastAsia="宋体" w:cs="宋体"/>
                <w:i w:val="0"/>
                <w:iCs w:val="0"/>
                <w:color w:val="000000"/>
                <w:sz w:val="21"/>
                <w:szCs w:val="21"/>
                <w:u w:val="none"/>
              </w:rPr>
            </w:pPr>
          </w:p>
        </w:tc>
      </w:tr>
    </w:tbl>
    <w:p w14:paraId="5F920A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sz w:val="28"/>
          <w:szCs w:val="28"/>
          <w:highlight w:val="none"/>
          <w:lang w:val="zh-CN"/>
        </w:rPr>
        <w:sectPr>
          <w:pgSz w:w="16838" w:h="11906" w:orient="landscape"/>
          <w:pgMar w:top="1701" w:right="1701" w:bottom="1417" w:left="1417" w:header="1134" w:footer="992" w:gutter="0"/>
          <w:pgBorders>
            <w:top w:val="none" w:sz="0" w:space="0"/>
            <w:left w:val="none" w:sz="0" w:space="0"/>
            <w:bottom w:val="none" w:sz="0" w:space="0"/>
            <w:right w:val="none" w:sz="0" w:space="0"/>
          </w:pgBorders>
          <w:pgNumType w:fmt="decimal"/>
          <w:cols w:space="0" w:num="1"/>
          <w:rtlGutter w:val="0"/>
          <w:docGrid w:type="lines" w:linePitch="404" w:charSpace="0"/>
        </w:sectPr>
      </w:pPr>
    </w:p>
    <w:p w14:paraId="7A4E0116">
      <w:pPr>
        <w:pStyle w:val="7"/>
        <w:spacing w:line="360" w:lineRule="auto"/>
        <w:rPr>
          <w:rFonts w:hint="default" w:eastAsia="宋体"/>
          <w:sz w:val="28"/>
          <w:szCs w:val="28"/>
          <w:lang w:val="en-US" w:eastAsia="zh-CN"/>
        </w:rPr>
      </w:pPr>
      <w:r>
        <w:rPr>
          <w:rFonts w:hint="eastAsia"/>
          <w:sz w:val="28"/>
          <w:szCs w:val="28"/>
        </w:rPr>
        <w:t>3.生态受损与退化</w:t>
      </w:r>
      <w:r>
        <w:rPr>
          <w:rFonts w:hint="eastAsia"/>
          <w:sz w:val="28"/>
          <w:szCs w:val="28"/>
          <w:lang w:val="en-US" w:eastAsia="zh-CN"/>
        </w:rPr>
        <w:t>预测分析</w:t>
      </w:r>
    </w:p>
    <w:p w14:paraId="73FEE73A">
      <w:pPr>
        <w:spacing w:line="360" w:lineRule="auto"/>
        <w:ind w:firstLine="482"/>
        <w:rPr>
          <w:rFonts w:hint="eastAsia" w:eastAsia="宋体"/>
          <w:b/>
          <w:bCs/>
          <w:sz w:val="28"/>
          <w:szCs w:val="28"/>
          <w:lang w:val="en-US" w:eastAsia="zh-CN"/>
        </w:rPr>
      </w:pPr>
      <w:r>
        <w:rPr>
          <w:rFonts w:hint="eastAsia"/>
          <w:b/>
          <w:bCs/>
          <w:sz w:val="28"/>
          <w:szCs w:val="28"/>
        </w:rPr>
        <w:t>（1）植被</w:t>
      </w:r>
      <w:r>
        <w:rPr>
          <w:rFonts w:hint="eastAsia"/>
          <w:b/>
          <w:bCs/>
          <w:sz w:val="28"/>
          <w:szCs w:val="28"/>
          <w:lang w:val="en-US" w:eastAsia="zh-CN"/>
        </w:rPr>
        <w:t>损毁</w:t>
      </w:r>
    </w:p>
    <w:p w14:paraId="55875E23">
      <w:pPr>
        <w:spacing w:line="360" w:lineRule="auto"/>
        <w:rPr>
          <w:rFonts w:hint="eastAsia"/>
          <w:sz w:val="28"/>
          <w:szCs w:val="28"/>
          <w:lang w:val="en-US" w:eastAsia="zh-CN"/>
        </w:rPr>
      </w:pPr>
      <w:r>
        <w:rPr>
          <w:rFonts w:hint="eastAsia"/>
          <w:sz w:val="28"/>
          <w:szCs w:val="28"/>
          <w:lang w:val="en-US" w:eastAsia="zh-CN"/>
        </w:rPr>
        <w:t>预测后续新增的开采区及设施建设将对地表进行剥离，并对植被进行破坏，导致植被群落结构进一步简化，生态功能持续退化。</w:t>
      </w:r>
    </w:p>
    <w:p w14:paraId="2B0AE55A">
      <w:pPr>
        <w:numPr>
          <w:ilvl w:val="0"/>
          <w:numId w:val="0"/>
        </w:numPr>
        <w:spacing w:line="360" w:lineRule="auto"/>
        <w:ind w:firstLine="562" w:firstLineChars="200"/>
        <w:rPr>
          <w:rFonts w:hint="eastAsia"/>
          <w:b/>
          <w:bCs/>
          <w:sz w:val="28"/>
          <w:szCs w:val="28"/>
          <w:lang w:val="en-US" w:eastAsia="zh-CN"/>
        </w:rPr>
      </w:pPr>
      <w:r>
        <w:rPr>
          <w:rFonts w:hint="eastAsia" w:ascii="Times New Roman" w:hAnsi="Times New Roman" w:eastAsia="宋体" w:cs="Times New Roman"/>
          <w:b/>
          <w:bCs/>
          <w:sz w:val="28"/>
          <w:szCs w:val="28"/>
          <w:lang w:val="en-US" w:eastAsia="zh-CN" w:bidi="ar-SA"/>
        </w:rPr>
        <w:t>（2）</w:t>
      </w:r>
      <w:r>
        <w:rPr>
          <w:rFonts w:hint="eastAsia"/>
          <w:b/>
          <w:bCs/>
          <w:sz w:val="28"/>
          <w:szCs w:val="28"/>
          <w:lang w:val="en-US" w:eastAsia="zh-CN"/>
        </w:rPr>
        <w:t>生物多样性丧失</w:t>
      </w:r>
    </w:p>
    <w:p w14:paraId="60F2B60E">
      <w:pPr>
        <w:spacing w:line="360" w:lineRule="auto"/>
        <w:rPr>
          <w:rFonts w:hint="eastAsia"/>
          <w:sz w:val="28"/>
          <w:szCs w:val="28"/>
          <w:lang w:val="en-US" w:eastAsia="zh-CN"/>
        </w:rPr>
      </w:pPr>
      <w:r>
        <w:rPr>
          <w:rFonts w:hint="eastAsia"/>
          <w:sz w:val="28"/>
          <w:szCs w:val="28"/>
          <w:lang w:val="en-US" w:eastAsia="zh-CN"/>
        </w:rPr>
        <w:t>预测后续矿山开采，植被退化加剧，将导致昆虫、小型哺乳动物等初级消费者的栖息地进一步压缩，食物来源持续减少，加之矿区生态环境单一化，物种迁移能力受限，部分依赖特定植被的物种可能局部消失，生物群落结构向“单一化、简化”方向发展。</w:t>
      </w:r>
    </w:p>
    <w:p w14:paraId="09B7C8DE">
      <w:pPr>
        <w:spacing w:line="360" w:lineRule="auto"/>
        <w:rPr>
          <w:rFonts w:hint="eastAsia"/>
          <w:sz w:val="28"/>
          <w:szCs w:val="28"/>
          <w:lang w:val="en-US" w:eastAsia="zh-CN"/>
        </w:rPr>
      </w:pPr>
      <w:r>
        <w:rPr>
          <w:rFonts w:hint="eastAsia"/>
          <w:sz w:val="28"/>
          <w:szCs w:val="28"/>
          <w:lang w:val="en-US" w:eastAsia="zh-CN"/>
        </w:rPr>
        <w:t>坑塘水面虽水质达标，但因周边植被覆盖率低、缺乏水生植物缓冲带，水生生物多样性较低，且无自然补给与生态连通，长期来看可能因水体富营养化（降雨携带地表污染物汇入）导致水生生物生存环境恶化，物种数量减少。</w:t>
      </w:r>
    </w:p>
    <w:p w14:paraId="329B1495">
      <w:pPr>
        <w:numPr>
          <w:ilvl w:val="0"/>
          <w:numId w:val="0"/>
        </w:numPr>
        <w:spacing w:line="360" w:lineRule="auto"/>
        <w:ind w:firstLine="562" w:firstLineChars="200"/>
        <w:rPr>
          <w:rFonts w:hint="eastAsia"/>
          <w:b/>
          <w:bCs/>
          <w:sz w:val="28"/>
          <w:szCs w:val="28"/>
          <w:lang w:val="en-US" w:eastAsia="zh-CN"/>
        </w:rPr>
      </w:pPr>
      <w:r>
        <w:rPr>
          <w:rFonts w:hint="eastAsia" w:ascii="Times New Roman" w:hAnsi="Times New Roman" w:eastAsia="宋体" w:cs="Times New Roman"/>
          <w:b/>
          <w:bCs/>
          <w:sz w:val="28"/>
          <w:szCs w:val="28"/>
          <w:lang w:val="en-US" w:eastAsia="zh-CN" w:bidi="ar-SA"/>
        </w:rPr>
        <w:t>（3）</w:t>
      </w:r>
      <w:r>
        <w:rPr>
          <w:rFonts w:hint="eastAsia"/>
          <w:b/>
          <w:bCs/>
          <w:sz w:val="28"/>
          <w:szCs w:val="28"/>
          <w:lang w:val="en-US" w:eastAsia="zh-CN"/>
        </w:rPr>
        <w:t>土壤退化</w:t>
      </w:r>
    </w:p>
    <w:p w14:paraId="51DC450B">
      <w:pPr>
        <w:spacing w:line="360" w:lineRule="auto"/>
        <w:rPr>
          <w:rFonts w:hint="eastAsia"/>
          <w:sz w:val="28"/>
          <w:szCs w:val="28"/>
          <w:lang w:val="en-US" w:eastAsia="zh-CN"/>
        </w:rPr>
      </w:pPr>
      <w:r>
        <w:rPr>
          <w:rFonts w:hint="eastAsia"/>
          <w:sz w:val="28"/>
          <w:szCs w:val="28"/>
          <w:lang w:val="en-US" w:eastAsia="zh-CN"/>
        </w:rPr>
        <w:t>预测后续矿山开采活动的进行，露天采坑边坡土壤在雨水冲刷、重力侵蚀作用下，土壤颗粒流失加剧，有效土层厚度进一步变薄，部分区域可能形成石质化地表，丧失植物生长条件；工业场地因前期压占，土壤压实程度加深，难以恢复正常土壤肥力，且缺乏植被枯枝落叶的补充与分解，土壤肥力将持续下降，即便后期开展植被恢复，也需一定时间才能达到适宜植物生长的条件。</w:t>
      </w:r>
    </w:p>
    <w:p w14:paraId="38D98C1F">
      <w:pPr>
        <w:spacing w:line="360" w:lineRule="auto"/>
        <w:ind w:firstLine="482"/>
        <w:rPr>
          <w:rFonts w:hint="eastAsia"/>
          <w:b/>
          <w:bCs/>
          <w:sz w:val="28"/>
          <w:szCs w:val="28"/>
          <w:lang w:val="en-US" w:eastAsia="zh-CN"/>
        </w:rPr>
      </w:pPr>
      <w:r>
        <w:rPr>
          <w:rFonts w:hint="eastAsia"/>
          <w:b/>
          <w:bCs/>
          <w:sz w:val="28"/>
          <w:szCs w:val="28"/>
        </w:rPr>
        <w:t>（</w:t>
      </w:r>
      <w:r>
        <w:rPr>
          <w:rFonts w:hint="eastAsia"/>
          <w:b/>
          <w:bCs/>
          <w:sz w:val="28"/>
          <w:szCs w:val="28"/>
          <w:lang w:val="en-US" w:eastAsia="zh-CN"/>
        </w:rPr>
        <w:t>4</w:t>
      </w:r>
      <w:r>
        <w:rPr>
          <w:rFonts w:hint="eastAsia"/>
          <w:b/>
          <w:bCs/>
          <w:sz w:val="28"/>
          <w:szCs w:val="28"/>
        </w:rPr>
        <w:t>）水土流失</w:t>
      </w:r>
      <w:r>
        <w:rPr>
          <w:rFonts w:hint="eastAsia"/>
          <w:b/>
          <w:bCs/>
          <w:sz w:val="28"/>
          <w:szCs w:val="28"/>
          <w:lang w:val="en-US" w:eastAsia="zh-CN"/>
        </w:rPr>
        <w:t>预测</w:t>
      </w:r>
    </w:p>
    <w:p w14:paraId="3E9DA52B">
      <w:pPr>
        <w:spacing w:line="360" w:lineRule="auto"/>
        <w:ind w:firstLine="482"/>
        <w:rPr>
          <w:rFonts w:hint="eastAsia"/>
          <w:b w:val="0"/>
          <w:bCs w:val="0"/>
          <w:sz w:val="28"/>
          <w:szCs w:val="28"/>
          <w:lang w:val="en-US" w:eastAsia="zh-CN"/>
        </w:rPr>
      </w:pPr>
      <w:r>
        <w:rPr>
          <w:rFonts w:hint="eastAsia"/>
          <w:b w:val="0"/>
          <w:bCs w:val="0"/>
          <w:sz w:val="28"/>
          <w:szCs w:val="28"/>
          <w:lang w:val="en-US" w:eastAsia="zh-CN"/>
        </w:rPr>
        <w:t>根据《生产建设项目水土保持技术标准》(GB50433-2018)规定及项目建设特点，将本项目水土流失预测时段分为施工期(含施工准备期)和自然恢复期两个预测时段。</w:t>
      </w:r>
    </w:p>
    <w:p w14:paraId="0387C00A">
      <w:pPr>
        <w:spacing w:line="360" w:lineRule="auto"/>
        <w:ind w:firstLine="482"/>
        <w:rPr>
          <w:rFonts w:hint="eastAsia"/>
          <w:b w:val="0"/>
          <w:bCs w:val="0"/>
          <w:sz w:val="28"/>
          <w:szCs w:val="28"/>
          <w:lang w:val="en-US" w:eastAsia="zh-CN"/>
        </w:rPr>
      </w:pPr>
      <w:r>
        <w:rPr>
          <w:rFonts w:hint="eastAsia"/>
          <w:b w:val="0"/>
          <w:bCs w:val="0"/>
          <w:sz w:val="28"/>
          <w:szCs w:val="28"/>
          <w:lang w:val="en-US" w:eastAsia="zh-CN"/>
        </w:rPr>
        <w:t>a.施工及开采期</w:t>
      </w:r>
    </w:p>
    <w:p w14:paraId="6259700E">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default"/>
          <w:b w:val="0"/>
          <w:bCs w:val="0"/>
          <w:sz w:val="28"/>
          <w:szCs w:val="28"/>
          <w:lang w:val="en-US" w:eastAsia="zh-CN"/>
        </w:rPr>
      </w:pPr>
      <w:r>
        <w:rPr>
          <w:rFonts w:hint="default"/>
          <w:b w:val="0"/>
          <w:bCs w:val="0"/>
          <w:sz w:val="28"/>
          <w:szCs w:val="28"/>
          <w:lang w:val="en-US" w:eastAsia="zh-CN"/>
        </w:rPr>
        <w:t>是扰动最严重的时期，原地貌破坏后土壤处于裸露状态，工程场地平整、</w:t>
      </w:r>
      <w:r>
        <w:rPr>
          <w:rFonts w:hint="eastAsia"/>
          <w:b w:val="0"/>
          <w:bCs w:val="0"/>
          <w:sz w:val="28"/>
          <w:szCs w:val="28"/>
          <w:lang w:val="en-US" w:eastAsia="zh-CN"/>
        </w:rPr>
        <w:t>采</w:t>
      </w:r>
      <w:r>
        <w:rPr>
          <w:rFonts w:hint="default"/>
          <w:b w:val="0"/>
          <w:bCs w:val="0"/>
          <w:sz w:val="28"/>
          <w:szCs w:val="28"/>
          <w:lang w:val="en-US" w:eastAsia="zh-CN"/>
        </w:rPr>
        <w:t>开挖、土石方搬运、碾压、临时堆土等使水土流失程度</w:t>
      </w:r>
      <w:r>
        <w:rPr>
          <w:rFonts w:hint="eastAsia"/>
          <w:b w:val="0"/>
          <w:bCs w:val="0"/>
          <w:sz w:val="28"/>
          <w:szCs w:val="28"/>
          <w:lang w:val="en-US" w:eastAsia="zh-CN"/>
        </w:rPr>
        <w:t>加大，水土流失对生态环境影响中等</w:t>
      </w:r>
      <w:r>
        <w:rPr>
          <w:rFonts w:hint="default"/>
          <w:b w:val="0"/>
          <w:bCs w:val="0"/>
          <w:sz w:val="28"/>
          <w:szCs w:val="28"/>
          <w:lang w:val="en-US" w:eastAsia="zh-CN"/>
        </w:rPr>
        <w:t>。</w:t>
      </w:r>
    </w:p>
    <w:p w14:paraId="10FEF188">
      <w:pPr>
        <w:spacing w:line="360" w:lineRule="auto"/>
        <w:ind w:left="240" w:leftChars="100" w:firstLine="280" w:firstLineChars="100"/>
        <w:rPr>
          <w:rFonts w:hint="eastAsia"/>
          <w:b w:val="0"/>
          <w:bCs w:val="0"/>
          <w:sz w:val="28"/>
          <w:szCs w:val="28"/>
          <w:lang w:val="en-US" w:eastAsia="zh-CN"/>
        </w:rPr>
      </w:pPr>
      <w:r>
        <w:rPr>
          <w:rFonts w:hint="eastAsia"/>
          <w:b w:val="0"/>
          <w:bCs w:val="0"/>
          <w:sz w:val="28"/>
          <w:szCs w:val="28"/>
          <w:lang w:val="en-US" w:eastAsia="zh-CN"/>
        </w:rPr>
        <w:t>b.自然恢复期</w:t>
      </w:r>
    </w:p>
    <w:p w14:paraId="30A86ABC">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default"/>
          <w:b w:val="0"/>
          <w:bCs w:val="0"/>
          <w:sz w:val="28"/>
          <w:szCs w:val="28"/>
          <w:lang w:val="en-US" w:eastAsia="zh-CN"/>
        </w:rPr>
      </w:pPr>
      <w:r>
        <w:rPr>
          <w:rFonts w:hint="default"/>
          <w:b w:val="0"/>
          <w:bCs w:val="0"/>
          <w:sz w:val="28"/>
          <w:szCs w:val="28"/>
          <w:lang w:val="en-US" w:eastAsia="zh-CN"/>
        </w:rPr>
        <w:t>在自然恢复期，虽然</w:t>
      </w:r>
      <w:r>
        <w:rPr>
          <w:rFonts w:hint="eastAsia"/>
          <w:b w:val="0"/>
          <w:bCs w:val="0"/>
          <w:sz w:val="28"/>
          <w:szCs w:val="28"/>
          <w:lang w:val="en-US" w:eastAsia="zh-CN"/>
        </w:rPr>
        <w:t>开采及生产活动</w:t>
      </w:r>
      <w:r>
        <w:rPr>
          <w:rFonts w:hint="default"/>
          <w:b w:val="0"/>
          <w:bCs w:val="0"/>
          <w:sz w:val="28"/>
          <w:szCs w:val="28"/>
          <w:lang w:val="en-US" w:eastAsia="zh-CN"/>
        </w:rPr>
        <w:t>已经结束，扰动的地面被绿化或整治，由</w:t>
      </w:r>
      <w:r>
        <w:rPr>
          <w:rFonts w:hint="eastAsia"/>
          <w:b w:val="0"/>
          <w:bCs w:val="0"/>
          <w:sz w:val="28"/>
          <w:szCs w:val="28"/>
          <w:lang w:val="en-US" w:eastAsia="zh-CN"/>
        </w:rPr>
        <w:t>采矿活动</w:t>
      </w:r>
      <w:r>
        <w:rPr>
          <w:rFonts w:hint="default"/>
          <w:b w:val="0"/>
          <w:bCs w:val="0"/>
          <w:sz w:val="28"/>
          <w:szCs w:val="28"/>
          <w:lang w:val="en-US" w:eastAsia="zh-CN"/>
        </w:rPr>
        <w:t>引起的水土流失也大大降低，不再发生大规模的</w:t>
      </w:r>
      <w:r>
        <w:rPr>
          <w:rFonts w:hint="eastAsia"/>
          <w:b w:val="0"/>
          <w:bCs w:val="0"/>
          <w:sz w:val="28"/>
          <w:szCs w:val="28"/>
          <w:lang w:val="en-US" w:eastAsia="zh-CN"/>
        </w:rPr>
        <w:t>开采</w:t>
      </w:r>
      <w:r>
        <w:rPr>
          <w:rFonts w:hint="default"/>
          <w:b w:val="0"/>
          <w:bCs w:val="0"/>
          <w:sz w:val="28"/>
          <w:szCs w:val="28"/>
          <w:lang w:val="en-US" w:eastAsia="zh-CN"/>
        </w:rPr>
        <w:t>、运移，土壤侵蚀模数也较施工期降低，但是此时防护措施仍不能立即发挥作用，所以仍然存在水土流失现象</w:t>
      </w:r>
      <w:r>
        <w:rPr>
          <w:rFonts w:hint="eastAsia"/>
          <w:b w:val="0"/>
          <w:bCs w:val="0"/>
          <w:sz w:val="28"/>
          <w:szCs w:val="28"/>
          <w:lang w:val="en-US" w:eastAsia="zh-CN"/>
        </w:rPr>
        <w:t>，水土流失对生态环境影响较轻</w:t>
      </w:r>
      <w:r>
        <w:rPr>
          <w:rFonts w:hint="default"/>
          <w:b w:val="0"/>
          <w:bCs w:val="0"/>
          <w:sz w:val="28"/>
          <w:szCs w:val="28"/>
          <w:lang w:val="en-US" w:eastAsia="zh-CN"/>
        </w:rPr>
        <w:t>。</w:t>
      </w:r>
    </w:p>
    <w:p w14:paraId="54F71D84">
      <w:pPr>
        <w:spacing w:line="360" w:lineRule="auto"/>
        <w:ind w:left="240" w:leftChars="100" w:firstLine="280" w:firstLineChars="100"/>
        <w:rPr>
          <w:rFonts w:hint="eastAsia"/>
          <w:b w:val="0"/>
          <w:bCs w:val="0"/>
          <w:sz w:val="28"/>
          <w:szCs w:val="28"/>
          <w:lang w:val="en-US" w:eastAsia="zh-CN"/>
        </w:rPr>
      </w:pPr>
      <w:r>
        <w:rPr>
          <w:rFonts w:hint="eastAsia"/>
          <w:b w:val="0"/>
          <w:bCs w:val="0"/>
          <w:sz w:val="28"/>
          <w:szCs w:val="28"/>
          <w:lang w:val="en-US" w:eastAsia="zh-CN"/>
        </w:rPr>
        <w:t>②预测结果</w:t>
      </w:r>
    </w:p>
    <w:p w14:paraId="1649B7D4">
      <w:pPr>
        <w:spacing w:line="360" w:lineRule="auto"/>
        <w:ind w:left="240" w:leftChars="100" w:firstLine="280" w:firstLineChars="100"/>
        <w:rPr>
          <w:rFonts w:hint="default"/>
          <w:b w:val="0"/>
          <w:bCs w:val="0"/>
          <w:sz w:val="28"/>
          <w:szCs w:val="28"/>
          <w:lang w:val="en-US" w:eastAsia="zh-CN"/>
        </w:rPr>
      </w:pPr>
      <w:r>
        <w:rPr>
          <w:rFonts w:hint="eastAsia"/>
          <w:b w:val="0"/>
          <w:bCs w:val="0"/>
          <w:sz w:val="28"/>
          <w:szCs w:val="28"/>
          <w:lang w:val="en-US" w:eastAsia="zh-CN"/>
        </w:rPr>
        <w:t>预测矿山后续采矿活动水土流失对生态环境影响中等</w:t>
      </w:r>
      <w:r>
        <w:rPr>
          <w:rFonts w:hint="default"/>
          <w:b w:val="0"/>
          <w:bCs w:val="0"/>
          <w:sz w:val="28"/>
          <w:szCs w:val="28"/>
          <w:lang w:val="en-US" w:eastAsia="zh-CN"/>
        </w:rPr>
        <w:t>。</w:t>
      </w:r>
    </w:p>
    <w:p w14:paraId="0BCE0475">
      <w:pPr>
        <w:spacing w:line="360" w:lineRule="auto"/>
        <w:ind w:firstLine="482"/>
        <w:rPr>
          <w:rFonts w:hint="eastAsia"/>
          <w:b/>
          <w:bCs/>
          <w:sz w:val="28"/>
          <w:szCs w:val="28"/>
          <w:lang w:val="en-US" w:eastAsia="zh-CN"/>
        </w:rPr>
      </w:pPr>
      <w:r>
        <w:rPr>
          <w:rFonts w:hint="eastAsia"/>
          <w:b/>
          <w:bCs/>
          <w:sz w:val="28"/>
          <w:szCs w:val="28"/>
          <w:lang w:val="en-US" w:eastAsia="zh-CN"/>
        </w:rPr>
        <w:t>（5）生态系统服务功能衰退</w:t>
      </w:r>
    </w:p>
    <w:p w14:paraId="4CC754CB">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sz w:val="28"/>
          <w:szCs w:val="28"/>
          <w:lang w:val="en-US" w:eastAsia="zh-CN"/>
        </w:rPr>
      </w:pPr>
      <w:r>
        <w:rPr>
          <w:rFonts w:hint="eastAsia"/>
          <w:b w:val="0"/>
          <w:bCs w:val="0"/>
          <w:sz w:val="28"/>
          <w:szCs w:val="28"/>
          <w:lang w:val="en-US" w:eastAsia="zh-CN"/>
        </w:rPr>
        <w:t>植被退化与土壤退化叠加，将导致矿区涵养水源能力持续弱化，同时水土流失加剧导致周边地表径流含沙量增加，影响区域水环境质量。</w:t>
      </w:r>
    </w:p>
    <w:p w14:paraId="21249738">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b w:val="0"/>
          <w:bCs w:val="0"/>
          <w:sz w:val="28"/>
          <w:szCs w:val="28"/>
          <w:lang w:val="en-US" w:eastAsia="zh-CN"/>
        </w:rPr>
      </w:pPr>
      <w:r>
        <w:rPr>
          <w:rFonts w:hint="eastAsia"/>
          <w:b w:val="0"/>
          <w:bCs w:val="0"/>
          <w:sz w:val="28"/>
          <w:szCs w:val="28"/>
          <w:lang w:val="en-US" w:eastAsia="zh-CN"/>
        </w:rPr>
        <w:t>缺乏植被覆盖导致区域小气候调节能力不足，气温日较差增大，空气湿度降低，与周边自然生态系统的差异进一步扩大，生态廊道断裂，难以融入区域生态网络。</w:t>
      </w:r>
    </w:p>
    <w:p w14:paraId="5FAB77E3">
      <w:pPr>
        <w:pStyle w:val="6"/>
        <w:numPr>
          <w:ilvl w:val="0"/>
          <w:numId w:val="4"/>
        </w:numPr>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问题诊断评价结论</w:t>
      </w:r>
    </w:p>
    <w:p w14:paraId="380EA295">
      <w:pPr>
        <w:pStyle w:val="7"/>
        <w:spacing w:line="360" w:lineRule="auto"/>
        <w:rPr>
          <w:rFonts w:hint="default"/>
          <w:sz w:val="28"/>
          <w:szCs w:val="28"/>
          <w:lang w:val="en-US" w:eastAsia="zh-CN"/>
        </w:rPr>
      </w:pPr>
      <w:r>
        <w:rPr>
          <w:rFonts w:hint="eastAsia"/>
          <w:sz w:val="28"/>
          <w:szCs w:val="28"/>
          <w:lang w:val="en-US" w:eastAsia="zh-CN"/>
        </w:rPr>
        <w:t>1、</w:t>
      </w:r>
      <w:bookmarkStart w:id="286" w:name="OLE_LINK35"/>
      <w:r>
        <w:rPr>
          <w:rFonts w:hint="eastAsia"/>
          <w:sz w:val="28"/>
          <w:szCs w:val="28"/>
        </w:rPr>
        <w:t>现状诊断评价结果</w:t>
      </w:r>
      <w:bookmarkEnd w:id="286"/>
    </w:p>
    <w:p w14:paraId="1A534A72">
      <w:pPr>
        <w:spacing w:line="360" w:lineRule="auto"/>
        <w:rPr>
          <w:rFonts w:hint="eastAsia"/>
          <w:sz w:val="28"/>
          <w:szCs w:val="28"/>
          <w:highlight w:val="none"/>
          <w:lang w:val="en-US" w:eastAsia="zh-CN"/>
        </w:rPr>
      </w:pPr>
      <w:r>
        <w:rPr>
          <w:rFonts w:hint="eastAsia"/>
          <w:sz w:val="28"/>
          <w:szCs w:val="28"/>
          <w:highlight w:val="none"/>
          <w:lang w:val="en-US" w:eastAsia="zh-CN"/>
        </w:rPr>
        <w:t>结合评估范围、评估单元划分以及现状问题的分析，对现状诊断评价结果列表叙述如下（表3-12）。</w:t>
      </w:r>
    </w:p>
    <w:p w14:paraId="519125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表3-12      现状损毁程度综合评价表</w:t>
      </w:r>
    </w:p>
    <w:tbl>
      <w:tblPr>
        <w:tblStyle w:val="91"/>
        <w:tblW w:w="517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97"/>
        <w:gridCol w:w="1024"/>
        <w:gridCol w:w="1884"/>
        <w:gridCol w:w="1055"/>
        <w:gridCol w:w="1286"/>
        <w:gridCol w:w="1232"/>
        <w:gridCol w:w="1428"/>
      </w:tblGrid>
      <w:tr w14:paraId="76CDD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blHeader/>
        </w:trPr>
        <w:tc>
          <w:tcPr>
            <w:tcW w:w="657" w:type="pct"/>
            <w:vMerge w:val="restart"/>
            <w:tcBorders>
              <w:bottom w:val="nil"/>
            </w:tcBorders>
            <w:vAlign w:val="center"/>
          </w:tcPr>
          <w:p w14:paraId="38F559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5"/>
                <w:sz w:val="21"/>
                <w:szCs w:val="21"/>
              </w:rPr>
              <w:t>序号</w:t>
            </w:r>
          </w:p>
        </w:tc>
        <w:tc>
          <w:tcPr>
            <w:tcW w:w="1596" w:type="pct"/>
            <w:gridSpan w:val="2"/>
            <w:vMerge w:val="restart"/>
            <w:tcBorders>
              <w:bottom w:val="nil"/>
            </w:tcBorders>
            <w:vAlign w:val="center"/>
          </w:tcPr>
          <w:p w14:paraId="376ECB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bookmarkStart w:id="287" w:name="OLE_LINK63"/>
            <w:r>
              <w:rPr>
                <w:rFonts w:hint="eastAsia" w:ascii="宋体" w:hAnsi="宋体" w:eastAsia="宋体" w:cs="宋体"/>
                <w:b/>
                <w:bCs/>
                <w:spacing w:val="-1"/>
                <w:sz w:val="21"/>
                <w:szCs w:val="21"/>
              </w:rPr>
              <w:t>问题类型</w:t>
            </w:r>
            <w:bookmarkEnd w:id="287"/>
          </w:p>
        </w:tc>
        <w:tc>
          <w:tcPr>
            <w:tcW w:w="1961" w:type="pct"/>
            <w:gridSpan w:val="3"/>
            <w:vAlign w:val="center"/>
          </w:tcPr>
          <w:p w14:paraId="307F6E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现状受损状况</w:t>
            </w:r>
          </w:p>
        </w:tc>
        <w:tc>
          <w:tcPr>
            <w:tcW w:w="783" w:type="pct"/>
            <w:vMerge w:val="restart"/>
            <w:tcBorders>
              <w:bottom w:val="nil"/>
            </w:tcBorders>
            <w:vAlign w:val="center"/>
          </w:tcPr>
          <w:p w14:paraId="35BCC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综合评价结果</w:t>
            </w:r>
          </w:p>
        </w:tc>
      </w:tr>
      <w:tr w14:paraId="2CA2C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blHeader/>
        </w:trPr>
        <w:tc>
          <w:tcPr>
            <w:tcW w:w="657" w:type="pct"/>
            <w:vMerge w:val="continue"/>
            <w:tcBorders>
              <w:top w:val="nil"/>
            </w:tcBorders>
            <w:vAlign w:val="center"/>
          </w:tcPr>
          <w:p w14:paraId="517CAF8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c>
          <w:tcPr>
            <w:tcW w:w="1596" w:type="pct"/>
            <w:gridSpan w:val="2"/>
            <w:vMerge w:val="continue"/>
            <w:tcBorders>
              <w:top w:val="nil"/>
            </w:tcBorders>
            <w:vAlign w:val="center"/>
          </w:tcPr>
          <w:p w14:paraId="3766D60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c>
          <w:tcPr>
            <w:tcW w:w="579" w:type="pct"/>
            <w:vAlign w:val="center"/>
          </w:tcPr>
          <w:p w14:paraId="7F2E0B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范围</w:t>
            </w:r>
          </w:p>
        </w:tc>
        <w:tc>
          <w:tcPr>
            <w:tcW w:w="706" w:type="pct"/>
            <w:vAlign w:val="center"/>
          </w:tcPr>
          <w:p w14:paraId="246D03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7"/>
                <w:sz w:val="21"/>
                <w:szCs w:val="21"/>
              </w:rPr>
              <w:t>面积（</w:t>
            </w:r>
            <w:r>
              <w:rPr>
                <w:rFonts w:hint="eastAsia" w:ascii="宋体" w:hAnsi="宋体" w:eastAsia="宋体" w:cs="宋体"/>
                <w:b/>
                <w:bCs/>
                <w:spacing w:val="2"/>
                <w:sz w:val="21"/>
                <w:szCs w:val="21"/>
              </w:rPr>
              <w:t>hm</w:t>
            </w:r>
            <w:r>
              <w:rPr>
                <w:rFonts w:hint="eastAsia" w:ascii="宋体" w:hAnsi="宋体" w:eastAsia="宋体" w:cs="宋体"/>
                <w:b/>
                <w:bCs/>
                <w:spacing w:val="2"/>
                <w:sz w:val="21"/>
                <w:szCs w:val="21"/>
                <w:vertAlign w:val="superscript"/>
              </w:rPr>
              <w:t>2</w:t>
            </w:r>
            <w:r>
              <w:rPr>
                <w:rFonts w:hint="eastAsia" w:ascii="宋体" w:hAnsi="宋体" w:eastAsia="宋体" w:cs="宋体"/>
                <w:b/>
                <w:bCs/>
                <w:spacing w:val="7"/>
                <w:sz w:val="21"/>
                <w:szCs w:val="21"/>
              </w:rPr>
              <w:t>）</w:t>
            </w:r>
          </w:p>
        </w:tc>
        <w:tc>
          <w:tcPr>
            <w:tcW w:w="675" w:type="pct"/>
            <w:vAlign w:val="center"/>
          </w:tcPr>
          <w:p w14:paraId="053E0F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3"/>
                <w:sz w:val="21"/>
                <w:szCs w:val="21"/>
              </w:rPr>
              <w:t>损毁程度</w:t>
            </w:r>
          </w:p>
        </w:tc>
        <w:tc>
          <w:tcPr>
            <w:tcW w:w="783" w:type="pct"/>
            <w:vMerge w:val="continue"/>
            <w:tcBorders>
              <w:top w:val="nil"/>
            </w:tcBorders>
            <w:vAlign w:val="center"/>
          </w:tcPr>
          <w:p w14:paraId="38F8676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r>
      <w:tr w14:paraId="74AB6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tcBorders>
              <w:bottom w:val="nil"/>
            </w:tcBorders>
            <w:vAlign w:val="center"/>
          </w:tcPr>
          <w:p w14:paraId="7AE5BC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受损区块1</w:t>
            </w:r>
          </w:p>
        </w:tc>
        <w:tc>
          <w:tcPr>
            <w:tcW w:w="562" w:type="pct"/>
            <w:vMerge w:val="restart"/>
            <w:tcBorders>
              <w:right w:val="single" w:color="auto" w:sz="4" w:space="0"/>
            </w:tcBorders>
            <w:vAlign w:val="center"/>
          </w:tcPr>
          <w:p w14:paraId="5A83A0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left w:val="single" w:color="auto" w:sz="4" w:space="0"/>
            </w:tcBorders>
            <w:vAlign w:val="center"/>
          </w:tcPr>
          <w:p w14:paraId="06C240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579" w:type="pct"/>
            <w:vMerge w:val="restart"/>
            <w:vAlign w:val="center"/>
          </w:tcPr>
          <w:p w14:paraId="502DEF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露天采场</w:t>
            </w:r>
          </w:p>
        </w:tc>
        <w:tc>
          <w:tcPr>
            <w:tcW w:w="706" w:type="pct"/>
            <w:vMerge w:val="restart"/>
            <w:vAlign w:val="center"/>
          </w:tcPr>
          <w:p w14:paraId="0D3B9E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8.3331</w:t>
            </w:r>
          </w:p>
        </w:tc>
        <w:tc>
          <w:tcPr>
            <w:tcW w:w="675" w:type="pct"/>
            <w:tcBorders>
              <w:bottom w:val="single" w:color="auto" w:sz="4" w:space="0"/>
            </w:tcBorders>
            <w:vAlign w:val="center"/>
          </w:tcPr>
          <w:p w14:paraId="433A9D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Merge w:val="restart"/>
            <w:tcBorders>
              <w:bottom w:val="nil"/>
            </w:tcBorders>
            <w:vAlign w:val="center"/>
          </w:tcPr>
          <w:p w14:paraId="3AB2B3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r>
      <w:tr w14:paraId="1B3E3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bottom w:val="nil"/>
            </w:tcBorders>
            <w:vAlign w:val="center"/>
          </w:tcPr>
          <w:p w14:paraId="774BE8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4"/>
                <w:sz w:val="21"/>
                <w:szCs w:val="21"/>
              </w:rPr>
            </w:pPr>
          </w:p>
        </w:tc>
        <w:tc>
          <w:tcPr>
            <w:tcW w:w="562" w:type="pct"/>
            <w:vMerge w:val="continue"/>
            <w:tcBorders>
              <w:right w:val="single" w:color="auto" w:sz="4" w:space="0"/>
            </w:tcBorders>
            <w:vAlign w:val="center"/>
          </w:tcPr>
          <w:p w14:paraId="3633DE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7EF497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579" w:type="pct"/>
            <w:vMerge w:val="continue"/>
            <w:vAlign w:val="center"/>
          </w:tcPr>
          <w:p w14:paraId="08746F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75DEDC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01CC59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Merge w:val="continue"/>
            <w:tcBorders>
              <w:bottom w:val="nil"/>
            </w:tcBorders>
            <w:vAlign w:val="center"/>
          </w:tcPr>
          <w:p w14:paraId="1793C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78379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6E4410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4"/>
                <w:sz w:val="21"/>
                <w:szCs w:val="21"/>
              </w:rPr>
            </w:pPr>
          </w:p>
        </w:tc>
        <w:tc>
          <w:tcPr>
            <w:tcW w:w="562" w:type="pct"/>
            <w:vMerge w:val="continue"/>
            <w:tcBorders>
              <w:right w:val="single" w:color="auto" w:sz="4" w:space="0"/>
            </w:tcBorders>
            <w:vAlign w:val="center"/>
          </w:tcPr>
          <w:p w14:paraId="444A60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7473C9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579" w:type="pct"/>
            <w:vMerge w:val="continue"/>
            <w:vAlign w:val="center"/>
          </w:tcPr>
          <w:p w14:paraId="1918F3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6D4F15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0DED82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Merge w:val="continue"/>
            <w:vAlign w:val="center"/>
          </w:tcPr>
          <w:p w14:paraId="6BB41F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1F62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nil"/>
            </w:tcBorders>
            <w:vAlign w:val="center"/>
          </w:tcPr>
          <w:p w14:paraId="44B89F3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vAlign w:val="center"/>
          </w:tcPr>
          <w:p w14:paraId="79C0CF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土地资源</w:t>
            </w:r>
          </w:p>
        </w:tc>
        <w:tc>
          <w:tcPr>
            <w:tcW w:w="1033" w:type="pct"/>
            <w:tcBorders>
              <w:left w:val="single" w:color="auto" w:sz="4" w:space="0"/>
            </w:tcBorders>
            <w:vAlign w:val="center"/>
          </w:tcPr>
          <w:p w14:paraId="74EE0F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未损毁</w:t>
            </w:r>
          </w:p>
        </w:tc>
        <w:tc>
          <w:tcPr>
            <w:tcW w:w="579" w:type="pct"/>
            <w:vMerge w:val="continue"/>
            <w:vAlign w:val="center"/>
          </w:tcPr>
          <w:p w14:paraId="6BC62E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2CE2F3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top w:val="single" w:color="auto" w:sz="4" w:space="0"/>
              <w:bottom w:val="single" w:color="auto" w:sz="4" w:space="0"/>
            </w:tcBorders>
            <w:vAlign w:val="center"/>
          </w:tcPr>
          <w:p w14:paraId="19A4A3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Merge w:val="continue"/>
            <w:tcBorders>
              <w:top w:val="nil"/>
              <w:bottom w:val="nil"/>
            </w:tcBorders>
            <w:vAlign w:val="center"/>
          </w:tcPr>
          <w:p w14:paraId="5C17FD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25A4D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nil"/>
            </w:tcBorders>
            <w:vAlign w:val="center"/>
          </w:tcPr>
          <w:p w14:paraId="1AF2A36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vAlign w:val="center"/>
          </w:tcPr>
          <w:p w14:paraId="697353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left w:val="single" w:color="auto" w:sz="4" w:space="0"/>
            </w:tcBorders>
            <w:vAlign w:val="center"/>
          </w:tcPr>
          <w:p w14:paraId="084403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579" w:type="pct"/>
            <w:vMerge w:val="continue"/>
            <w:vAlign w:val="center"/>
          </w:tcPr>
          <w:p w14:paraId="345124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27FB12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top w:val="single" w:color="auto" w:sz="4" w:space="0"/>
              <w:bottom w:val="single" w:color="auto" w:sz="4" w:space="0"/>
            </w:tcBorders>
            <w:vAlign w:val="center"/>
          </w:tcPr>
          <w:p w14:paraId="65FE6F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Merge w:val="continue"/>
            <w:tcBorders>
              <w:top w:val="nil"/>
              <w:bottom w:val="nil"/>
            </w:tcBorders>
            <w:vAlign w:val="center"/>
          </w:tcPr>
          <w:p w14:paraId="6D104E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4AF29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nil"/>
            </w:tcBorders>
            <w:vAlign w:val="center"/>
          </w:tcPr>
          <w:p w14:paraId="3F02135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4DACCF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79B11F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579" w:type="pct"/>
            <w:vMerge w:val="continue"/>
            <w:vAlign w:val="center"/>
          </w:tcPr>
          <w:p w14:paraId="1B17DC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7D6F1E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top w:val="single" w:color="auto" w:sz="4" w:space="0"/>
            </w:tcBorders>
            <w:vAlign w:val="center"/>
          </w:tcPr>
          <w:p w14:paraId="2AFC9D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Merge w:val="continue"/>
            <w:tcBorders>
              <w:top w:val="nil"/>
              <w:bottom w:val="nil"/>
            </w:tcBorders>
            <w:vAlign w:val="center"/>
          </w:tcPr>
          <w:p w14:paraId="383100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36229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tcBorders>
              <w:bottom w:val="nil"/>
            </w:tcBorders>
            <w:vAlign w:val="center"/>
          </w:tcPr>
          <w:p w14:paraId="57DCC8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受损区块2</w:t>
            </w:r>
          </w:p>
        </w:tc>
        <w:tc>
          <w:tcPr>
            <w:tcW w:w="562" w:type="pct"/>
            <w:vMerge w:val="restart"/>
            <w:tcBorders>
              <w:right w:val="single" w:color="auto" w:sz="4" w:space="0"/>
            </w:tcBorders>
            <w:vAlign w:val="center"/>
          </w:tcPr>
          <w:p w14:paraId="4C0AF3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left w:val="single" w:color="auto" w:sz="4" w:space="0"/>
            </w:tcBorders>
            <w:vAlign w:val="center"/>
          </w:tcPr>
          <w:p w14:paraId="5B2F5C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579" w:type="pct"/>
            <w:vMerge w:val="restart"/>
            <w:vAlign w:val="center"/>
          </w:tcPr>
          <w:p w14:paraId="42ECCA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复垦用土临时堆场</w:t>
            </w:r>
          </w:p>
        </w:tc>
        <w:tc>
          <w:tcPr>
            <w:tcW w:w="706" w:type="pct"/>
            <w:vMerge w:val="restart"/>
            <w:vAlign w:val="center"/>
          </w:tcPr>
          <w:p w14:paraId="112927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1.4921</w:t>
            </w:r>
          </w:p>
        </w:tc>
        <w:tc>
          <w:tcPr>
            <w:tcW w:w="675" w:type="pct"/>
            <w:tcBorders>
              <w:bottom w:val="single" w:color="auto" w:sz="4" w:space="0"/>
            </w:tcBorders>
            <w:vAlign w:val="center"/>
          </w:tcPr>
          <w:p w14:paraId="72EC4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restart"/>
            <w:tcBorders>
              <w:bottom w:val="nil"/>
            </w:tcBorders>
            <w:shd w:val="clear" w:color="auto" w:fill="auto"/>
            <w:vAlign w:val="center"/>
          </w:tcPr>
          <w:p w14:paraId="6C6C62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r>
      <w:tr w14:paraId="4C202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bottom w:val="nil"/>
            </w:tcBorders>
            <w:vAlign w:val="center"/>
          </w:tcPr>
          <w:p w14:paraId="79BFC4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62" w:type="pct"/>
            <w:vMerge w:val="continue"/>
            <w:tcBorders>
              <w:right w:val="single" w:color="auto" w:sz="4" w:space="0"/>
            </w:tcBorders>
            <w:vAlign w:val="center"/>
          </w:tcPr>
          <w:p w14:paraId="4CF0CC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4CF243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579" w:type="pct"/>
            <w:vMerge w:val="continue"/>
            <w:vAlign w:val="center"/>
          </w:tcPr>
          <w:p w14:paraId="05215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6BB5D5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39C2EA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bottom w:val="nil"/>
            </w:tcBorders>
            <w:shd w:val="clear" w:color="auto" w:fill="auto"/>
            <w:vAlign w:val="center"/>
          </w:tcPr>
          <w:p w14:paraId="05BA03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4C72D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6870A1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62" w:type="pct"/>
            <w:vMerge w:val="continue"/>
            <w:tcBorders>
              <w:right w:val="single" w:color="auto" w:sz="4" w:space="0"/>
            </w:tcBorders>
            <w:vAlign w:val="center"/>
          </w:tcPr>
          <w:p w14:paraId="43E255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5CE549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579" w:type="pct"/>
            <w:vMerge w:val="continue"/>
            <w:vAlign w:val="center"/>
          </w:tcPr>
          <w:p w14:paraId="6345AB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02D158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344830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shd w:val="clear" w:color="auto" w:fill="auto"/>
            <w:vAlign w:val="center"/>
          </w:tcPr>
          <w:p w14:paraId="5089AB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6FDE8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nil"/>
            </w:tcBorders>
            <w:vAlign w:val="center"/>
          </w:tcPr>
          <w:p w14:paraId="06E3574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vAlign w:val="center"/>
          </w:tcPr>
          <w:p w14:paraId="5A98EB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土地资源</w:t>
            </w:r>
          </w:p>
        </w:tc>
        <w:tc>
          <w:tcPr>
            <w:tcW w:w="1033" w:type="pct"/>
            <w:tcBorders>
              <w:left w:val="single" w:color="auto" w:sz="4" w:space="0"/>
            </w:tcBorders>
            <w:vAlign w:val="center"/>
          </w:tcPr>
          <w:p w14:paraId="378BC4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未损毁</w:t>
            </w:r>
          </w:p>
        </w:tc>
        <w:tc>
          <w:tcPr>
            <w:tcW w:w="579" w:type="pct"/>
            <w:vMerge w:val="continue"/>
            <w:vAlign w:val="center"/>
          </w:tcPr>
          <w:p w14:paraId="08070C8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1177912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330821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top w:val="nil"/>
              <w:bottom w:val="nil"/>
            </w:tcBorders>
            <w:shd w:val="clear" w:color="auto" w:fill="auto"/>
            <w:vAlign w:val="center"/>
          </w:tcPr>
          <w:p w14:paraId="5A0AEAC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451B9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single" w:color="auto" w:sz="4" w:space="0"/>
            </w:tcBorders>
            <w:vAlign w:val="center"/>
          </w:tcPr>
          <w:p w14:paraId="4643516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vAlign w:val="center"/>
          </w:tcPr>
          <w:p w14:paraId="1F9607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left w:val="single" w:color="auto" w:sz="4" w:space="0"/>
              <w:bottom w:val="single" w:color="auto" w:sz="4" w:space="0"/>
            </w:tcBorders>
            <w:vAlign w:val="center"/>
          </w:tcPr>
          <w:p w14:paraId="59B140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579" w:type="pct"/>
            <w:vMerge w:val="continue"/>
            <w:vAlign w:val="center"/>
          </w:tcPr>
          <w:p w14:paraId="00169B7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7E56627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530B76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top w:val="nil"/>
              <w:bottom w:val="single" w:color="auto" w:sz="4" w:space="0"/>
            </w:tcBorders>
            <w:shd w:val="clear" w:color="auto" w:fill="auto"/>
            <w:vAlign w:val="center"/>
          </w:tcPr>
          <w:p w14:paraId="79DA41C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8C71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bottom w:val="single" w:color="auto" w:sz="4" w:space="0"/>
            </w:tcBorders>
            <w:vAlign w:val="center"/>
          </w:tcPr>
          <w:p w14:paraId="4E35522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6E9CA3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tcBorders>
            <w:vAlign w:val="center"/>
          </w:tcPr>
          <w:p w14:paraId="0A463F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579" w:type="pct"/>
            <w:vMerge w:val="continue"/>
            <w:tcBorders>
              <w:bottom w:val="single" w:color="auto" w:sz="4" w:space="0"/>
            </w:tcBorders>
            <w:vAlign w:val="center"/>
          </w:tcPr>
          <w:p w14:paraId="43FF0DF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tcBorders>
              <w:bottom w:val="single" w:color="auto" w:sz="4" w:space="0"/>
            </w:tcBorders>
            <w:vAlign w:val="center"/>
          </w:tcPr>
          <w:p w14:paraId="2AC73E8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38B6A8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bottom w:val="single" w:color="auto" w:sz="4" w:space="0"/>
            </w:tcBorders>
            <w:shd w:val="clear" w:color="auto" w:fill="auto"/>
            <w:vAlign w:val="center"/>
          </w:tcPr>
          <w:p w14:paraId="527189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p>
        </w:tc>
      </w:tr>
      <w:tr w14:paraId="786EE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tcBorders>
              <w:bottom w:val="nil"/>
            </w:tcBorders>
            <w:vAlign w:val="center"/>
          </w:tcPr>
          <w:p w14:paraId="781639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受损区块3</w:t>
            </w:r>
          </w:p>
        </w:tc>
        <w:tc>
          <w:tcPr>
            <w:tcW w:w="562" w:type="pct"/>
            <w:vMerge w:val="restart"/>
            <w:tcBorders>
              <w:right w:val="single" w:color="auto" w:sz="4" w:space="0"/>
            </w:tcBorders>
            <w:vAlign w:val="center"/>
          </w:tcPr>
          <w:p w14:paraId="079B4F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left w:val="single" w:color="auto" w:sz="4" w:space="0"/>
            </w:tcBorders>
            <w:vAlign w:val="center"/>
          </w:tcPr>
          <w:p w14:paraId="6C3C52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579" w:type="pct"/>
            <w:vMerge w:val="restart"/>
            <w:vAlign w:val="center"/>
          </w:tcPr>
          <w:p w14:paraId="613787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破碎站</w:t>
            </w:r>
          </w:p>
        </w:tc>
        <w:tc>
          <w:tcPr>
            <w:tcW w:w="706" w:type="pct"/>
            <w:vMerge w:val="restart"/>
            <w:vAlign w:val="center"/>
          </w:tcPr>
          <w:p w14:paraId="2A635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0.6052</w:t>
            </w:r>
          </w:p>
        </w:tc>
        <w:tc>
          <w:tcPr>
            <w:tcW w:w="675" w:type="pct"/>
            <w:tcBorders>
              <w:bottom w:val="single" w:color="auto" w:sz="4" w:space="0"/>
            </w:tcBorders>
            <w:vAlign w:val="center"/>
          </w:tcPr>
          <w:p w14:paraId="3F58E5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restart"/>
            <w:tcBorders>
              <w:bottom w:val="nil"/>
            </w:tcBorders>
            <w:vAlign w:val="center"/>
          </w:tcPr>
          <w:p w14:paraId="506973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r>
      <w:tr w14:paraId="18B9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bottom w:val="nil"/>
            </w:tcBorders>
            <w:vAlign w:val="center"/>
          </w:tcPr>
          <w:p w14:paraId="527B4C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62" w:type="pct"/>
            <w:vMerge w:val="continue"/>
            <w:tcBorders>
              <w:right w:val="single" w:color="auto" w:sz="4" w:space="0"/>
            </w:tcBorders>
            <w:vAlign w:val="center"/>
          </w:tcPr>
          <w:p w14:paraId="5F458E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0A78C9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579" w:type="pct"/>
            <w:vMerge w:val="continue"/>
            <w:vAlign w:val="center"/>
          </w:tcPr>
          <w:p w14:paraId="56DF96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5A9998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518AB0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bottom w:val="nil"/>
            </w:tcBorders>
            <w:vAlign w:val="center"/>
          </w:tcPr>
          <w:p w14:paraId="50A9AF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22C2C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2962C8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62" w:type="pct"/>
            <w:vMerge w:val="continue"/>
            <w:tcBorders>
              <w:right w:val="single" w:color="auto" w:sz="4" w:space="0"/>
            </w:tcBorders>
            <w:vAlign w:val="center"/>
          </w:tcPr>
          <w:p w14:paraId="4DA61E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78DA7E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579" w:type="pct"/>
            <w:vMerge w:val="continue"/>
            <w:vAlign w:val="center"/>
          </w:tcPr>
          <w:p w14:paraId="7123C4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043320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386545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vAlign w:val="center"/>
          </w:tcPr>
          <w:p w14:paraId="202ABD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5EEE1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nil"/>
            </w:tcBorders>
            <w:vAlign w:val="center"/>
          </w:tcPr>
          <w:p w14:paraId="246363F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vAlign w:val="center"/>
          </w:tcPr>
          <w:p w14:paraId="13FF69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土地资源</w:t>
            </w:r>
          </w:p>
        </w:tc>
        <w:tc>
          <w:tcPr>
            <w:tcW w:w="1033" w:type="pct"/>
            <w:tcBorders>
              <w:left w:val="single" w:color="auto" w:sz="4" w:space="0"/>
            </w:tcBorders>
            <w:vAlign w:val="center"/>
          </w:tcPr>
          <w:p w14:paraId="486EF6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未损毁</w:t>
            </w:r>
          </w:p>
        </w:tc>
        <w:tc>
          <w:tcPr>
            <w:tcW w:w="579" w:type="pct"/>
            <w:vMerge w:val="continue"/>
            <w:vAlign w:val="center"/>
          </w:tcPr>
          <w:p w14:paraId="63EF10C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6564645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576A05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top w:val="nil"/>
              <w:bottom w:val="nil"/>
            </w:tcBorders>
            <w:vAlign w:val="center"/>
          </w:tcPr>
          <w:p w14:paraId="1957F8B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3888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single" w:color="auto" w:sz="4" w:space="0"/>
            </w:tcBorders>
            <w:vAlign w:val="center"/>
          </w:tcPr>
          <w:p w14:paraId="6FCD78F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vAlign w:val="center"/>
          </w:tcPr>
          <w:p w14:paraId="38A6C7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left w:val="single" w:color="auto" w:sz="4" w:space="0"/>
              <w:bottom w:val="single" w:color="auto" w:sz="4" w:space="0"/>
            </w:tcBorders>
            <w:vAlign w:val="center"/>
          </w:tcPr>
          <w:p w14:paraId="7141E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579" w:type="pct"/>
            <w:vMerge w:val="continue"/>
            <w:vAlign w:val="center"/>
          </w:tcPr>
          <w:p w14:paraId="082D0AC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4302BF2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5B6CB6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top w:val="nil"/>
              <w:bottom w:val="single" w:color="auto" w:sz="4" w:space="0"/>
            </w:tcBorders>
            <w:vAlign w:val="center"/>
          </w:tcPr>
          <w:p w14:paraId="74ACC82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BC54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bottom w:val="single" w:color="auto" w:sz="4" w:space="0"/>
            </w:tcBorders>
            <w:vAlign w:val="center"/>
          </w:tcPr>
          <w:p w14:paraId="48F19A6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77BD98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tcBorders>
            <w:vAlign w:val="center"/>
          </w:tcPr>
          <w:p w14:paraId="3FA322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579" w:type="pct"/>
            <w:vMerge w:val="continue"/>
            <w:tcBorders>
              <w:bottom w:val="single" w:color="auto" w:sz="4" w:space="0"/>
            </w:tcBorders>
            <w:vAlign w:val="center"/>
          </w:tcPr>
          <w:p w14:paraId="707D42F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tcBorders>
              <w:bottom w:val="single" w:color="auto" w:sz="4" w:space="0"/>
            </w:tcBorders>
            <w:vAlign w:val="center"/>
          </w:tcPr>
          <w:p w14:paraId="107FC16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102C1A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w:t>
            </w:r>
          </w:p>
        </w:tc>
        <w:tc>
          <w:tcPr>
            <w:tcW w:w="783" w:type="pct"/>
            <w:vMerge w:val="continue"/>
            <w:tcBorders>
              <w:bottom w:val="single" w:color="auto" w:sz="4" w:space="0"/>
            </w:tcBorders>
            <w:vAlign w:val="center"/>
          </w:tcPr>
          <w:p w14:paraId="06F18D4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4778C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tcBorders>
              <w:bottom w:val="nil"/>
            </w:tcBorders>
            <w:vAlign w:val="center"/>
          </w:tcPr>
          <w:p w14:paraId="3B0866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受损区块4</w:t>
            </w:r>
          </w:p>
        </w:tc>
        <w:tc>
          <w:tcPr>
            <w:tcW w:w="562" w:type="pct"/>
            <w:vMerge w:val="restart"/>
            <w:tcBorders>
              <w:right w:val="single" w:color="auto" w:sz="4" w:space="0"/>
            </w:tcBorders>
            <w:vAlign w:val="center"/>
          </w:tcPr>
          <w:p w14:paraId="4C5F91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left w:val="single" w:color="auto" w:sz="4" w:space="0"/>
            </w:tcBorders>
            <w:vAlign w:val="center"/>
          </w:tcPr>
          <w:p w14:paraId="095D5A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579" w:type="pct"/>
            <w:vMerge w:val="restart"/>
            <w:vAlign w:val="center"/>
          </w:tcPr>
          <w:p w14:paraId="5D6F58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历史采坑一</w:t>
            </w:r>
          </w:p>
        </w:tc>
        <w:tc>
          <w:tcPr>
            <w:tcW w:w="706" w:type="pct"/>
            <w:vMerge w:val="restart"/>
            <w:vAlign w:val="center"/>
          </w:tcPr>
          <w:p w14:paraId="13A813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2.0378</w:t>
            </w:r>
          </w:p>
        </w:tc>
        <w:tc>
          <w:tcPr>
            <w:tcW w:w="675" w:type="pct"/>
            <w:tcBorders>
              <w:bottom w:val="single" w:color="auto" w:sz="4" w:space="0"/>
            </w:tcBorders>
            <w:vAlign w:val="center"/>
          </w:tcPr>
          <w:p w14:paraId="31FBF9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轻度</w:t>
            </w:r>
          </w:p>
        </w:tc>
        <w:tc>
          <w:tcPr>
            <w:tcW w:w="783" w:type="pct"/>
            <w:vMerge w:val="restart"/>
            <w:tcBorders>
              <w:bottom w:val="nil"/>
            </w:tcBorders>
            <w:vAlign w:val="center"/>
          </w:tcPr>
          <w:p w14:paraId="2A923E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重度</w:t>
            </w:r>
          </w:p>
        </w:tc>
      </w:tr>
      <w:tr w14:paraId="07156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bottom w:val="nil"/>
            </w:tcBorders>
            <w:vAlign w:val="center"/>
          </w:tcPr>
          <w:p w14:paraId="7E83F3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62" w:type="pct"/>
            <w:vMerge w:val="continue"/>
            <w:tcBorders>
              <w:right w:val="single" w:color="auto" w:sz="4" w:space="0"/>
            </w:tcBorders>
            <w:vAlign w:val="center"/>
          </w:tcPr>
          <w:p w14:paraId="270E3E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6880F6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579" w:type="pct"/>
            <w:vMerge w:val="continue"/>
            <w:vAlign w:val="center"/>
          </w:tcPr>
          <w:p w14:paraId="3682BD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50A351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248D15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轻度</w:t>
            </w:r>
          </w:p>
        </w:tc>
        <w:tc>
          <w:tcPr>
            <w:tcW w:w="783" w:type="pct"/>
            <w:vMerge w:val="continue"/>
            <w:tcBorders>
              <w:bottom w:val="nil"/>
            </w:tcBorders>
            <w:vAlign w:val="center"/>
          </w:tcPr>
          <w:p w14:paraId="538096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7C035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5C0F75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62" w:type="pct"/>
            <w:vMerge w:val="continue"/>
            <w:tcBorders>
              <w:right w:val="single" w:color="auto" w:sz="4" w:space="0"/>
            </w:tcBorders>
            <w:vAlign w:val="center"/>
          </w:tcPr>
          <w:p w14:paraId="5824F8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left w:val="single" w:color="auto" w:sz="4" w:space="0"/>
            </w:tcBorders>
            <w:vAlign w:val="center"/>
          </w:tcPr>
          <w:p w14:paraId="1D5E37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579" w:type="pct"/>
            <w:vMerge w:val="continue"/>
            <w:vAlign w:val="center"/>
          </w:tcPr>
          <w:p w14:paraId="428C52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706" w:type="pct"/>
            <w:vMerge w:val="continue"/>
            <w:vAlign w:val="center"/>
          </w:tcPr>
          <w:p w14:paraId="1C563A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75" w:type="pct"/>
            <w:tcBorders>
              <w:bottom w:val="single" w:color="auto" w:sz="4" w:space="0"/>
            </w:tcBorders>
            <w:vAlign w:val="center"/>
          </w:tcPr>
          <w:p w14:paraId="32FE94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重度</w:t>
            </w:r>
          </w:p>
        </w:tc>
        <w:tc>
          <w:tcPr>
            <w:tcW w:w="783" w:type="pct"/>
            <w:vMerge w:val="continue"/>
            <w:vAlign w:val="center"/>
          </w:tcPr>
          <w:p w14:paraId="6B9631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59F0C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nil"/>
            </w:tcBorders>
            <w:vAlign w:val="center"/>
          </w:tcPr>
          <w:p w14:paraId="26C8111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vAlign w:val="center"/>
          </w:tcPr>
          <w:p w14:paraId="64442D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土地资源</w:t>
            </w:r>
          </w:p>
        </w:tc>
        <w:tc>
          <w:tcPr>
            <w:tcW w:w="1033" w:type="pct"/>
            <w:tcBorders>
              <w:left w:val="single" w:color="auto" w:sz="4" w:space="0"/>
            </w:tcBorders>
            <w:vAlign w:val="center"/>
          </w:tcPr>
          <w:p w14:paraId="268D47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土地挖损</w:t>
            </w:r>
          </w:p>
        </w:tc>
        <w:tc>
          <w:tcPr>
            <w:tcW w:w="579" w:type="pct"/>
            <w:vMerge w:val="continue"/>
            <w:vAlign w:val="center"/>
          </w:tcPr>
          <w:p w14:paraId="150505C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7CBB9C6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446AFD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重度</w:t>
            </w:r>
          </w:p>
        </w:tc>
        <w:tc>
          <w:tcPr>
            <w:tcW w:w="783" w:type="pct"/>
            <w:vMerge w:val="continue"/>
            <w:tcBorders>
              <w:top w:val="nil"/>
              <w:bottom w:val="nil"/>
            </w:tcBorders>
            <w:vAlign w:val="center"/>
          </w:tcPr>
          <w:p w14:paraId="577C630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12C9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tcBorders>
              <w:top w:val="nil"/>
              <w:bottom w:val="single" w:color="auto" w:sz="4" w:space="0"/>
            </w:tcBorders>
            <w:vAlign w:val="center"/>
          </w:tcPr>
          <w:p w14:paraId="0443603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vAlign w:val="center"/>
          </w:tcPr>
          <w:p w14:paraId="27CF11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left w:val="single" w:color="auto" w:sz="4" w:space="0"/>
              <w:bottom w:val="single" w:color="auto" w:sz="4" w:space="0"/>
            </w:tcBorders>
            <w:vAlign w:val="center"/>
          </w:tcPr>
          <w:p w14:paraId="4DE5B8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579" w:type="pct"/>
            <w:vMerge w:val="continue"/>
            <w:vAlign w:val="center"/>
          </w:tcPr>
          <w:p w14:paraId="00DDDF0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5AC238A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68045D7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轻度</w:t>
            </w:r>
          </w:p>
        </w:tc>
        <w:tc>
          <w:tcPr>
            <w:tcW w:w="783" w:type="pct"/>
            <w:vMerge w:val="continue"/>
            <w:tcBorders>
              <w:top w:val="nil"/>
              <w:bottom w:val="single" w:color="auto" w:sz="4" w:space="0"/>
            </w:tcBorders>
            <w:vAlign w:val="center"/>
          </w:tcPr>
          <w:p w14:paraId="0A81D09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2E3F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1799A36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7C1D6E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vAlign w:val="center"/>
          </w:tcPr>
          <w:p w14:paraId="102F4D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579" w:type="pct"/>
            <w:vMerge w:val="continue"/>
            <w:vAlign w:val="center"/>
          </w:tcPr>
          <w:p w14:paraId="01C435C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5F4FC8C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12D6E1C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重度</w:t>
            </w:r>
          </w:p>
        </w:tc>
        <w:tc>
          <w:tcPr>
            <w:tcW w:w="783" w:type="pct"/>
            <w:vMerge w:val="continue"/>
            <w:vAlign w:val="center"/>
          </w:tcPr>
          <w:p w14:paraId="589F509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B1E2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vAlign w:val="center"/>
          </w:tcPr>
          <w:p w14:paraId="09F7422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5</w:t>
            </w:r>
          </w:p>
        </w:tc>
        <w:tc>
          <w:tcPr>
            <w:tcW w:w="562" w:type="pct"/>
            <w:vMerge w:val="restart"/>
            <w:tcBorders>
              <w:right w:val="single" w:color="auto" w:sz="4" w:space="0"/>
            </w:tcBorders>
            <w:shd w:val="clear" w:color="auto" w:fill="auto"/>
            <w:vAlign w:val="center"/>
          </w:tcPr>
          <w:p w14:paraId="51A8DA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top w:val="single" w:color="auto" w:sz="4" w:space="0"/>
              <w:left w:val="single" w:color="auto" w:sz="4" w:space="0"/>
              <w:bottom w:val="single" w:color="auto" w:sz="4" w:space="0"/>
            </w:tcBorders>
            <w:shd w:val="clear" w:color="auto" w:fill="auto"/>
            <w:vAlign w:val="center"/>
          </w:tcPr>
          <w:p w14:paraId="320E4E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579" w:type="pct"/>
            <w:vMerge w:val="restart"/>
            <w:vAlign w:val="center"/>
          </w:tcPr>
          <w:p w14:paraId="371DD6F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排土场（历史采坑二）</w:t>
            </w:r>
          </w:p>
        </w:tc>
        <w:tc>
          <w:tcPr>
            <w:tcW w:w="706" w:type="pct"/>
            <w:vMerge w:val="restart"/>
            <w:vAlign w:val="center"/>
          </w:tcPr>
          <w:p w14:paraId="44F16ED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2.4635</w:t>
            </w:r>
          </w:p>
        </w:tc>
        <w:tc>
          <w:tcPr>
            <w:tcW w:w="675" w:type="pct"/>
            <w:tcBorders>
              <w:top w:val="single" w:color="auto" w:sz="4" w:space="0"/>
              <w:bottom w:val="single" w:color="auto" w:sz="4" w:space="0"/>
            </w:tcBorders>
            <w:shd w:val="clear" w:color="auto" w:fill="auto"/>
            <w:vAlign w:val="center"/>
          </w:tcPr>
          <w:p w14:paraId="42C582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restart"/>
            <w:vAlign w:val="center"/>
          </w:tcPr>
          <w:p w14:paraId="721B4F6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lang w:val="en-US" w:eastAsia="zh-CN"/>
              </w:rPr>
              <w:t>重度</w:t>
            </w:r>
          </w:p>
        </w:tc>
      </w:tr>
      <w:tr w14:paraId="18B82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2814FC0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1C4A9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0DE114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579" w:type="pct"/>
            <w:vMerge w:val="continue"/>
            <w:vAlign w:val="center"/>
          </w:tcPr>
          <w:p w14:paraId="45A2B23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429C82E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shd w:val="clear" w:color="auto" w:fill="auto"/>
            <w:vAlign w:val="center"/>
          </w:tcPr>
          <w:p w14:paraId="17BF44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continue"/>
            <w:vAlign w:val="center"/>
          </w:tcPr>
          <w:p w14:paraId="64AF48C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4249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5B09A5C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04FB3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2ED4CD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579" w:type="pct"/>
            <w:vMerge w:val="continue"/>
            <w:vAlign w:val="center"/>
          </w:tcPr>
          <w:p w14:paraId="031F5E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49524E5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3735F5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重度</w:t>
            </w:r>
          </w:p>
        </w:tc>
        <w:tc>
          <w:tcPr>
            <w:tcW w:w="783" w:type="pct"/>
            <w:vMerge w:val="continue"/>
            <w:vAlign w:val="center"/>
          </w:tcPr>
          <w:p w14:paraId="0523A7C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0DE3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693C121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shd w:val="clear" w:color="auto" w:fill="auto"/>
            <w:vAlign w:val="center"/>
          </w:tcPr>
          <w:p w14:paraId="6A5783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土地资源</w:t>
            </w:r>
          </w:p>
        </w:tc>
        <w:tc>
          <w:tcPr>
            <w:tcW w:w="1033" w:type="pct"/>
            <w:tcBorders>
              <w:top w:val="single" w:color="auto" w:sz="4" w:space="0"/>
              <w:left w:val="single" w:color="auto" w:sz="4" w:space="0"/>
              <w:bottom w:val="single" w:color="auto" w:sz="4" w:space="0"/>
            </w:tcBorders>
            <w:shd w:val="clear" w:color="auto" w:fill="auto"/>
            <w:vAlign w:val="center"/>
          </w:tcPr>
          <w:p w14:paraId="01FA9D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土地挖损</w:t>
            </w:r>
          </w:p>
        </w:tc>
        <w:tc>
          <w:tcPr>
            <w:tcW w:w="579" w:type="pct"/>
            <w:vMerge w:val="continue"/>
            <w:vAlign w:val="center"/>
          </w:tcPr>
          <w:p w14:paraId="574C0A7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1D4EB0E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6B84B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重度</w:t>
            </w:r>
          </w:p>
        </w:tc>
        <w:tc>
          <w:tcPr>
            <w:tcW w:w="783" w:type="pct"/>
            <w:vMerge w:val="continue"/>
            <w:vAlign w:val="center"/>
          </w:tcPr>
          <w:p w14:paraId="799ABFD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4AFC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1C6F0E7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shd w:val="clear" w:color="auto" w:fill="auto"/>
            <w:vAlign w:val="center"/>
          </w:tcPr>
          <w:p w14:paraId="0178BE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top w:val="single" w:color="auto" w:sz="4" w:space="0"/>
              <w:left w:val="single" w:color="auto" w:sz="4" w:space="0"/>
              <w:bottom w:val="single" w:color="auto" w:sz="4" w:space="0"/>
            </w:tcBorders>
            <w:shd w:val="clear" w:color="auto" w:fill="auto"/>
            <w:vAlign w:val="center"/>
          </w:tcPr>
          <w:p w14:paraId="7466C5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579" w:type="pct"/>
            <w:vMerge w:val="continue"/>
            <w:vAlign w:val="center"/>
          </w:tcPr>
          <w:p w14:paraId="420DDF0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4FCF034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shd w:val="clear" w:color="auto" w:fill="auto"/>
            <w:vAlign w:val="center"/>
          </w:tcPr>
          <w:p w14:paraId="2C4768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轻度</w:t>
            </w:r>
          </w:p>
        </w:tc>
        <w:tc>
          <w:tcPr>
            <w:tcW w:w="783" w:type="pct"/>
            <w:vMerge w:val="continue"/>
            <w:vAlign w:val="center"/>
          </w:tcPr>
          <w:p w14:paraId="45C37D5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453C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103E40A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3F8A3A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2C8003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579" w:type="pct"/>
            <w:vMerge w:val="continue"/>
            <w:vAlign w:val="center"/>
          </w:tcPr>
          <w:p w14:paraId="796D6EC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49CA4CF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shd w:val="clear" w:color="auto" w:fill="auto"/>
            <w:vAlign w:val="center"/>
          </w:tcPr>
          <w:p w14:paraId="383DA6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highlight w:val="none"/>
                <w:lang w:val="en-US" w:eastAsia="zh-CN"/>
              </w:rPr>
              <w:t>重度</w:t>
            </w:r>
          </w:p>
        </w:tc>
        <w:tc>
          <w:tcPr>
            <w:tcW w:w="783" w:type="pct"/>
            <w:vMerge w:val="continue"/>
            <w:vAlign w:val="center"/>
          </w:tcPr>
          <w:p w14:paraId="11B09A9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06AD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vAlign w:val="center"/>
          </w:tcPr>
          <w:p w14:paraId="76F7CB7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6</w:t>
            </w:r>
          </w:p>
        </w:tc>
        <w:tc>
          <w:tcPr>
            <w:tcW w:w="562" w:type="pct"/>
            <w:vMerge w:val="restart"/>
            <w:tcBorders>
              <w:right w:val="single" w:color="auto" w:sz="4" w:space="0"/>
            </w:tcBorders>
            <w:shd w:val="clear" w:color="auto" w:fill="auto"/>
            <w:vAlign w:val="center"/>
          </w:tcPr>
          <w:p w14:paraId="71CE85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top w:val="single" w:color="auto" w:sz="4" w:space="0"/>
              <w:left w:val="single" w:color="auto" w:sz="4" w:space="0"/>
              <w:bottom w:val="single" w:color="auto" w:sz="4" w:space="0"/>
            </w:tcBorders>
            <w:shd w:val="clear" w:color="auto" w:fill="auto"/>
            <w:vAlign w:val="center"/>
          </w:tcPr>
          <w:p w14:paraId="10F2FF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579" w:type="pct"/>
            <w:vMerge w:val="restart"/>
            <w:vAlign w:val="center"/>
          </w:tcPr>
          <w:p w14:paraId="02BB711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原破碎站及废石堆场</w:t>
            </w:r>
          </w:p>
        </w:tc>
        <w:tc>
          <w:tcPr>
            <w:tcW w:w="706" w:type="pct"/>
            <w:vMerge w:val="restart"/>
            <w:vAlign w:val="center"/>
          </w:tcPr>
          <w:p w14:paraId="7967527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2.2880</w:t>
            </w:r>
          </w:p>
        </w:tc>
        <w:tc>
          <w:tcPr>
            <w:tcW w:w="675" w:type="pct"/>
            <w:tcBorders>
              <w:top w:val="single" w:color="auto" w:sz="4" w:space="0"/>
              <w:bottom w:val="single" w:color="auto" w:sz="4" w:space="0"/>
            </w:tcBorders>
            <w:shd w:val="clear" w:color="auto" w:fill="auto"/>
            <w:vAlign w:val="center"/>
          </w:tcPr>
          <w:p w14:paraId="69481E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restart"/>
            <w:vAlign w:val="center"/>
          </w:tcPr>
          <w:p w14:paraId="5DB166E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lang w:val="en-US" w:eastAsia="zh-CN"/>
              </w:rPr>
              <w:t>中度</w:t>
            </w:r>
          </w:p>
        </w:tc>
      </w:tr>
      <w:tr w14:paraId="76CED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6C62937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0AC1C4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06D8FC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579" w:type="pct"/>
            <w:vMerge w:val="continue"/>
            <w:vAlign w:val="center"/>
          </w:tcPr>
          <w:p w14:paraId="676FBDB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6161EC5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shd w:val="clear" w:color="auto" w:fill="auto"/>
            <w:vAlign w:val="center"/>
          </w:tcPr>
          <w:p w14:paraId="105957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continue"/>
            <w:vAlign w:val="center"/>
          </w:tcPr>
          <w:p w14:paraId="15AF5BB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D8B0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524576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0B90A9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5FFAF4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579" w:type="pct"/>
            <w:vMerge w:val="continue"/>
            <w:vAlign w:val="center"/>
          </w:tcPr>
          <w:p w14:paraId="14363F9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2F3AC5B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7B4311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中度</w:t>
            </w:r>
          </w:p>
        </w:tc>
        <w:tc>
          <w:tcPr>
            <w:tcW w:w="783" w:type="pct"/>
            <w:vMerge w:val="continue"/>
            <w:vAlign w:val="center"/>
          </w:tcPr>
          <w:p w14:paraId="4200629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33ED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1B7FDD7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shd w:val="clear" w:color="auto" w:fill="auto"/>
            <w:vAlign w:val="center"/>
          </w:tcPr>
          <w:p w14:paraId="2962A1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土地资源</w:t>
            </w:r>
          </w:p>
        </w:tc>
        <w:tc>
          <w:tcPr>
            <w:tcW w:w="1033" w:type="pct"/>
            <w:tcBorders>
              <w:top w:val="single" w:color="auto" w:sz="4" w:space="0"/>
              <w:left w:val="single" w:color="auto" w:sz="4" w:space="0"/>
              <w:bottom w:val="single" w:color="auto" w:sz="4" w:space="0"/>
            </w:tcBorders>
            <w:shd w:val="clear" w:color="auto" w:fill="auto"/>
            <w:vAlign w:val="center"/>
          </w:tcPr>
          <w:p w14:paraId="2765F3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土地</w:t>
            </w:r>
            <w:r>
              <w:rPr>
                <w:rFonts w:hint="eastAsia" w:ascii="宋体" w:hAnsi="宋体" w:cs="宋体"/>
                <w:spacing w:val="2"/>
                <w:sz w:val="21"/>
                <w:szCs w:val="21"/>
                <w:lang w:val="en-US" w:eastAsia="zh-CN"/>
              </w:rPr>
              <w:t>压占</w:t>
            </w:r>
          </w:p>
        </w:tc>
        <w:tc>
          <w:tcPr>
            <w:tcW w:w="579" w:type="pct"/>
            <w:vMerge w:val="continue"/>
            <w:vAlign w:val="center"/>
          </w:tcPr>
          <w:p w14:paraId="48E5588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4D629B4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1FBA10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中度</w:t>
            </w:r>
          </w:p>
        </w:tc>
        <w:tc>
          <w:tcPr>
            <w:tcW w:w="783" w:type="pct"/>
            <w:vMerge w:val="continue"/>
            <w:vAlign w:val="center"/>
          </w:tcPr>
          <w:p w14:paraId="53EE385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F44D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7C8A254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shd w:val="clear" w:color="auto" w:fill="auto"/>
            <w:vAlign w:val="center"/>
          </w:tcPr>
          <w:p w14:paraId="4547E5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top w:val="single" w:color="auto" w:sz="4" w:space="0"/>
              <w:left w:val="single" w:color="auto" w:sz="4" w:space="0"/>
              <w:bottom w:val="single" w:color="auto" w:sz="4" w:space="0"/>
            </w:tcBorders>
            <w:shd w:val="clear" w:color="auto" w:fill="auto"/>
            <w:vAlign w:val="center"/>
          </w:tcPr>
          <w:p w14:paraId="106B75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579" w:type="pct"/>
            <w:vMerge w:val="continue"/>
            <w:vAlign w:val="center"/>
          </w:tcPr>
          <w:p w14:paraId="27D7869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33DBA0A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5F276F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轻度</w:t>
            </w:r>
          </w:p>
        </w:tc>
        <w:tc>
          <w:tcPr>
            <w:tcW w:w="783" w:type="pct"/>
            <w:vMerge w:val="continue"/>
            <w:vAlign w:val="center"/>
          </w:tcPr>
          <w:p w14:paraId="5B79402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E962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0171D13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1173F7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319489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579" w:type="pct"/>
            <w:vMerge w:val="continue"/>
            <w:vAlign w:val="center"/>
          </w:tcPr>
          <w:p w14:paraId="46126E1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33E3839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7E2A11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3" w:type="pct"/>
            <w:vMerge w:val="continue"/>
            <w:vAlign w:val="center"/>
          </w:tcPr>
          <w:p w14:paraId="1EFD9E0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6A0B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vAlign w:val="center"/>
          </w:tcPr>
          <w:p w14:paraId="52FA3AA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7</w:t>
            </w:r>
          </w:p>
        </w:tc>
        <w:tc>
          <w:tcPr>
            <w:tcW w:w="562" w:type="pct"/>
            <w:vMerge w:val="restart"/>
            <w:tcBorders>
              <w:right w:val="single" w:color="auto" w:sz="4" w:space="0"/>
            </w:tcBorders>
            <w:shd w:val="clear" w:color="auto" w:fill="auto"/>
            <w:vAlign w:val="center"/>
          </w:tcPr>
          <w:p w14:paraId="325D58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top w:val="single" w:color="auto" w:sz="4" w:space="0"/>
              <w:left w:val="single" w:color="auto" w:sz="4" w:space="0"/>
              <w:bottom w:val="single" w:color="auto" w:sz="4" w:space="0"/>
            </w:tcBorders>
            <w:shd w:val="clear" w:color="auto" w:fill="auto"/>
            <w:vAlign w:val="center"/>
          </w:tcPr>
          <w:p w14:paraId="262367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579" w:type="pct"/>
            <w:vMerge w:val="restart"/>
            <w:vAlign w:val="center"/>
          </w:tcPr>
          <w:p w14:paraId="20CF6E5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办公生活区</w:t>
            </w:r>
          </w:p>
        </w:tc>
        <w:tc>
          <w:tcPr>
            <w:tcW w:w="706" w:type="pct"/>
            <w:vMerge w:val="restart"/>
            <w:vAlign w:val="center"/>
          </w:tcPr>
          <w:p w14:paraId="4E9E350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0.3463</w:t>
            </w:r>
          </w:p>
        </w:tc>
        <w:tc>
          <w:tcPr>
            <w:tcW w:w="675" w:type="pct"/>
            <w:tcBorders>
              <w:top w:val="single" w:color="auto" w:sz="4" w:space="0"/>
              <w:bottom w:val="single" w:color="auto" w:sz="4" w:space="0"/>
            </w:tcBorders>
            <w:shd w:val="clear" w:color="auto" w:fill="auto"/>
            <w:vAlign w:val="center"/>
          </w:tcPr>
          <w:p w14:paraId="274441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restart"/>
            <w:vAlign w:val="center"/>
          </w:tcPr>
          <w:p w14:paraId="488FC22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lang w:val="en-US" w:eastAsia="zh-CN"/>
              </w:rPr>
              <w:t>中度</w:t>
            </w:r>
          </w:p>
        </w:tc>
      </w:tr>
      <w:tr w14:paraId="0FAB2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7C2828E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4D914A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7F5143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579" w:type="pct"/>
            <w:vMerge w:val="continue"/>
            <w:vAlign w:val="center"/>
          </w:tcPr>
          <w:p w14:paraId="084983A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12B6F51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shd w:val="clear" w:color="auto" w:fill="auto"/>
            <w:vAlign w:val="center"/>
          </w:tcPr>
          <w:p w14:paraId="7DC656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continue"/>
            <w:vAlign w:val="center"/>
          </w:tcPr>
          <w:p w14:paraId="3E10257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378D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01D6D65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61E1B2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4A5186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579" w:type="pct"/>
            <w:vMerge w:val="continue"/>
            <w:vAlign w:val="center"/>
          </w:tcPr>
          <w:p w14:paraId="3EAC88F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5BEDACD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630DB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中度</w:t>
            </w:r>
          </w:p>
        </w:tc>
        <w:tc>
          <w:tcPr>
            <w:tcW w:w="783" w:type="pct"/>
            <w:vMerge w:val="continue"/>
            <w:vAlign w:val="center"/>
          </w:tcPr>
          <w:p w14:paraId="69FD850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3E3A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302474D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shd w:val="clear" w:color="auto" w:fill="auto"/>
            <w:vAlign w:val="center"/>
          </w:tcPr>
          <w:p w14:paraId="5720B8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土地资源</w:t>
            </w:r>
          </w:p>
        </w:tc>
        <w:tc>
          <w:tcPr>
            <w:tcW w:w="1033" w:type="pct"/>
            <w:tcBorders>
              <w:top w:val="single" w:color="auto" w:sz="4" w:space="0"/>
              <w:left w:val="single" w:color="auto" w:sz="4" w:space="0"/>
              <w:bottom w:val="single" w:color="auto" w:sz="4" w:space="0"/>
            </w:tcBorders>
            <w:shd w:val="clear" w:color="auto" w:fill="auto"/>
            <w:vAlign w:val="center"/>
          </w:tcPr>
          <w:p w14:paraId="0723A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土地</w:t>
            </w:r>
            <w:r>
              <w:rPr>
                <w:rFonts w:hint="eastAsia" w:ascii="宋体" w:hAnsi="宋体" w:cs="宋体"/>
                <w:spacing w:val="2"/>
                <w:sz w:val="21"/>
                <w:szCs w:val="21"/>
                <w:lang w:val="en-US" w:eastAsia="zh-CN"/>
              </w:rPr>
              <w:t>压占</w:t>
            </w:r>
          </w:p>
        </w:tc>
        <w:tc>
          <w:tcPr>
            <w:tcW w:w="579" w:type="pct"/>
            <w:vMerge w:val="continue"/>
            <w:vAlign w:val="center"/>
          </w:tcPr>
          <w:p w14:paraId="49B55EE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38FC671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42E8DD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中度</w:t>
            </w:r>
          </w:p>
        </w:tc>
        <w:tc>
          <w:tcPr>
            <w:tcW w:w="783" w:type="pct"/>
            <w:vMerge w:val="continue"/>
            <w:vAlign w:val="center"/>
          </w:tcPr>
          <w:p w14:paraId="18AAE61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3D9C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02636F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shd w:val="clear" w:color="auto" w:fill="auto"/>
            <w:vAlign w:val="center"/>
          </w:tcPr>
          <w:p w14:paraId="30CEA1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top w:val="single" w:color="auto" w:sz="4" w:space="0"/>
              <w:left w:val="single" w:color="auto" w:sz="4" w:space="0"/>
              <w:bottom w:val="single" w:color="auto" w:sz="4" w:space="0"/>
            </w:tcBorders>
            <w:shd w:val="clear" w:color="auto" w:fill="auto"/>
            <w:vAlign w:val="center"/>
          </w:tcPr>
          <w:p w14:paraId="6D1683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579" w:type="pct"/>
            <w:vMerge w:val="continue"/>
            <w:vAlign w:val="center"/>
          </w:tcPr>
          <w:p w14:paraId="452837E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0A17EDA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19215D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轻度</w:t>
            </w:r>
          </w:p>
        </w:tc>
        <w:tc>
          <w:tcPr>
            <w:tcW w:w="783" w:type="pct"/>
            <w:vMerge w:val="continue"/>
            <w:vAlign w:val="center"/>
          </w:tcPr>
          <w:p w14:paraId="4FD609A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8AB7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34D0B11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076691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0D6652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579" w:type="pct"/>
            <w:vMerge w:val="continue"/>
            <w:vAlign w:val="center"/>
          </w:tcPr>
          <w:p w14:paraId="28E192D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79E3A8B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7C1D78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3" w:type="pct"/>
            <w:vMerge w:val="continue"/>
            <w:vAlign w:val="center"/>
          </w:tcPr>
          <w:p w14:paraId="580639E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459F3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vAlign w:val="center"/>
          </w:tcPr>
          <w:p w14:paraId="017C84C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8</w:t>
            </w:r>
          </w:p>
        </w:tc>
        <w:tc>
          <w:tcPr>
            <w:tcW w:w="562" w:type="pct"/>
            <w:vMerge w:val="restart"/>
            <w:tcBorders>
              <w:right w:val="single" w:color="auto" w:sz="4" w:space="0"/>
            </w:tcBorders>
            <w:shd w:val="clear" w:color="auto" w:fill="auto"/>
            <w:vAlign w:val="center"/>
          </w:tcPr>
          <w:p w14:paraId="39252F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top w:val="single" w:color="auto" w:sz="4" w:space="0"/>
              <w:left w:val="single" w:color="auto" w:sz="4" w:space="0"/>
              <w:bottom w:val="single" w:color="auto" w:sz="4" w:space="0"/>
            </w:tcBorders>
            <w:shd w:val="clear" w:color="auto" w:fill="auto"/>
            <w:vAlign w:val="center"/>
          </w:tcPr>
          <w:p w14:paraId="09F0A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579" w:type="pct"/>
            <w:vMerge w:val="restart"/>
            <w:vAlign w:val="center"/>
          </w:tcPr>
          <w:p w14:paraId="09F646C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原综合服务区</w:t>
            </w:r>
          </w:p>
        </w:tc>
        <w:tc>
          <w:tcPr>
            <w:tcW w:w="706" w:type="pct"/>
            <w:vMerge w:val="restart"/>
            <w:vAlign w:val="center"/>
          </w:tcPr>
          <w:p w14:paraId="58B28ED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0.3711</w:t>
            </w:r>
          </w:p>
        </w:tc>
        <w:tc>
          <w:tcPr>
            <w:tcW w:w="675" w:type="pct"/>
            <w:tcBorders>
              <w:top w:val="single" w:color="auto" w:sz="4" w:space="0"/>
              <w:bottom w:val="single" w:color="auto" w:sz="4" w:space="0"/>
            </w:tcBorders>
            <w:shd w:val="clear" w:color="auto" w:fill="auto"/>
            <w:vAlign w:val="center"/>
          </w:tcPr>
          <w:p w14:paraId="66A06E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restart"/>
            <w:vAlign w:val="center"/>
          </w:tcPr>
          <w:p w14:paraId="450BE9C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lang w:val="en-US" w:eastAsia="zh-CN"/>
              </w:rPr>
              <w:t>中度</w:t>
            </w:r>
          </w:p>
        </w:tc>
      </w:tr>
      <w:tr w14:paraId="2C0D2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327B637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0E84F9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3DE5C7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579" w:type="pct"/>
            <w:vMerge w:val="continue"/>
            <w:vAlign w:val="center"/>
          </w:tcPr>
          <w:p w14:paraId="725D4FD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6A697D4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shd w:val="clear" w:color="auto" w:fill="auto"/>
            <w:vAlign w:val="center"/>
          </w:tcPr>
          <w:p w14:paraId="70ECAE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783" w:type="pct"/>
            <w:vMerge w:val="continue"/>
            <w:vAlign w:val="center"/>
          </w:tcPr>
          <w:p w14:paraId="11DAF07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E021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3BA5DBD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6C4E76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4C3D04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579" w:type="pct"/>
            <w:vMerge w:val="continue"/>
            <w:vAlign w:val="center"/>
          </w:tcPr>
          <w:p w14:paraId="39F22D7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213124D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0E801E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中度</w:t>
            </w:r>
          </w:p>
        </w:tc>
        <w:tc>
          <w:tcPr>
            <w:tcW w:w="783" w:type="pct"/>
            <w:vMerge w:val="continue"/>
            <w:vAlign w:val="center"/>
          </w:tcPr>
          <w:p w14:paraId="1FAFE7B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9078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6ED64FB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shd w:val="clear" w:color="auto" w:fill="auto"/>
            <w:vAlign w:val="center"/>
          </w:tcPr>
          <w:p w14:paraId="19E963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土地资源</w:t>
            </w:r>
          </w:p>
        </w:tc>
        <w:tc>
          <w:tcPr>
            <w:tcW w:w="1033" w:type="pct"/>
            <w:tcBorders>
              <w:top w:val="single" w:color="auto" w:sz="4" w:space="0"/>
              <w:left w:val="single" w:color="auto" w:sz="4" w:space="0"/>
              <w:bottom w:val="single" w:color="auto" w:sz="4" w:space="0"/>
            </w:tcBorders>
            <w:shd w:val="clear" w:color="auto" w:fill="auto"/>
            <w:vAlign w:val="center"/>
          </w:tcPr>
          <w:p w14:paraId="23B9A7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土地</w:t>
            </w:r>
            <w:r>
              <w:rPr>
                <w:rFonts w:hint="eastAsia" w:ascii="宋体" w:hAnsi="宋体" w:cs="宋体"/>
                <w:spacing w:val="2"/>
                <w:sz w:val="21"/>
                <w:szCs w:val="21"/>
                <w:lang w:val="en-US" w:eastAsia="zh-CN"/>
              </w:rPr>
              <w:t>压占</w:t>
            </w:r>
          </w:p>
        </w:tc>
        <w:tc>
          <w:tcPr>
            <w:tcW w:w="579" w:type="pct"/>
            <w:vMerge w:val="continue"/>
            <w:vAlign w:val="center"/>
          </w:tcPr>
          <w:p w14:paraId="7251494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6705A4C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3F4649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中度</w:t>
            </w:r>
          </w:p>
        </w:tc>
        <w:tc>
          <w:tcPr>
            <w:tcW w:w="783" w:type="pct"/>
            <w:vMerge w:val="continue"/>
            <w:vAlign w:val="center"/>
          </w:tcPr>
          <w:p w14:paraId="7FD2CCE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2954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047AFCC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shd w:val="clear" w:color="auto" w:fill="auto"/>
            <w:vAlign w:val="center"/>
          </w:tcPr>
          <w:p w14:paraId="500564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top w:val="single" w:color="auto" w:sz="4" w:space="0"/>
              <w:left w:val="single" w:color="auto" w:sz="4" w:space="0"/>
              <w:bottom w:val="single" w:color="auto" w:sz="4" w:space="0"/>
            </w:tcBorders>
            <w:shd w:val="clear" w:color="auto" w:fill="auto"/>
            <w:vAlign w:val="center"/>
          </w:tcPr>
          <w:p w14:paraId="26AF5C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579" w:type="pct"/>
            <w:vMerge w:val="continue"/>
            <w:vAlign w:val="center"/>
          </w:tcPr>
          <w:p w14:paraId="09AB89F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3D720A7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77EFD1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轻度</w:t>
            </w:r>
          </w:p>
        </w:tc>
        <w:tc>
          <w:tcPr>
            <w:tcW w:w="783" w:type="pct"/>
            <w:vMerge w:val="continue"/>
            <w:vAlign w:val="center"/>
          </w:tcPr>
          <w:p w14:paraId="6985FE0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0C82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5698CB4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41C7C3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6C471F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579" w:type="pct"/>
            <w:vMerge w:val="continue"/>
            <w:vAlign w:val="center"/>
          </w:tcPr>
          <w:p w14:paraId="273EBA8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3D0C526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30F473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3" w:type="pct"/>
            <w:vMerge w:val="continue"/>
            <w:vAlign w:val="center"/>
          </w:tcPr>
          <w:p w14:paraId="41867B0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4AC6B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restart"/>
            <w:vAlign w:val="center"/>
          </w:tcPr>
          <w:p w14:paraId="4A6064D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9</w:t>
            </w:r>
          </w:p>
        </w:tc>
        <w:tc>
          <w:tcPr>
            <w:tcW w:w="562" w:type="pct"/>
            <w:vMerge w:val="restart"/>
            <w:tcBorders>
              <w:right w:val="single" w:color="auto" w:sz="4" w:space="0"/>
            </w:tcBorders>
            <w:shd w:val="clear" w:color="auto" w:fill="auto"/>
            <w:vAlign w:val="center"/>
          </w:tcPr>
          <w:p w14:paraId="68A4A4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33" w:type="pct"/>
            <w:tcBorders>
              <w:top w:val="single" w:color="auto" w:sz="4" w:space="0"/>
              <w:left w:val="single" w:color="auto" w:sz="4" w:space="0"/>
              <w:bottom w:val="single" w:color="auto" w:sz="4" w:space="0"/>
            </w:tcBorders>
            <w:shd w:val="clear" w:color="auto" w:fill="auto"/>
            <w:vAlign w:val="center"/>
          </w:tcPr>
          <w:p w14:paraId="121047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579" w:type="pct"/>
            <w:vMerge w:val="restart"/>
            <w:vAlign w:val="center"/>
          </w:tcPr>
          <w:p w14:paraId="3911453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其他外围区域</w:t>
            </w:r>
          </w:p>
        </w:tc>
        <w:tc>
          <w:tcPr>
            <w:tcW w:w="706" w:type="pct"/>
            <w:vMerge w:val="restart"/>
            <w:vAlign w:val="center"/>
          </w:tcPr>
          <w:p w14:paraId="1F75C28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6.9269</w:t>
            </w:r>
          </w:p>
        </w:tc>
        <w:tc>
          <w:tcPr>
            <w:tcW w:w="675" w:type="pct"/>
            <w:tcBorders>
              <w:top w:val="single" w:color="auto" w:sz="4" w:space="0"/>
              <w:bottom w:val="single" w:color="auto" w:sz="4" w:space="0"/>
            </w:tcBorders>
            <w:vAlign w:val="center"/>
          </w:tcPr>
          <w:p w14:paraId="3AFC1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Align w:val="center"/>
          </w:tcPr>
          <w:p w14:paraId="0E59CEC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42CB3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0052433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7245FA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537B2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579" w:type="pct"/>
            <w:vMerge w:val="continue"/>
            <w:vAlign w:val="center"/>
          </w:tcPr>
          <w:p w14:paraId="5281E4D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3ABEE58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1F96D1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Align w:val="center"/>
          </w:tcPr>
          <w:p w14:paraId="5D15FCB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46F5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7" w:type="pct"/>
            <w:vMerge w:val="continue"/>
            <w:vAlign w:val="center"/>
          </w:tcPr>
          <w:p w14:paraId="08B6118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33655D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6A7214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579" w:type="pct"/>
            <w:vMerge w:val="continue"/>
            <w:vAlign w:val="center"/>
          </w:tcPr>
          <w:p w14:paraId="619F4EC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790C7D8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0D4849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Align w:val="center"/>
          </w:tcPr>
          <w:p w14:paraId="3EE1E83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75A8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2BB1D7A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tcBorders>
              <w:right w:val="single" w:color="auto" w:sz="4" w:space="0"/>
            </w:tcBorders>
            <w:shd w:val="clear" w:color="auto" w:fill="auto"/>
            <w:vAlign w:val="center"/>
          </w:tcPr>
          <w:p w14:paraId="226808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土地资源</w:t>
            </w:r>
          </w:p>
        </w:tc>
        <w:tc>
          <w:tcPr>
            <w:tcW w:w="1033" w:type="pct"/>
            <w:tcBorders>
              <w:top w:val="single" w:color="auto" w:sz="4" w:space="0"/>
              <w:left w:val="single" w:color="auto" w:sz="4" w:space="0"/>
              <w:bottom w:val="single" w:color="auto" w:sz="4" w:space="0"/>
            </w:tcBorders>
            <w:shd w:val="clear" w:color="auto" w:fill="auto"/>
            <w:vAlign w:val="center"/>
          </w:tcPr>
          <w:p w14:paraId="5BA04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未损毁</w:t>
            </w:r>
          </w:p>
        </w:tc>
        <w:tc>
          <w:tcPr>
            <w:tcW w:w="579" w:type="pct"/>
            <w:vMerge w:val="continue"/>
            <w:vAlign w:val="center"/>
          </w:tcPr>
          <w:p w14:paraId="7B0A90A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581B0CA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6BF312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Align w:val="center"/>
          </w:tcPr>
          <w:p w14:paraId="4DF03D2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07DD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57" w:type="pct"/>
            <w:vMerge w:val="continue"/>
            <w:vAlign w:val="center"/>
          </w:tcPr>
          <w:p w14:paraId="1D86E91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restart"/>
            <w:tcBorders>
              <w:right w:val="single" w:color="auto" w:sz="4" w:space="0"/>
            </w:tcBorders>
            <w:shd w:val="clear" w:color="auto" w:fill="auto"/>
            <w:vAlign w:val="center"/>
          </w:tcPr>
          <w:p w14:paraId="2F6EDD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33" w:type="pct"/>
            <w:tcBorders>
              <w:top w:val="single" w:color="auto" w:sz="4" w:space="0"/>
              <w:left w:val="single" w:color="auto" w:sz="4" w:space="0"/>
              <w:bottom w:val="single" w:color="auto" w:sz="4" w:space="0"/>
            </w:tcBorders>
            <w:shd w:val="clear" w:color="auto" w:fill="auto"/>
            <w:vAlign w:val="center"/>
          </w:tcPr>
          <w:p w14:paraId="5A3CCF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579" w:type="pct"/>
            <w:vMerge w:val="continue"/>
            <w:vAlign w:val="center"/>
          </w:tcPr>
          <w:p w14:paraId="37C39C9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63FD7DA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7DEEA9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Align w:val="center"/>
          </w:tcPr>
          <w:p w14:paraId="400985F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9A23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57" w:type="pct"/>
            <w:vMerge w:val="continue"/>
            <w:vAlign w:val="center"/>
          </w:tcPr>
          <w:p w14:paraId="6E97DDE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62" w:type="pct"/>
            <w:vMerge w:val="continue"/>
            <w:tcBorders>
              <w:right w:val="single" w:color="auto" w:sz="4" w:space="0"/>
            </w:tcBorders>
            <w:vAlign w:val="center"/>
          </w:tcPr>
          <w:p w14:paraId="525CDB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33" w:type="pct"/>
            <w:tcBorders>
              <w:top w:val="single" w:color="auto" w:sz="4" w:space="0"/>
              <w:left w:val="single" w:color="auto" w:sz="4" w:space="0"/>
              <w:bottom w:val="single" w:color="auto" w:sz="4" w:space="0"/>
            </w:tcBorders>
            <w:shd w:val="clear" w:color="auto" w:fill="auto"/>
            <w:vAlign w:val="center"/>
          </w:tcPr>
          <w:p w14:paraId="2C8B4D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579" w:type="pct"/>
            <w:vMerge w:val="continue"/>
            <w:vAlign w:val="center"/>
          </w:tcPr>
          <w:p w14:paraId="4619B26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706" w:type="pct"/>
            <w:vMerge w:val="continue"/>
            <w:vAlign w:val="center"/>
          </w:tcPr>
          <w:p w14:paraId="1BCAB40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75" w:type="pct"/>
            <w:tcBorders>
              <w:top w:val="single" w:color="auto" w:sz="4" w:space="0"/>
              <w:bottom w:val="single" w:color="auto" w:sz="4" w:space="0"/>
            </w:tcBorders>
            <w:vAlign w:val="center"/>
          </w:tcPr>
          <w:p w14:paraId="44B832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w:t>
            </w:r>
          </w:p>
        </w:tc>
        <w:tc>
          <w:tcPr>
            <w:tcW w:w="783" w:type="pct"/>
            <w:vAlign w:val="center"/>
          </w:tcPr>
          <w:p w14:paraId="24E0984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bl>
    <w:p w14:paraId="057BB698">
      <w:pPr>
        <w:spacing w:line="360" w:lineRule="auto"/>
        <w:outlineLvl w:val="9"/>
        <w:rPr>
          <w:rFonts w:hint="eastAsia"/>
          <w:sz w:val="28"/>
          <w:szCs w:val="28"/>
          <w:lang w:val="en-US" w:eastAsia="zh-CN"/>
        </w:rPr>
      </w:pPr>
    </w:p>
    <w:p w14:paraId="020D52C3">
      <w:pPr>
        <w:pStyle w:val="7"/>
        <w:spacing w:line="360" w:lineRule="auto"/>
        <w:rPr>
          <w:rFonts w:hint="default"/>
          <w:sz w:val="28"/>
          <w:szCs w:val="28"/>
          <w:lang w:val="en-US" w:eastAsia="zh-CN"/>
        </w:rPr>
      </w:pPr>
      <w:r>
        <w:rPr>
          <w:rFonts w:hint="eastAsia"/>
          <w:sz w:val="28"/>
          <w:szCs w:val="28"/>
          <w:lang w:val="en-US" w:eastAsia="zh-CN"/>
        </w:rPr>
        <w:t>2、预测</w:t>
      </w:r>
      <w:r>
        <w:rPr>
          <w:rFonts w:hint="eastAsia"/>
          <w:sz w:val="28"/>
          <w:szCs w:val="28"/>
        </w:rPr>
        <w:t>诊断评价结果</w:t>
      </w:r>
    </w:p>
    <w:p w14:paraId="6B1C4D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结合评估范围、评估单元划分以及受损预测分析，对预测诊断评价结果列表叙述如下（表3-13）。</w:t>
      </w:r>
    </w:p>
    <w:p w14:paraId="016816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表3-1</w:t>
      </w: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lang w:val="en-US" w:eastAsia="zh-CN"/>
        </w:rPr>
        <w:t xml:space="preserve">      </w:t>
      </w:r>
      <w:r>
        <w:rPr>
          <w:rFonts w:hint="eastAsia" w:ascii="宋体" w:hAnsi="宋体" w:cs="宋体"/>
          <w:b/>
          <w:bCs/>
          <w:sz w:val="24"/>
          <w:szCs w:val="24"/>
          <w:highlight w:val="none"/>
          <w:lang w:val="en-US" w:eastAsia="zh-CN"/>
        </w:rPr>
        <w:t>预测</w:t>
      </w:r>
      <w:r>
        <w:rPr>
          <w:rFonts w:hint="eastAsia" w:ascii="宋体" w:hAnsi="宋体" w:eastAsia="宋体" w:cs="宋体"/>
          <w:b/>
          <w:bCs/>
          <w:sz w:val="24"/>
          <w:szCs w:val="24"/>
          <w:highlight w:val="none"/>
          <w:lang w:val="en-US" w:eastAsia="zh-CN"/>
        </w:rPr>
        <w:t>损毁程度综合评价表</w:t>
      </w:r>
    </w:p>
    <w:tbl>
      <w:tblPr>
        <w:tblStyle w:val="91"/>
        <w:tblW w:w="510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10"/>
        <w:gridCol w:w="1030"/>
        <w:gridCol w:w="1838"/>
        <w:gridCol w:w="1158"/>
        <w:gridCol w:w="1183"/>
        <w:gridCol w:w="1158"/>
        <w:gridCol w:w="1411"/>
      </w:tblGrid>
      <w:tr w14:paraId="2D056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blHeader/>
        </w:trPr>
        <w:tc>
          <w:tcPr>
            <w:tcW w:w="673" w:type="pct"/>
            <w:vMerge w:val="restart"/>
            <w:tcBorders>
              <w:bottom w:val="nil"/>
            </w:tcBorders>
            <w:vAlign w:val="center"/>
          </w:tcPr>
          <w:p w14:paraId="76E52C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5"/>
                <w:sz w:val="21"/>
                <w:szCs w:val="21"/>
              </w:rPr>
              <w:t>序号</w:t>
            </w:r>
          </w:p>
        </w:tc>
        <w:tc>
          <w:tcPr>
            <w:tcW w:w="1595" w:type="pct"/>
            <w:gridSpan w:val="2"/>
            <w:vMerge w:val="restart"/>
            <w:tcBorders>
              <w:bottom w:val="nil"/>
            </w:tcBorders>
            <w:vAlign w:val="center"/>
          </w:tcPr>
          <w:p w14:paraId="272D12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1"/>
                <w:sz w:val="21"/>
                <w:szCs w:val="21"/>
              </w:rPr>
              <w:t>问题类型</w:t>
            </w:r>
          </w:p>
        </w:tc>
        <w:tc>
          <w:tcPr>
            <w:tcW w:w="1946" w:type="pct"/>
            <w:gridSpan w:val="3"/>
            <w:vAlign w:val="center"/>
          </w:tcPr>
          <w:p w14:paraId="1D67E8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cs="宋体"/>
                <w:b/>
                <w:bCs/>
                <w:spacing w:val="-4"/>
                <w:sz w:val="21"/>
                <w:szCs w:val="21"/>
                <w:lang w:val="en-US" w:eastAsia="zh-CN"/>
              </w:rPr>
              <w:t>预测</w:t>
            </w:r>
            <w:r>
              <w:rPr>
                <w:rFonts w:hint="eastAsia" w:ascii="宋体" w:hAnsi="宋体" w:eastAsia="宋体" w:cs="宋体"/>
                <w:b/>
                <w:bCs/>
                <w:spacing w:val="-4"/>
                <w:sz w:val="21"/>
                <w:szCs w:val="21"/>
              </w:rPr>
              <w:t>受损状况</w:t>
            </w:r>
          </w:p>
        </w:tc>
        <w:tc>
          <w:tcPr>
            <w:tcW w:w="784" w:type="pct"/>
            <w:vMerge w:val="restart"/>
            <w:tcBorders>
              <w:bottom w:val="nil"/>
            </w:tcBorders>
            <w:vAlign w:val="center"/>
          </w:tcPr>
          <w:p w14:paraId="0B1E44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综合评价结果</w:t>
            </w:r>
          </w:p>
        </w:tc>
      </w:tr>
      <w:tr w14:paraId="3417E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blHeader/>
        </w:trPr>
        <w:tc>
          <w:tcPr>
            <w:tcW w:w="673" w:type="pct"/>
            <w:vMerge w:val="continue"/>
            <w:tcBorders>
              <w:top w:val="nil"/>
            </w:tcBorders>
            <w:vAlign w:val="center"/>
          </w:tcPr>
          <w:p w14:paraId="2B6DFE8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c>
          <w:tcPr>
            <w:tcW w:w="1595" w:type="pct"/>
            <w:gridSpan w:val="2"/>
            <w:vMerge w:val="continue"/>
            <w:tcBorders>
              <w:top w:val="nil"/>
            </w:tcBorders>
            <w:vAlign w:val="center"/>
          </w:tcPr>
          <w:p w14:paraId="05BA904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c>
          <w:tcPr>
            <w:tcW w:w="644" w:type="pct"/>
            <w:vAlign w:val="center"/>
          </w:tcPr>
          <w:p w14:paraId="43C6B0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范围</w:t>
            </w:r>
          </w:p>
        </w:tc>
        <w:tc>
          <w:tcPr>
            <w:tcW w:w="658" w:type="pct"/>
            <w:vAlign w:val="center"/>
          </w:tcPr>
          <w:p w14:paraId="402A7A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7"/>
                <w:sz w:val="21"/>
                <w:szCs w:val="21"/>
              </w:rPr>
              <w:t>面积（</w:t>
            </w:r>
            <w:r>
              <w:rPr>
                <w:rFonts w:hint="eastAsia" w:ascii="宋体" w:hAnsi="宋体" w:eastAsia="宋体" w:cs="宋体"/>
                <w:b/>
                <w:bCs/>
                <w:spacing w:val="2"/>
                <w:sz w:val="21"/>
                <w:szCs w:val="21"/>
              </w:rPr>
              <w:t>hm</w:t>
            </w:r>
            <w:r>
              <w:rPr>
                <w:rFonts w:hint="eastAsia" w:ascii="宋体" w:hAnsi="宋体" w:eastAsia="宋体" w:cs="宋体"/>
                <w:b/>
                <w:bCs/>
                <w:spacing w:val="2"/>
                <w:sz w:val="21"/>
                <w:szCs w:val="21"/>
                <w:vertAlign w:val="superscript"/>
              </w:rPr>
              <w:t>2</w:t>
            </w:r>
            <w:r>
              <w:rPr>
                <w:rFonts w:hint="eastAsia" w:ascii="宋体" w:hAnsi="宋体" w:eastAsia="宋体" w:cs="宋体"/>
                <w:b/>
                <w:bCs/>
                <w:spacing w:val="7"/>
                <w:sz w:val="21"/>
                <w:szCs w:val="21"/>
              </w:rPr>
              <w:t>）</w:t>
            </w:r>
          </w:p>
        </w:tc>
        <w:tc>
          <w:tcPr>
            <w:tcW w:w="643" w:type="pct"/>
            <w:vAlign w:val="center"/>
          </w:tcPr>
          <w:p w14:paraId="2E0A1F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3"/>
                <w:sz w:val="21"/>
                <w:szCs w:val="21"/>
              </w:rPr>
              <w:t>损毁程度</w:t>
            </w:r>
          </w:p>
        </w:tc>
        <w:tc>
          <w:tcPr>
            <w:tcW w:w="784" w:type="pct"/>
            <w:vMerge w:val="continue"/>
            <w:tcBorders>
              <w:top w:val="nil"/>
            </w:tcBorders>
            <w:vAlign w:val="center"/>
          </w:tcPr>
          <w:p w14:paraId="1236803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r>
      <w:tr w14:paraId="6E70B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673" w:type="pct"/>
            <w:vMerge w:val="restart"/>
            <w:tcBorders>
              <w:bottom w:val="nil"/>
            </w:tcBorders>
            <w:vAlign w:val="center"/>
          </w:tcPr>
          <w:p w14:paraId="4AE8C4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受损区块1</w:t>
            </w:r>
          </w:p>
        </w:tc>
        <w:tc>
          <w:tcPr>
            <w:tcW w:w="573" w:type="pct"/>
            <w:vMerge w:val="restart"/>
            <w:tcBorders>
              <w:right w:val="single" w:color="auto" w:sz="4" w:space="0"/>
            </w:tcBorders>
            <w:vAlign w:val="center"/>
          </w:tcPr>
          <w:p w14:paraId="78C110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left w:val="single" w:color="auto" w:sz="4" w:space="0"/>
            </w:tcBorders>
            <w:vAlign w:val="center"/>
          </w:tcPr>
          <w:p w14:paraId="2F6534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644" w:type="pct"/>
            <w:vMerge w:val="restart"/>
            <w:vAlign w:val="center"/>
          </w:tcPr>
          <w:p w14:paraId="0D3E43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highlight w:val="none"/>
              </w:rPr>
              <w:t>露天采场</w:t>
            </w:r>
          </w:p>
        </w:tc>
        <w:tc>
          <w:tcPr>
            <w:tcW w:w="658" w:type="pct"/>
            <w:vMerge w:val="restart"/>
            <w:vAlign w:val="center"/>
          </w:tcPr>
          <w:p w14:paraId="06C0E2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8.3331</w:t>
            </w:r>
          </w:p>
        </w:tc>
        <w:tc>
          <w:tcPr>
            <w:tcW w:w="643" w:type="pct"/>
            <w:tcBorders>
              <w:bottom w:val="single" w:color="auto" w:sz="4" w:space="0"/>
            </w:tcBorders>
            <w:vAlign w:val="center"/>
          </w:tcPr>
          <w:p w14:paraId="73502C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中度</w:t>
            </w:r>
          </w:p>
        </w:tc>
        <w:tc>
          <w:tcPr>
            <w:tcW w:w="784" w:type="pct"/>
            <w:vMerge w:val="restart"/>
            <w:tcBorders>
              <w:bottom w:val="nil"/>
            </w:tcBorders>
            <w:vAlign w:val="center"/>
          </w:tcPr>
          <w:p w14:paraId="6EBAAA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r>
      <w:tr w14:paraId="3BE3D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673" w:type="pct"/>
            <w:vMerge w:val="continue"/>
            <w:tcBorders>
              <w:bottom w:val="nil"/>
            </w:tcBorders>
            <w:vAlign w:val="center"/>
          </w:tcPr>
          <w:p w14:paraId="1A3BA9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4"/>
                <w:sz w:val="21"/>
                <w:szCs w:val="21"/>
              </w:rPr>
            </w:pPr>
          </w:p>
        </w:tc>
        <w:tc>
          <w:tcPr>
            <w:tcW w:w="573" w:type="pct"/>
            <w:vMerge w:val="continue"/>
            <w:tcBorders>
              <w:right w:val="single" w:color="auto" w:sz="4" w:space="0"/>
            </w:tcBorders>
            <w:vAlign w:val="center"/>
          </w:tcPr>
          <w:p w14:paraId="5F3F92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2230F2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644" w:type="pct"/>
            <w:vMerge w:val="continue"/>
            <w:vAlign w:val="center"/>
          </w:tcPr>
          <w:p w14:paraId="21F859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25E53E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38BAA6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tcBorders>
              <w:bottom w:val="nil"/>
            </w:tcBorders>
            <w:vAlign w:val="center"/>
          </w:tcPr>
          <w:p w14:paraId="71A9D6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326CB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7DD6D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4"/>
                <w:sz w:val="21"/>
                <w:szCs w:val="21"/>
              </w:rPr>
            </w:pPr>
          </w:p>
        </w:tc>
        <w:tc>
          <w:tcPr>
            <w:tcW w:w="573" w:type="pct"/>
            <w:vMerge w:val="continue"/>
            <w:tcBorders>
              <w:right w:val="single" w:color="auto" w:sz="4" w:space="0"/>
            </w:tcBorders>
            <w:vAlign w:val="center"/>
          </w:tcPr>
          <w:p w14:paraId="07E29A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7BFE0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644" w:type="pct"/>
            <w:vMerge w:val="continue"/>
            <w:vAlign w:val="center"/>
          </w:tcPr>
          <w:p w14:paraId="783DBC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6683A5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06A7A5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784" w:type="pct"/>
            <w:vMerge w:val="continue"/>
            <w:vAlign w:val="center"/>
          </w:tcPr>
          <w:p w14:paraId="214A68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020C0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73" w:type="pct"/>
            <w:vMerge w:val="continue"/>
            <w:tcBorders>
              <w:top w:val="nil"/>
              <w:bottom w:val="nil"/>
            </w:tcBorders>
            <w:vAlign w:val="center"/>
          </w:tcPr>
          <w:p w14:paraId="5E2F7A2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vAlign w:val="center"/>
          </w:tcPr>
          <w:p w14:paraId="2D864C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left w:val="single" w:color="auto" w:sz="4" w:space="0"/>
            </w:tcBorders>
            <w:vAlign w:val="center"/>
          </w:tcPr>
          <w:p w14:paraId="329D5F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土地挖损</w:t>
            </w:r>
          </w:p>
        </w:tc>
        <w:tc>
          <w:tcPr>
            <w:tcW w:w="644" w:type="pct"/>
            <w:vMerge w:val="continue"/>
            <w:vAlign w:val="center"/>
          </w:tcPr>
          <w:p w14:paraId="3EB5F7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35CBD1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top w:val="single" w:color="auto" w:sz="4" w:space="0"/>
              <w:bottom w:val="single" w:color="auto" w:sz="4" w:space="0"/>
            </w:tcBorders>
            <w:vAlign w:val="center"/>
          </w:tcPr>
          <w:p w14:paraId="08D3DE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784" w:type="pct"/>
            <w:vMerge w:val="continue"/>
            <w:tcBorders>
              <w:top w:val="nil"/>
              <w:bottom w:val="nil"/>
            </w:tcBorders>
            <w:vAlign w:val="center"/>
          </w:tcPr>
          <w:p w14:paraId="34703F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08533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73" w:type="pct"/>
            <w:vMerge w:val="continue"/>
            <w:tcBorders>
              <w:top w:val="nil"/>
              <w:bottom w:val="nil"/>
            </w:tcBorders>
            <w:vAlign w:val="center"/>
          </w:tcPr>
          <w:p w14:paraId="76E4E6A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vAlign w:val="center"/>
          </w:tcPr>
          <w:p w14:paraId="6FB6F7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left w:val="single" w:color="auto" w:sz="4" w:space="0"/>
            </w:tcBorders>
            <w:vAlign w:val="center"/>
          </w:tcPr>
          <w:p w14:paraId="514E59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644" w:type="pct"/>
            <w:vMerge w:val="continue"/>
            <w:vAlign w:val="center"/>
          </w:tcPr>
          <w:p w14:paraId="41A26A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423D05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top w:val="single" w:color="auto" w:sz="4" w:space="0"/>
              <w:bottom w:val="single" w:color="auto" w:sz="4" w:space="0"/>
            </w:tcBorders>
            <w:vAlign w:val="center"/>
          </w:tcPr>
          <w:p w14:paraId="118B3D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tcBorders>
              <w:top w:val="nil"/>
              <w:bottom w:val="nil"/>
            </w:tcBorders>
            <w:vAlign w:val="center"/>
          </w:tcPr>
          <w:p w14:paraId="443EED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264D9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continue"/>
            <w:tcBorders>
              <w:top w:val="nil"/>
              <w:bottom w:val="nil"/>
            </w:tcBorders>
            <w:vAlign w:val="center"/>
          </w:tcPr>
          <w:p w14:paraId="5E8F83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46C423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1A3C88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644" w:type="pct"/>
            <w:vMerge w:val="continue"/>
            <w:vAlign w:val="center"/>
          </w:tcPr>
          <w:p w14:paraId="0FF740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40648B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top w:val="single" w:color="auto" w:sz="4" w:space="0"/>
            </w:tcBorders>
            <w:vAlign w:val="center"/>
          </w:tcPr>
          <w:p w14:paraId="2383A4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784" w:type="pct"/>
            <w:vMerge w:val="continue"/>
            <w:tcBorders>
              <w:top w:val="nil"/>
              <w:bottom w:val="nil"/>
            </w:tcBorders>
            <w:vAlign w:val="center"/>
          </w:tcPr>
          <w:p w14:paraId="518C78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0A0B9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restart"/>
            <w:tcBorders>
              <w:bottom w:val="nil"/>
            </w:tcBorders>
            <w:vAlign w:val="center"/>
          </w:tcPr>
          <w:p w14:paraId="0B4744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受损区块2</w:t>
            </w:r>
          </w:p>
        </w:tc>
        <w:tc>
          <w:tcPr>
            <w:tcW w:w="573" w:type="pct"/>
            <w:vMerge w:val="restart"/>
            <w:tcBorders>
              <w:right w:val="single" w:color="auto" w:sz="4" w:space="0"/>
            </w:tcBorders>
            <w:vAlign w:val="center"/>
          </w:tcPr>
          <w:p w14:paraId="63C611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left w:val="single" w:color="auto" w:sz="4" w:space="0"/>
            </w:tcBorders>
            <w:vAlign w:val="center"/>
          </w:tcPr>
          <w:p w14:paraId="6C9C86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644" w:type="pct"/>
            <w:vMerge w:val="restart"/>
            <w:vAlign w:val="center"/>
          </w:tcPr>
          <w:p w14:paraId="4289C5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复垦用土临时堆场</w:t>
            </w:r>
          </w:p>
        </w:tc>
        <w:tc>
          <w:tcPr>
            <w:tcW w:w="658" w:type="pct"/>
            <w:vMerge w:val="restart"/>
            <w:vAlign w:val="center"/>
          </w:tcPr>
          <w:p w14:paraId="0050E4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1.4921</w:t>
            </w:r>
          </w:p>
        </w:tc>
        <w:tc>
          <w:tcPr>
            <w:tcW w:w="643" w:type="pct"/>
            <w:tcBorders>
              <w:bottom w:val="single" w:color="auto" w:sz="4" w:space="0"/>
            </w:tcBorders>
            <w:vAlign w:val="center"/>
          </w:tcPr>
          <w:p w14:paraId="1987DF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中度</w:t>
            </w:r>
          </w:p>
        </w:tc>
        <w:tc>
          <w:tcPr>
            <w:tcW w:w="784" w:type="pct"/>
            <w:vMerge w:val="restart"/>
            <w:tcBorders>
              <w:bottom w:val="nil"/>
            </w:tcBorders>
            <w:shd w:val="clear" w:color="auto" w:fill="auto"/>
            <w:vAlign w:val="center"/>
          </w:tcPr>
          <w:p w14:paraId="0FACC3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r>
      <w:tr w14:paraId="5A8A0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continue"/>
            <w:tcBorders>
              <w:bottom w:val="nil"/>
            </w:tcBorders>
            <w:vAlign w:val="center"/>
          </w:tcPr>
          <w:p w14:paraId="2DC261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73" w:type="pct"/>
            <w:vMerge w:val="continue"/>
            <w:tcBorders>
              <w:right w:val="single" w:color="auto" w:sz="4" w:space="0"/>
            </w:tcBorders>
            <w:vAlign w:val="center"/>
          </w:tcPr>
          <w:p w14:paraId="6B0D5B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6A105D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644" w:type="pct"/>
            <w:vMerge w:val="continue"/>
            <w:vAlign w:val="center"/>
          </w:tcPr>
          <w:p w14:paraId="7D5DB9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535D2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357F6C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tcBorders>
              <w:bottom w:val="nil"/>
            </w:tcBorders>
            <w:shd w:val="clear" w:color="auto" w:fill="auto"/>
            <w:vAlign w:val="center"/>
          </w:tcPr>
          <w:p w14:paraId="28586D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5AEA5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1AA114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73" w:type="pct"/>
            <w:vMerge w:val="continue"/>
            <w:tcBorders>
              <w:right w:val="single" w:color="auto" w:sz="4" w:space="0"/>
            </w:tcBorders>
            <w:vAlign w:val="center"/>
          </w:tcPr>
          <w:p w14:paraId="4F4CE3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32751A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644" w:type="pct"/>
            <w:vMerge w:val="continue"/>
            <w:vAlign w:val="center"/>
          </w:tcPr>
          <w:p w14:paraId="00F4FD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107DD4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1CEF1D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shd w:val="clear" w:color="auto" w:fill="auto"/>
            <w:vAlign w:val="center"/>
          </w:tcPr>
          <w:p w14:paraId="59CAD8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29ABC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73" w:type="pct"/>
            <w:vMerge w:val="continue"/>
            <w:tcBorders>
              <w:top w:val="nil"/>
              <w:bottom w:val="nil"/>
            </w:tcBorders>
            <w:vAlign w:val="center"/>
          </w:tcPr>
          <w:p w14:paraId="1070241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vAlign w:val="center"/>
          </w:tcPr>
          <w:p w14:paraId="64F303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left w:val="single" w:color="auto" w:sz="4" w:space="0"/>
            </w:tcBorders>
            <w:vAlign w:val="center"/>
          </w:tcPr>
          <w:p w14:paraId="40A4BC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土地压占</w:t>
            </w:r>
          </w:p>
        </w:tc>
        <w:tc>
          <w:tcPr>
            <w:tcW w:w="644" w:type="pct"/>
            <w:vMerge w:val="continue"/>
            <w:vAlign w:val="center"/>
          </w:tcPr>
          <w:p w14:paraId="35084E0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5F75DDE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787AF2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tcBorders>
              <w:top w:val="nil"/>
              <w:bottom w:val="nil"/>
            </w:tcBorders>
            <w:shd w:val="clear" w:color="auto" w:fill="auto"/>
            <w:vAlign w:val="center"/>
          </w:tcPr>
          <w:p w14:paraId="160DC0B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DA76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73" w:type="pct"/>
            <w:vMerge w:val="continue"/>
            <w:tcBorders>
              <w:top w:val="nil"/>
              <w:bottom w:val="single" w:color="auto" w:sz="4" w:space="0"/>
            </w:tcBorders>
            <w:vAlign w:val="center"/>
          </w:tcPr>
          <w:p w14:paraId="2AAE26F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vAlign w:val="center"/>
          </w:tcPr>
          <w:p w14:paraId="4E1A98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left w:val="single" w:color="auto" w:sz="4" w:space="0"/>
              <w:bottom w:val="single" w:color="auto" w:sz="4" w:space="0"/>
            </w:tcBorders>
            <w:vAlign w:val="center"/>
          </w:tcPr>
          <w:p w14:paraId="7ACC0A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644" w:type="pct"/>
            <w:vMerge w:val="continue"/>
            <w:vAlign w:val="center"/>
          </w:tcPr>
          <w:p w14:paraId="7046155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1AF0953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28ECD6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tcBorders>
              <w:top w:val="nil"/>
              <w:bottom w:val="single" w:color="auto" w:sz="4" w:space="0"/>
            </w:tcBorders>
            <w:shd w:val="clear" w:color="auto" w:fill="auto"/>
            <w:vAlign w:val="center"/>
          </w:tcPr>
          <w:p w14:paraId="7B2E4D8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EB91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tcBorders>
              <w:bottom w:val="single" w:color="auto" w:sz="4" w:space="0"/>
            </w:tcBorders>
            <w:vAlign w:val="center"/>
          </w:tcPr>
          <w:p w14:paraId="64F998B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31144A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tcBorders>
            <w:vAlign w:val="center"/>
          </w:tcPr>
          <w:p w14:paraId="27040C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644" w:type="pct"/>
            <w:vMerge w:val="continue"/>
            <w:tcBorders>
              <w:bottom w:val="single" w:color="auto" w:sz="4" w:space="0"/>
            </w:tcBorders>
            <w:vAlign w:val="center"/>
          </w:tcPr>
          <w:p w14:paraId="30EDFCB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tcBorders>
              <w:bottom w:val="single" w:color="auto" w:sz="4" w:space="0"/>
            </w:tcBorders>
            <w:vAlign w:val="center"/>
          </w:tcPr>
          <w:p w14:paraId="3469A6C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6E68D9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tcBorders>
              <w:bottom w:val="single" w:color="auto" w:sz="4" w:space="0"/>
            </w:tcBorders>
            <w:shd w:val="clear" w:color="auto" w:fill="auto"/>
            <w:vAlign w:val="center"/>
          </w:tcPr>
          <w:p w14:paraId="6E97B2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p>
        </w:tc>
      </w:tr>
      <w:tr w14:paraId="3B2FC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restart"/>
            <w:tcBorders>
              <w:bottom w:val="nil"/>
            </w:tcBorders>
            <w:vAlign w:val="center"/>
          </w:tcPr>
          <w:p w14:paraId="4F6993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受损区块3</w:t>
            </w:r>
          </w:p>
        </w:tc>
        <w:tc>
          <w:tcPr>
            <w:tcW w:w="573" w:type="pct"/>
            <w:vMerge w:val="restart"/>
            <w:tcBorders>
              <w:right w:val="single" w:color="auto" w:sz="4" w:space="0"/>
            </w:tcBorders>
            <w:vAlign w:val="center"/>
          </w:tcPr>
          <w:p w14:paraId="0C2C96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left w:val="single" w:color="auto" w:sz="4" w:space="0"/>
            </w:tcBorders>
            <w:vAlign w:val="center"/>
          </w:tcPr>
          <w:p w14:paraId="471C8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644" w:type="pct"/>
            <w:vMerge w:val="restart"/>
            <w:vAlign w:val="center"/>
          </w:tcPr>
          <w:p w14:paraId="453A56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破碎站</w:t>
            </w:r>
          </w:p>
        </w:tc>
        <w:tc>
          <w:tcPr>
            <w:tcW w:w="658" w:type="pct"/>
            <w:vMerge w:val="restart"/>
            <w:vAlign w:val="center"/>
          </w:tcPr>
          <w:p w14:paraId="642E8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0.6052</w:t>
            </w:r>
          </w:p>
        </w:tc>
        <w:tc>
          <w:tcPr>
            <w:tcW w:w="643" w:type="pct"/>
            <w:tcBorders>
              <w:bottom w:val="single" w:color="auto" w:sz="4" w:space="0"/>
            </w:tcBorders>
            <w:vAlign w:val="center"/>
          </w:tcPr>
          <w:p w14:paraId="63F793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restart"/>
            <w:tcBorders>
              <w:bottom w:val="nil"/>
            </w:tcBorders>
            <w:vAlign w:val="center"/>
          </w:tcPr>
          <w:p w14:paraId="5F940F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r>
      <w:tr w14:paraId="05729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continue"/>
            <w:tcBorders>
              <w:bottom w:val="nil"/>
            </w:tcBorders>
            <w:vAlign w:val="center"/>
          </w:tcPr>
          <w:p w14:paraId="7687CB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73" w:type="pct"/>
            <w:vMerge w:val="continue"/>
            <w:tcBorders>
              <w:right w:val="single" w:color="auto" w:sz="4" w:space="0"/>
            </w:tcBorders>
            <w:vAlign w:val="center"/>
          </w:tcPr>
          <w:p w14:paraId="11806E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04DEA9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644" w:type="pct"/>
            <w:vMerge w:val="continue"/>
            <w:vAlign w:val="center"/>
          </w:tcPr>
          <w:p w14:paraId="739C23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30BEC9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37B9AA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tcBorders>
              <w:bottom w:val="nil"/>
            </w:tcBorders>
            <w:vAlign w:val="center"/>
          </w:tcPr>
          <w:p w14:paraId="43A134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60CFB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53993B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73" w:type="pct"/>
            <w:vMerge w:val="continue"/>
            <w:tcBorders>
              <w:right w:val="single" w:color="auto" w:sz="4" w:space="0"/>
            </w:tcBorders>
            <w:vAlign w:val="center"/>
          </w:tcPr>
          <w:p w14:paraId="3D2A45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6FB3B5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644" w:type="pct"/>
            <w:vMerge w:val="continue"/>
            <w:vAlign w:val="center"/>
          </w:tcPr>
          <w:p w14:paraId="3123F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04C3B8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7B6CBE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1EF97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02E55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73" w:type="pct"/>
            <w:vMerge w:val="continue"/>
            <w:tcBorders>
              <w:top w:val="nil"/>
              <w:bottom w:val="nil"/>
            </w:tcBorders>
            <w:vAlign w:val="center"/>
          </w:tcPr>
          <w:p w14:paraId="7F6A1B1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vAlign w:val="center"/>
          </w:tcPr>
          <w:p w14:paraId="2BDBF3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left w:val="single" w:color="auto" w:sz="4" w:space="0"/>
            </w:tcBorders>
            <w:vAlign w:val="center"/>
          </w:tcPr>
          <w:p w14:paraId="2132D7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土地压占</w:t>
            </w:r>
          </w:p>
        </w:tc>
        <w:tc>
          <w:tcPr>
            <w:tcW w:w="644" w:type="pct"/>
            <w:vMerge w:val="continue"/>
            <w:vAlign w:val="center"/>
          </w:tcPr>
          <w:p w14:paraId="5F85007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7717D80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7A38FD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tcBorders>
              <w:top w:val="nil"/>
              <w:bottom w:val="nil"/>
            </w:tcBorders>
            <w:vAlign w:val="center"/>
          </w:tcPr>
          <w:p w14:paraId="7716D14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424F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73" w:type="pct"/>
            <w:vMerge w:val="continue"/>
            <w:tcBorders>
              <w:top w:val="nil"/>
              <w:bottom w:val="single" w:color="auto" w:sz="4" w:space="0"/>
            </w:tcBorders>
            <w:vAlign w:val="center"/>
          </w:tcPr>
          <w:p w14:paraId="0CD2FC1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vAlign w:val="center"/>
          </w:tcPr>
          <w:p w14:paraId="31A29A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left w:val="single" w:color="auto" w:sz="4" w:space="0"/>
              <w:bottom w:val="single" w:color="auto" w:sz="4" w:space="0"/>
            </w:tcBorders>
            <w:vAlign w:val="center"/>
          </w:tcPr>
          <w:p w14:paraId="4BB8F4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644" w:type="pct"/>
            <w:vMerge w:val="continue"/>
            <w:vAlign w:val="center"/>
          </w:tcPr>
          <w:p w14:paraId="72D005D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35FD5B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568D8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tcBorders>
              <w:top w:val="nil"/>
              <w:bottom w:val="single" w:color="auto" w:sz="4" w:space="0"/>
            </w:tcBorders>
            <w:vAlign w:val="center"/>
          </w:tcPr>
          <w:p w14:paraId="1D9DE53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4577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tcBorders>
              <w:bottom w:val="single" w:color="auto" w:sz="4" w:space="0"/>
            </w:tcBorders>
            <w:vAlign w:val="center"/>
          </w:tcPr>
          <w:p w14:paraId="65DCAAD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725036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tcBorders>
            <w:vAlign w:val="center"/>
          </w:tcPr>
          <w:p w14:paraId="4095AE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644" w:type="pct"/>
            <w:vMerge w:val="continue"/>
            <w:tcBorders>
              <w:bottom w:val="single" w:color="auto" w:sz="4" w:space="0"/>
            </w:tcBorders>
            <w:vAlign w:val="center"/>
          </w:tcPr>
          <w:p w14:paraId="562D57C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tcBorders>
              <w:bottom w:val="single" w:color="auto" w:sz="4" w:space="0"/>
            </w:tcBorders>
            <w:vAlign w:val="center"/>
          </w:tcPr>
          <w:p w14:paraId="4C02A90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19108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tcBorders>
              <w:bottom w:val="single" w:color="auto" w:sz="4" w:space="0"/>
            </w:tcBorders>
            <w:vAlign w:val="center"/>
          </w:tcPr>
          <w:p w14:paraId="36D88D9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4F22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restart"/>
            <w:tcBorders>
              <w:bottom w:val="nil"/>
            </w:tcBorders>
            <w:vAlign w:val="center"/>
          </w:tcPr>
          <w:p w14:paraId="1ED8BA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受损区块4</w:t>
            </w:r>
          </w:p>
        </w:tc>
        <w:tc>
          <w:tcPr>
            <w:tcW w:w="573" w:type="pct"/>
            <w:vMerge w:val="restart"/>
            <w:tcBorders>
              <w:right w:val="single" w:color="auto" w:sz="4" w:space="0"/>
            </w:tcBorders>
            <w:vAlign w:val="center"/>
          </w:tcPr>
          <w:p w14:paraId="1F745A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left w:val="single" w:color="auto" w:sz="4" w:space="0"/>
            </w:tcBorders>
            <w:vAlign w:val="center"/>
          </w:tcPr>
          <w:p w14:paraId="3D23D5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地质灾害</w:t>
            </w:r>
          </w:p>
        </w:tc>
        <w:tc>
          <w:tcPr>
            <w:tcW w:w="644" w:type="pct"/>
            <w:vMerge w:val="restart"/>
            <w:vAlign w:val="center"/>
          </w:tcPr>
          <w:p w14:paraId="078FC5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highlight w:val="none"/>
                <w:lang w:val="en-US" w:eastAsia="zh-CN"/>
              </w:rPr>
              <w:t>历史采坑</w:t>
            </w:r>
            <w:r>
              <w:rPr>
                <w:rFonts w:hint="eastAsia" w:ascii="宋体" w:hAnsi="宋体" w:eastAsia="宋体" w:cs="宋体"/>
                <w:spacing w:val="2"/>
                <w:sz w:val="21"/>
                <w:szCs w:val="21"/>
                <w:lang w:val="en-US" w:eastAsia="zh-CN"/>
              </w:rPr>
              <w:t>一</w:t>
            </w:r>
          </w:p>
        </w:tc>
        <w:tc>
          <w:tcPr>
            <w:tcW w:w="658" w:type="pct"/>
            <w:vMerge w:val="restart"/>
            <w:vAlign w:val="center"/>
          </w:tcPr>
          <w:p w14:paraId="1A7D74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2.0378</w:t>
            </w:r>
          </w:p>
        </w:tc>
        <w:tc>
          <w:tcPr>
            <w:tcW w:w="643" w:type="pct"/>
            <w:tcBorders>
              <w:bottom w:val="single" w:color="auto" w:sz="4" w:space="0"/>
            </w:tcBorders>
            <w:vAlign w:val="center"/>
          </w:tcPr>
          <w:p w14:paraId="7EB06E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c>
          <w:tcPr>
            <w:tcW w:w="784" w:type="pct"/>
            <w:vMerge w:val="restart"/>
            <w:tcBorders>
              <w:bottom w:val="nil"/>
            </w:tcBorders>
            <w:vAlign w:val="center"/>
          </w:tcPr>
          <w:p w14:paraId="7E0739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r>
      <w:tr w14:paraId="1D485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continue"/>
            <w:tcBorders>
              <w:bottom w:val="nil"/>
            </w:tcBorders>
            <w:vAlign w:val="center"/>
          </w:tcPr>
          <w:p w14:paraId="39D0CD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73" w:type="pct"/>
            <w:vMerge w:val="continue"/>
            <w:tcBorders>
              <w:right w:val="single" w:color="auto" w:sz="4" w:space="0"/>
            </w:tcBorders>
            <w:vAlign w:val="center"/>
          </w:tcPr>
          <w:p w14:paraId="456CF0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365740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含水层破坏</w:t>
            </w:r>
          </w:p>
        </w:tc>
        <w:tc>
          <w:tcPr>
            <w:tcW w:w="644" w:type="pct"/>
            <w:vMerge w:val="continue"/>
            <w:vAlign w:val="center"/>
          </w:tcPr>
          <w:p w14:paraId="647789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5D8BB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742C66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tcBorders>
              <w:bottom w:val="nil"/>
            </w:tcBorders>
            <w:vAlign w:val="center"/>
          </w:tcPr>
          <w:p w14:paraId="08773A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1BE32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338B5B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573" w:type="pct"/>
            <w:vMerge w:val="continue"/>
            <w:tcBorders>
              <w:right w:val="single" w:color="auto" w:sz="4" w:space="0"/>
            </w:tcBorders>
            <w:vAlign w:val="center"/>
          </w:tcPr>
          <w:p w14:paraId="5C0E41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left w:val="single" w:color="auto" w:sz="4" w:space="0"/>
            </w:tcBorders>
            <w:vAlign w:val="center"/>
          </w:tcPr>
          <w:p w14:paraId="45B285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地形地貌景观破坏</w:t>
            </w:r>
          </w:p>
        </w:tc>
        <w:tc>
          <w:tcPr>
            <w:tcW w:w="644" w:type="pct"/>
            <w:vMerge w:val="continue"/>
            <w:vAlign w:val="center"/>
          </w:tcPr>
          <w:p w14:paraId="46F213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58" w:type="pct"/>
            <w:vMerge w:val="continue"/>
            <w:vAlign w:val="center"/>
          </w:tcPr>
          <w:p w14:paraId="0DD551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643" w:type="pct"/>
            <w:tcBorders>
              <w:bottom w:val="single" w:color="auto" w:sz="4" w:space="0"/>
            </w:tcBorders>
            <w:vAlign w:val="center"/>
          </w:tcPr>
          <w:p w14:paraId="13FD07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784" w:type="pct"/>
            <w:vMerge w:val="continue"/>
            <w:vAlign w:val="center"/>
          </w:tcPr>
          <w:p w14:paraId="352F23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2BD37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73" w:type="pct"/>
            <w:vMerge w:val="continue"/>
            <w:tcBorders>
              <w:top w:val="nil"/>
              <w:bottom w:val="nil"/>
            </w:tcBorders>
            <w:vAlign w:val="center"/>
          </w:tcPr>
          <w:p w14:paraId="5D87248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vAlign w:val="center"/>
          </w:tcPr>
          <w:p w14:paraId="7D23DC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left w:val="single" w:color="auto" w:sz="4" w:space="0"/>
            </w:tcBorders>
            <w:vAlign w:val="center"/>
          </w:tcPr>
          <w:p w14:paraId="4AC47D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挖损</w:t>
            </w:r>
          </w:p>
        </w:tc>
        <w:tc>
          <w:tcPr>
            <w:tcW w:w="644" w:type="pct"/>
            <w:vMerge w:val="continue"/>
            <w:vAlign w:val="center"/>
          </w:tcPr>
          <w:p w14:paraId="4B4A72E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55222B0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156BF3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784" w:type="pct"/>
            <w:vMerge w:val="continue"/>
            <w:tcBorders>
              <w:top w:val="nil"/>
              <w:bottom w:val="nil"/>
            </w:tcBorders>
            <w:vAlign w:val="center"/>
          </w:tcPr>
          <w:p w14:paraId="12FB244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961E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73" w:type="pct"/>
            <w:vMerge w:val="continue"/>
            <w:tcBorders>
              <w:top w:val="nil"/>
              <w:bottom w:val="single" w:color="auto" w:sz="4" w:space="0"/>
            </w:tcBorders>
            <w:vAlign w:val="center"/>
          </w:tcPr>
          <w:p w14:paraId="2401DBB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vAlign w:val="center"/>
          </w:tcPr>
          <w:p w14:paraId="6E3CF2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left w:val="single" w:color="auto" w:sz="4" w:space="0"/>
              <w:bottom w:val="single" w:color="auto" w:sz="4" w:space="0"/>
            </w:tcBorders>
            <w:vAlign w:val="center"/>
          </w:tcPr>
          <w:p w14:paraId="40FAFC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水土污染</w:t>
            </w:r>
          </w:p>
        </w:tc>
        <w:tc>
          <w:tcPr>
            <w:tcW w:w="644" w:type="pct"/>
            <w:vMerge w:val="continue"/>
            <w:vAlign w:val="center"/>
          </w:tcPr>
          <w:p w14:paraId="6907365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143FC2A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6B07BD3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tcBorders>
              <w:top w:val="nil"/>
              <w:bottom w:val="single" w:color="auto" w:sz="4" w:space="0"/>
            </w:tcBorders>
            <w:vAlign w:val="center"/>
          </w:tcPr>
          <w:p w14:paraId="42232ED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3EB1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71236F5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02DA45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vAlign w:val="center"/>
          </w:tcPr>
          <w:p w14:paraId="63F4B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生态损毁</w:t>
            </w:r>
          </w:p>
        </w:tc>
        <w:tc>
          <w:tcPr>
            <w:tcW w:w="644" w:type="pct"/>
            <w:vMerge w:val="continue"/>
            <w:vAlign w:val="center"/>
          </w:tcPr>
          <w:p w14:paraId="7525BB7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092F231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60ED7C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73BD528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BCC1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restart"/>
            <w:vAlign w:val="center"/>
          </w:tcPr>
          <w:p w14:paraId="017634D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5</w:t>
            </w:r>
          </w:p>
        </w:tc>
        <w:tc>
          <w:tcPr>
            <w:tcW w:w="573" w:type="pct"/>
            <w:vMerge w:val="restart"/>
            <w:tcBorders>
              <w:right w:val="single" w:color="auto" w:sz="4" w:space="0"/>
            </w:tcBorders>
            <w:shd w:val="clear" w:color="auto" w:fill="auto"/>
            <w:vAlign w:val="center"/>
          </w:tcPr>
          <w:p w14:paraId="0A7CBB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top w:val="single" w:color="auto" w:sz="4" w:space="0"/>
              <w:left w:val="single" w:color="auto" w:sz="4" w:space="0"/>
              <w:bottom w:val="single" w:color="auto" w:sz="4" w:space="0"/>
            </w:tcBorders>
            <w:shd w:val="clear" w:color="auto" w:fill="auto"/>
            <w:vAlign w:val="center"/>
          </w:tcPr>
          <w:p w14:paraId="0F74AA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644" w:type="pct"/>
            <w:vMerge w:val="restart"/>
            <w:vAlign w:val="center"/>
          </w:tcPr>
          <w:p w14:paraId="10F43FD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排土场（历史采坑二）</w:t>
            </w:r>
          </w:p>
        </w:tc>
        <w:tc>
          <w:tcPr>
            <w:tcW w:w="658" w:type="pct"/>
            <w:vMerge w:val="restart"/>
            <w:vAlign w:val="center"/>
          </w:tcPr>
          <w:p w14:paraId="68145E5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2.4635</w:t>
            </w:r>
          </w:p>
        </w:tc>
        <w:tc>
          <w:tcPr>
            <w:tcW w:w="643" w:type="pct"/>
            <w:tcBorders>
              <w:top w:val="single" w:color="auto" w:sz="4" w:space="0"/>
              <w:bottom w:val="single" w:color="auto" w:sz="4" w:space="0"/>
            </w:tcBorders>
            <w:shd w:val="clear" w:color="auto" w:fill="auto"/>
            <w:vAlign w:val="center"/>
          </w:tcPr>
          <w:p w14:paraId="585303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784" w:type="pct"/>
            <w:vMerge w:val="restart"/>
            <w:vAlign w:val="center"/>
          </w:tcPr>
          <w:p w14:paraId="37E22C5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重度</w:t>
            </w:r>
          </w:p>
        </w:tc>
      </w:tr>
      <w:tr w14:paraId="009E6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430AB8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773C41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61E2BE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644" w:type="pct"/>
            <w:vMerge w:val="continue"/>
            <w:vAlign w:val="center"/>
          </w:tcPr>
          <w:p w14:paraId="537759E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2A8DDC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shd w:val="clear" w:color="auto" w:fill="auto"/>
            <w:vAlign w:val="center"/>
          </w:tcPr>
          <w:p w14:paraId="45E4B4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784" w:type="pct"/>
            <w:vMerge w:val="continue"/>
            <w:vAlign w:val="center"/>
          </w:tcPr>
          <w:p w14:paraId="259B31C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50A2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57167C4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656D46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6441FA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644" w:type="pct"/>
            <w:vMerge w:val="continue"/>
            <w:vAlign w:val="center"/>
          </w:tcPr>
          <w:p w14:paraId="227E260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4856004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65DA73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重度</w:t>
            </w:r>
          </w:p>
        </w:tc>
        <w:tc>
          <w:tcPr>
            <w:tcW w:w="784" w:type="pct"/>
            <w:vMerge w:val="continue"/>
            <w:vAlign w:val="center"/>
          </w:tcPr>
          <w:p w14:paraId="4DED95A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B989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26B992E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shd w:val="clear" w:color="auto" w:fill="auto"/>
            <w:vAlign w:val="center"/>
          </w:tcPr>
          <w:p w14:paraId="5B6005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top w:val="single" w:color="auto" w:sz="4" w:space="0"/>
              <w:left w:val="single" w:color="auto" w:sz="4" w:space="0"/>
              <w:bottom w:val="single" w:color="auto" w:sz="4" w:space="0"/>
            </w:tcBorders>
            <w:shd w:val="clear" w:color="auto" w:fill="auto"/>
            <w:vAlign w:val="center"/>
          </w:tcPr>
          <w:p w14:paraId="048E60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土地压占</w:t>
            </w:r>
          </w:p>
        </w:tc>
        <w:tc>
          <w:tcPr>
            <w:tcW w:w="644" w:type="pct"/>
            <w:vMerge w:val="continue"/>
            <w:vAlign w:val="center"/>
          </w:tcPr>
          <w:p w14:paraId="0CA61B3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59E8A24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1527A0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1A68202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B2A8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79B27A4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shd w:val="clear" w:color="auto" w:fill="auto"/>
            <w:vAlign w:val="center"/>
          </w:tcPr>
          <w:p w14:paraId="44B869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top w:val="single" w:color="auto" w:sz="4" w:space="0"/>
              <w:left w:val="single" w:color="auto" w:sz="4" w:space="0"/>
              <w:bottom w:val="single" w:color="auto" w:sz="4" w:space="0"/>
            </w:tcBorders>
            <w:shd w:val="clear" w:color="auto" w:fill="auto"/>
            <w:vAlign w:val="center"/>
          </w:tcPr>
          <w:p w14:paraId="0CE8F9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644" w:type="pct"/>
            <w:vMerge w:val="continue"/>
            <w:vAlign w:val="center"/>
          </w:tcPr>
          <w:p w14:paraId="4A9C96B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3D9E9CC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shd w:val="clear" w:color="auto" w:fill="auto"/>
            <w:vAlign w:val="center"/>
          </w:tcPr>
          <w:p w14:paraId="3CDBAD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784" w:type="pct"/>
            <w:vMerge w:val="continue"/>
            <w:vAlign w:val="center"/>
          </w:tcPr>
          <w:p w14:paraId="3B632E3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1080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673" w:type="pct"/>
            <w:vMerge w:val="continue"/>
            <w:vAlign w:val="center"/>
          </w:tcPr>
          <w:p w14:paraId="587F587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6B349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4E1AAE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644" w:type="pct"/>
            <w:vMerge w:val="continue"/>
            <w:vAlign w:val="center"/>
          </w:tcPr>
          <w:p w14:paraId="494A1B5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B79B18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shd w:val="clear" w:color="auto" w:fill="auto"/>
            <w:vAlign w:val="center"/>
          </w:tcPr>
          <w:p w14:paraId="09ACC3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784" w:type="pct"/>
            <w:vMerge w:val="continue"/>
            <w:vAlign w:val="center"/>
          </w:tcPr>
          <w:p w14:paraId="0163A01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0F1F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restart"/>
            <w:vAlign w:val="center"/>
          </w:tcPr>
          <w:p w14:paraId="618F793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6</w:t>
            </w:r>
          </w:p>
        </w:tc>
        <w:tc>
          <w:tcPr>
            <w:tcW w:w="573" w:type="pct"/>
            <w:vMerge w:val="restart"/>
            <w:tcBorders>
              <w:right w:val="single" w:color="auto" w:sz="4" w:space="0"/>
            </w:tcBorders>
            <w:shd w:val="clear" w:color="auto" w:fill="auto"/>
            <w:vAlign w:val="center"/>
          </w:tcPr>
          <w:p w14:paraId="74322B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top w:val="single" w:color="auto" w:sz="4" w:space="0"/>
              <w:left w:val="single" w:color="auto" w:sz="4" w:space="0"/>
              <w:bottom w:val="single" w:color="auto" w:sz="4" w:space="0"/>
            </w:tcBorders>
            <w:shd w:val="clear" w:color="auto" w:fill="auto"/>
            <w:vAlign w:val="center"/>
          </w:tcPr>
          <w:p w14:paraId="6C8005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644" w:type="pct"/>
            <w:vMerge w:val="restart"/>
            <w:vAlign w:val="center"/>
          </w:tcPr>
          <w:p w14:paraId="58B3918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原破碎站及废石堆场</w:t>
            </w:r>
          </w:p>
        </w:tc>
        <w:tc>
          <w:tcPr>
            <w:tcW w:w="658" w:type="pct"/>
            <w:vMerge w:val="restart"/>
            <w:vAlign w:val="center"/>
          </w:tcPr>
          <w:p w14:paraId="23D60CE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2.2880</w:t>
            </w:r>
          </w:p>
        </w:tc>
        <w:tc>
          <w:tcPr>
            <w:tcW w:w="643" w:type="pct"/>
            <w:tcBorders>
              <w:top w:val="single" w:color="auto" w:sz="4" w:space="0"/>
              <w:bottom w:val="single" w:color="auto" w:sz="4" w:space="0"/>
            </w:tcBorders>
            <w:shd w:val="clear" w:color="auto" w:fill="auto"/>
            <w:vAlign w:val="center"/>
          </w:tcPr>
          <w:p w14:paraId="6122E4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784" w:type="pct"/>
            <w:vMerge w:val="restart"/>
            <w:vAlign w:val="center"/>
          </w:tcPr>
          <w:p w14:paraId="364B0FC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中度</w:t>
            </w:r>
          </w:p>
        </w:tc>
      </w:tr>
      <w:tr w14:paraId="18091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673" w:type="pct"/>
            <w:vMerge w:val="continue"/>
            <w:vAlign w:val="center"/>
          </w:tcPr>
          <w:p w14:paraId="1F76824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1AF8EC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2D97D9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644" w:type="pct"/>
            <w:vMerge w:val="continue"/>
            <w:vAlign w:val="center"/>
          </w:tcPr>
          <w:p w14:paraId="70B46A2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AFAC56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shd w:val="clear" w:color="auto" w:fill="auto"/>
            <w:vAlign w:val="center"/>
          </w:tcPr>
          <w:p w14:paraId="48CA09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784" w:type="pct"/>
            <w:vMerge w:val="continue"/>
            <w:vAlign w:val="center"/>
          </w:tcPr>
          <w:p w14:paraId="760A519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A39D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66DAB4E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797590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57B5EB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644" w:type="pct"/>
            <w:vMerge w:val="continue"/>
            <w:vAlign w:val="center"/>
          </w:tcPr>
          <w:p w14:paraId="6E968EC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3BEF6B9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265E1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c>
          <w:tcPr>
            <w:tcW w:w="784" w:type="pct"/>
            <w:vMerge w:val="continue"/>
            <w:vAlign w:val="center"/>
          </w:tcPr>
          <w:p w14:paraId="485F9A6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F911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78761E5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shd w:val="clear" w:color="auto" w:fill="auto"/>
            <w:vAlign w:val="center"/>
          </w:tcPr>
          <w:p w14:paraId="0EE7E0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top w:val="single" w:color="auto" w:sz="4" w:space="0"/>
              <w:left w:val="single" w:color="auto" w:sz="4" w:space="0"/>
              <w:bottom w:val="single" w:color="auto" w:sz="4" w:space="0"/>
            </w:tcBorders>
            <w:shd w:val="clear" w:color="auto" w:fill="auto"/>
            <w:vAlign w:val="center"/>
          </w:tcPr>
          <w:p w14:paraId="58AB92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土地压占</w:t>
            </w:r>
          </w:p>
        </w:tc>
        <w:tc>
          <w:tcPr>
            <w:tcW w:w="644" w:type="pct"/>
            <w:vMerge w:val="continue"/>
            <w:vAlign w:val="center"/>
          </w:tcPr>
          <w:p w14:paraId="74DD7D6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1B6DAC8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02352A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4702108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312B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338E966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shd w:val="clear" w:color="auto" w:fill="auto"/>
            <w:vAlign w:val="center"/>
          </w:tcPr>
          <w:p w14:paraId="531BD5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top w:val="single" w:color="auto" w:sz="4" w:space="0"/>
              <w:left w:val="single" w:color="auto" w:sz="4" w:space="0"/>
              <w:bottom w:val="single" w:color="auto" w:sz="4" w:space="0"/>
            </w:tcBorders>
            <w:shd w:val="clear" w:color="auto" w:fill="auto"/>
            <w:vAlign w:val="center"/>
          </w:tcPr>
          <w:p w14:paraId="6B4C40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644" w:type="pct"/>
            <w:vMerge w:val="continue"/>
            <w:vAlign w:val="center"/>
          </w:tcPr>
          <w:p w14:paraId="1301892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44B962A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7AE9FC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vAlign w:val="center"/>
          </w:tcPr>
          <w:p w14:paraId="5054C5F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4318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261E2D9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53535C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2DCA52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644" w:type="pct"/>
            <w:vMerge w:val="continue"/>
            <w:vAlign w:val="center"/>
          </w:tcPr>
          <w:p w14:paraId="2A37D7C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77BFD08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5AEF3D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196AE2A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50DA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restart"/>
            <w:vAlign w:val="center"/>
          </w:tcPr>
          <w:p w14:paraId="23928F1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7</w:t>
            </w:r>
          </w:p>
        </w:tc>
        <w:tc>
          <w:tcPr>
            <w:tcW w:w="573" w:type="pct"/>
            <w:vMerge w:val="restart"/>
            <w:tcBorders>
              <w:right w:val="single" w:color="auto" w:sz="4" w:space="0"/>
            </w:tcBorders>
            <w:shd w:val="clear" w:color="auto" w:fill="auto"/>
            <w:vAlign w:val="center"/>
          </w:tcPr>
          <w:p w14:paraId="6FC2EA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top w:val="single" w:color="auto" w:sz="4" w:space="0"/>
              <w:left w:val="single" w:color="auto" w:sz="4" w:space="0"/>
              <w:bottom w:val="single" w:color="auto" w:sz="4" w:space="0"/>
            </w:tcBorders>
            <w:shd w:val="clear" w:color="auto" w:fill="auto"/>
            <w:vAlign w:val="center"/>
          </w:tcPr>
          <w:p w14:paraId="5BC54D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644" w:type="pct"/>
            <w:vMerge w:val="restart"/>
            <w:vAlign w:val="center"/>
          </w:tcPr>
          <w:p w14:paraId="25CB56C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办公生活区</w:t>
            </w:r>
          </w:p>
        </w:tc>
        <w:tc>
          <w:tcPr>
            <w:tcW w:w="658" w:type="pct"/>
            <w:vMerge w:val="restart"/>
            <w:vAlign w:val="center"/>
          </w:tcPr>
          <w:p w14:paraId="1AF0C90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0.3463</w:t>
            </w:r>
          </w:p>
        </w:tc>
        <w:tc>
          <w:tcPr>
            <w:tcW w:w="643" w:type="pct"/>
            <w:tcBorders>
              <w:top w:val="single" w:color="auto" w:sz="4" w:space="0"/>
              <w:bottom w:val="single" w:color="auto" w:sz="4" w:space="0"/>
            </w:tcBorders>
            <w:shd w:val="clear" w:color="auto" w:fill="auto"/>
            <w:vAlign w:val="center"/>
          </w:tcPr>
          <w:p w14:paraId="6C793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784" w:type="pct"/>
            <w:vMerge w:val="restart"/>
            <w:vAlign w:val="center"/>
          </w:tcPr>
          <w:p w14:paraId="07C5171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中度</w:t>
            </w:r>
          </w:p>
        </w:tc>
      </w:tr>
      <w:tr w14:paraId="2C71E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0AF52E6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068676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110346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644" w:type="pct"/>
            <w:vMerge w:val="continue"/>
            <w:vAlign w:val="center"/>
          </w:tcPr>
          <w:p w14:paraId="1E0DCF5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1EC58A6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shd w:val="clear" w:color="auto" w:fill="auto"/>
            <w:vAlign w:val="center"/>
          </w:tcPr>
          <w:p w14:paraId="53DFE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784" w:type="pct"/>
            <w:vMerge w:val="continue"/>
            <w:vAlign w:val="center"/>
          </w:tcPr>
          <w:p w14:paraId="1B2A05C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20C8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6CF8B52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1A1FE9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416AA0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644" w:type="pct"/>
            <w:vMerge w:val="continue"/>
            <w:vAlign w:val="center"/>
          </w:tcPr>
          <w:p w14:paraId="29A4DA3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4F67D3C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3FE39E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67EDE99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2CA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3D97DD9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shd w:val="clear" w:color="auto" w:fill="auto"/>
            <w:vAlign w:val="center"/>
          </w:tcPr>
          <w:p w14:paraId="60E939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top w:val="single" w:color="auto" w:sz="4" w:space="0"/>
              <w:left w:val="single" w:color="auto" w:sz="4" w:space="0"/>
              <w:bottom w:val="single" w:color="auto" w:sz="4" w:space="0"/>
            </w:tcBorders>
            <w:shd w:val="clear" w:color="auto" w:fill="auto"/>
            <w:vAlign w:val="center"/>
          </w:tcPr>
          <w:p w14:paraId="409C74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土地压占</w:t>
            </w:r>
          </w:p>
        </w:tc>
        <w:tc>
          <w:tcPr>
            <w:tcW w:w="644" w:type="pct"/>
            <w:vMerge w:val="continue"/>
            <w:vAlign w:val="center"/>
          </w:tcPr>
          <w:p w14:paraId="0394D46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18C352E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2F530D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4FAF1CE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CCCC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3CB5681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shd w:val="clear" w:color="auto" w:fill="auto"/>
            <w:vAlign w:val="center"/>
          </w:tcPr>
          <w:p w14:paraId="22258C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top w:val="single" w:color="auto" w:sz="4" w:space="0"/>
              <w:left w:val="single" w:color="auto" w:sz="4" w:space="0"/>
              <w:bottom w:val="single" w:color="auto" w:sz="4" w:space="0"/>
            </w:tcBorders>
            <w:shd w:val="clear" w:color="auto" w:fill="auto"/>
            <w:vAlign w:val="center"/>
          </w:tcPr>
          <w:p w14:paraId="1BA7B3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644" w:type="pct"/>
            <w:vMerge w:val="continue"/>
            <w:vAlign w:val="center"/>
          </w:tcPr>
          <w:p w14:paraId="54FD9F4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0E4277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7931F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vAlign w:val="center"/>
          </w:tcPr>
          <w:p w14:paraId="15E32BB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CB60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7D6BB29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65934D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19A216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644" w:type="pct"/>
            <w:vMerge w:val="continue"/>
            <w:vAlign w:val="center"/>
          </w:tcPr>
          <w:p w14:paraId="7ACBDBE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10A9A72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0445A8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4D8A3EB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8380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restart"/>
            <w:vAlign w:val="center"/>
          </w:tcPr>
          <w:p w14:paraId="61D90A2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8</w:t>
            </w:r>
          </w:p>
        </w:tc>
        <w:tc>
          <w:tcPr>
            <w:tcW w:w="573" w:type="pct"/>
            <w:vMerge w:val="restart"/>
            <w:tcBorders>
              <w:right w:val="single" w:color="auto" w:sz="4" w:space="0"/>
            </w:tcBorders>
            <w:shd w:val="clear" w:color="auto" w:fill="auto"/>
            <w:vAlign w:val="center"/>
          </w:tcPr>
          <w:p w14:paraId="2AF64A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top w:val="single" w:color="auto" w:sz="4" w:space="0"/>
              <w:left w:val="single" w:color="auto" w:sz="4" w:space="0"/>
              <w:bottom w:val="single" w:color="auto" w:sz="4" w:space="0"/>
            </w:tcBorders>
            <w:shd w:val="clear" w:color="auto" w:fill="auto"/>
            <w:vAlign w:val="center"/>
          </w:tcPr>
          <w:p w14:paraId="5365C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644" w:type="pct"/>
            <w:vMerge w:val="restart"/>
            <w:vAlign w:val="center"/>
          </w:tcPr>
          <w:p w14:paraId="534DB10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原综合服务区</w:t>
            </w:r>
          </w:p>
        </w:tc>
        <w:tc>
          <w:tcPr>
            <w:tcW w:w="658" w:type="pct"/>
            <w:vMerge w:val="restart"/>
            <w:vAlign w:val="center"/>
          </w:tcPr>
          <w:p w14:paraId="3260B82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0.3711</w:t>
            </w:r>
          </w:p>
        </w:tc>
        <w:tc>
          <w:tcPr>
            <w:tcW w:w="643" w:type="pct"/>
            <w:tcBorders>
              <w:top w:val="single" w:color="auto" w:sz="4" w:space="0"/>
              <w:bottom w:val="single" w:color="auto" w:sz="4" w:space="0"/>
            </w:tcBorders>
            <w:shd w:val="clear" w:color="auto" w:fill="auto"/>
            <w:vAlign w:val="center"/>
          </w:tcPr>
          <w:p w14:paraId="00BF6D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784" w:type="pct"/>
            <w:vMerge w:val="restart"/>
            <w:vAlign w:val="center"/>
          </w:tcPr>
          <w:p w14:paraId="4B46586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中度</w:t>
            </w:r>
          </w:p>
        </w:tc>
      </w:tr>
      <w:tr w14:paraId="081C7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6C75526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4EB22D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539361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644" w:type="pct"/>
            <w:vMerge w:val="continue"/>
            <w:vAlign w:val="center"/>
          </w:tcPr>
          <w:p w14:paraId="78D3BCA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7ADEC78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shd w:val="clear" w:color="auto" w:fill="auto"/>
            <w:vAlign w:val="center"/>
          </w:tcPr>
          <w:p w14:paraId="08BC54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784" w:type="pct"/>
            <w:vMerge w:val="continue"/>
            <w:vAlign w:val="center"/>
          </w:tcPr>
          <w:p w14:paraId="065481D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F5A6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32DA796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709200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26ED86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644" w:type="pct"/>
            <w:vMerge w:val="continue"/>
            <w:vAlign w:val="center"/>
          </w:tcPr>
          <w:p w14:paraId="35134FB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0C37F58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51BEE0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0E74D21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CD88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7B79125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shd w:val="clear" w:color="auto" w:fill="auto"/>
            <w:vAlign w:val="center"/>
          </w:tcPr>
          <w:p w14:paraId="3A1DA5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top w:val="single" w:color="auto" w:sz="4" w:space="0"/>
              <w:left w:val="single" w:color="auto" w:sz="4" w:space="0"/>
              <w:bottom w:val="single" w:color="auto" w:sz="4" w:space="0"/>
            </w:tcBorders>
            <w:shd w:val="clear" w:color="auto" w:fill="auto"/>
            <w:vAlign w:val="center"/>
          </w:tcPr>
          <w:p w14:paraId="54A5D7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土地压占</w:t>
            </w:r>
          </w:p>
        </w:tc>
        <w:tc>
          <w:tcPr>
            <w:tcW w:w="644" w:type="pct"/>
            <w:vMerge w:val="continue"/>
            <w:vAlign w:val="center"/>
          </w:tcPr>
          <w:p w14:paraId="5C8DA7F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42D584D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38663D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3DEB75D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B473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26CE765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shd w:val="clear" w:color="auto" w:fill="auto"/>
            <w:vAlign w:val="center"/>
          </w:tcPr>
          <w:p w14:paraId="40CB65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top w:val="single" w:color="auto" w:sz="4" w:space="0"/>
              <w:left w:val="single" w:color="auto" w:sz="4" w:space="0"/>
              <w:bottom w:val="single" w:color="auto" w:sz="4" w:space="0"/>
            </w:tcBorders>
            <w:shd w:val="clear" w:color="auto" w:fill="auto"/>
            <w:vAlign w:val="center"/>
          </w:tcPr>
          <w:p w14:paraId="72D6FF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644" w:type="pct"/>
            <w:vMerge w:val="continue"/>
            <w:vAlign w:val="center"/>
          </w:tcPr>
          <w:p w14:paraId="17712E3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7D2CE1E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078484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轻度</w:t>
            </w:r>
          </w:p>
        </w:tc>
        <w:tc>
          <w:tcPr>
            <w:tcW w:w="784" w:type="pct"/>
            <w:vMerge w:val="continue"/>
            <w:vAlign w:val="center"/>
          </w:tcPr>
          <w:p w14:paraId="295944E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F70E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1D501AF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0A7332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3DDD1E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644" w:type="pct"/>
            <w:vMerge w:val="continue"/>
            <w:vAlign w:val="center"/>
          </w:tcPr>
          <w:p w14:paraId="0C1857B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9D77D1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100C4E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784" w:type="pct"/>
            <w:vMerge w:val="continue"/>
            <w:vAlign w:val="center"/>
          </w:tcPr>
          <w:p w14:paraId="26C1DE0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69DB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restart"/>
            <w:vAlign w:val="center"/>
          </w:tcPr>
          <w:p w14:paraId="7A8C633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9</w:t>
            </w:r>
          </w:p>
        </w:tc>
        <w:tc>
          <w:tcPr>
            <w:tcW w:w="573" w:type="pct"/>
            <w:vMerge w:val="restart"/>
            <w:tcBorders>
              <w:right w:val="single" w:color="auto" w:sz="4" w:space="0"/>
            </w:tcBorders>
            <w:shd w:val="clear" w:color="auto" w:fill="auto"/>
            <w:vAlign w:val="center"/>
          </w:tcPr>
          <w:p w14:paraId="5D6717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1021" w:type="pct"/>
            <w:tcBorders>
              <w:top w:val="single" w:color="auto" w:sz="4" w:space="0"/>
              <w:left w:val="single" w:color="auto" w:sz="4" w:space="0"/>
              <w:bottom w:val="single" w:color="auto" w:sz="4" w:space="0"/>
            </w:tcBorders>
            <w:shd w:val="clear" w:color="auto" w:fill="auto"/>
            <w:vAlign w:val="center"/>
          </w:tcPr>
          <w:p w14:paraId="5F15EA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地质灾害</w:t>
            </w:r>
          </w:p>
        </w:tc>
        <w:tc>
          <w:tcPr>
            <w:tcW w:w="644" w:type="pct"/>
            <w:vMerge w:val="restart"/>
            <w:vAlign w:val="center"/>
          </w:tcPr>
          <w:p w14:paraId="73ECDAD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其他外围区域</w:t>
            </w:r>
          </w:p>
        </w:tc>
        <w:tc>
          <w:tcPr>
            <w:tcW w:w="658" w:type="pct"/>
            <w:vMerge w:val="restart"/>
            <w:vAlign w:val="center"/>
          </w:tcPr>
          <w:p w14:paraId="5F0EDA4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6.9269</w:t>
            </w:r>
          </w:p>
        </w:tc>
        <w:tc>
          <w:tcPr>
            <w:tcW w:w="643" w:type="pct"/>
            <w:tcBorders>
              <w:top w:val="single" w:color="auto" w:sz="4" w:space="0"/>
              <w:bottom w:val="single" w:color="auto" w:sz="4" w:space="0"/>
            </w:tcBorders>
            <w:vAlign w:val="center"/>
          </w:tcPr>
          <w:p w14:paraId="0A4B95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restart"/>
            <w:vAlign w:val="center"/>
          </w:tcPr>
          <w:p w14:paraId="6F68891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轻度</w:t>
            </w:r>
          </w:p>
        </w:tc>
      </w:tr>
      <w:tr w14:paraId="39C8D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3175BFE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4CC697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15B684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含水层破坏</w:t>
            </w:r>
          </w:p>
        </w:tc>
        <w:tc>
          <w:tcPr>
            <w:tcW w:w="644" w:type="pct"/>
            <w:vMerge w:val="continue"/>
            <w:vAlign w:val="center"/>
          </w:tcPr>
          <w:p w14:paraId="1DE2017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709D909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1C29A2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vAlign w:val="center"/>
          </w:tcPr>
          <w:p w14:paraId="2FCB6DF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2ED9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673" w:type="pct"/>
            <w:vMerge w:val="continue"/>
            <w:vAlign w:val="center"/>
          </w:tcPr>
          <w:p w14:paraId="3D828FA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7A3498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1F1D3D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地形地貌景观破坏</w:t>
            </w:r>
          </w:p>
        </w:tc>
        <w:tc>
          <w:tcPr>
            <w:tcW w:w="644" w:type="pct"/>
            <w:vMerge w:val="continue"/>
            <w:vAlign w:val="center"/>
          </w:tcPr>
          <w:p w14:paraId="6932010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77994A0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CFC38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vAlign w:val="center"/>
          </w:tcPr>
          <w:p w14:paraId="0BF2BEC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9C06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04CF4DF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tcBorders>
              <w:right w:val="single" w:color="auto" w:sz="4" w:space="0"/>
            </w:tcBorders>
            <w:shd w:val="clear" w:color="auto" w:fill="auto"/>
            <w:vAlign w:val="center"/>
          </w:tcPr>
          <w:p w14:paraId="3DEC6B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1021" w:type="pct"/>
            <w:tcBorders>
              <w:top w:val="single" w:color="auto" w:sz="4" w:space="0"/>
              <w:left w:val="single" w:color="auto" w:sz="4" w:space="0"/>
              <w:bottom w:val="single" w:color="auto" w:sz="4" w:space="0"/>
            </w:tcBorders>
            <w:shd w:val="clear" w:color="auto" w:fill="auto"/>
            <w:vAlign w:val="center"/>
          </w:tcPr>
          <w:p w14:paraId="2D8D00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b/>
                <w:bCs/>
                <w:spacing w:val="2"/>
                <w:sz w:val="21"/>
                <w:szCs w:val="21"/>
                <w:lang w:val="en-US" w:eastAsia="zh-CN" w:bidi="ar-SA"/>
              </w:rPr>
              <w:t>未损毁</w:t>
            </w:r>
          </w:p>
        </w:tc>
        <w:tc>
          <w:tcPr>
            <w:tcW w:w="644" w:type="pct"/>
            <w:vMerge w:val="continue"/>
            <w:vAlign w:val="center"/>
          </w:tcPr>
          <w:p w14:paraId="682012A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1A0ACE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72BC9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w:t>
            </w:r>
          </w:p>
        </w:tc>
        <w:tc>
          <w:tcPr>
            <w:tcW w:w="784" w:type="pct"/>
            <w:vMerge w:val="continue"/>
            <w:vAlign w:val="center"/>
          </w:tcPr>
          <w:p w14:paraId="433D9F0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762D1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3" w:type="pct"/>
            <w:vMerge w:val="continue"/>
            <w:vAlign w:val="center"/>
          </w:tcPr>
          <w:p w14:paraId="0A8660E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restart"/>
            <w:tcBorders>
              <w:right w:val="single" w:color="auto" w:sz="4" w:space="0"/>
            </w:tcBorders>
            <w:shd w:val="clear" w:color="auto" w:fill="auto"/>
            <w:vAlign w:val="center"/>
          </w:tcPr>
          <w:p w14:paraId="43E92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1021" w:type="pct"/>
            <w:tcBorders>
              <w:top w:val="single" w:color="auto" w:sz="4" w:space="0"/>
              <w:left w:val="single" w:color="auto" w:sz="4" w:space="0"/>
              <w:bottom w:val="single" w:color="auto" w:sz="4" w:space="0"/>
            </w:tcBorders>
            <w:shd w:val="clear" w:color="auto" w:fill="auto"/>
            <w:vAlign w:val="center"/>
          </w:tcPr>
          <w:p w14:paraId="347AD1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水土污染</w:t>
            </w:r>
          </w:p>
        </w:tc>
        <w:tc>
          <w:tcPr>
            <w:tcW w:w="644" w:type="pct"/>
            <w:vMerge w:val="continue"/>
            <w:vAlign w:val="center"/>
          </w:tcPr>
          <w:p w14:paraId="2EF1649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2A29926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69D61B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vAlign w:val="center"/>
          </w:tcPr>
          <w:p w14:paraId="3D8F83B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E380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73" w:type="pct"/>
            <w:vMerge w:val="continue"/>
            <w:vAlign w:val="center"/>
          </w:tcPr>
          <w:p w14:paraId="043CF98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573" w:type="pct"/>
            <w:vMerge w:val="continue"/>
            <w:tcBorders>
              <w:right w:val="single" w:color="auto" w:sz="4" w:space="0"/>
            </w:tcBorders>
            <w:vAlign w:val="center"/>
          </w:tcPr>
          <w:p w14:paraId="5DCC06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1021" w:type="pct"/>
            <w:tcBorders>
              <w:top w:val="single" w:color="auto" w:sz="4" w:space="0"/>
              <w:left w:val="single" w:color="auto" w:sz="4" w:space="0"/>
              <w:bottom w:val="single" w:color="auto" w:sz="4" w:space="0"/>
            </w:tcBorders>
            <w:shd w:val="clear" w:color="auto" w:fill="auto"/>
            <w:vAlign w:val="center"/>
          </w:tcPr>
          <w:p w14:paraId="424D39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生态损毁</w:t>
            </w:r>
          </w:p>
        </w:tc>
        <w:tc>
          <w:tcPr>
            <w:tcW w:w="644" w:type="pct"/>
            <w:vMerge w:val="continue"/>
            <w:vAlign w:val="center"/>
          </w:tcPr>
          <w:p w14:paraId="64DC99F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58" w:type="pct"/>
            <w:vMerge w:val="continue"/>
            <w:vAlign w:val="center"/>
          </w:tcPr>
          <w:p w14:paraId="3956869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643" w:type="pct"/>
            <w:tcBorders>
              <w:top w:val="single" w:color="auto" w:sz="4" w:space="0"/>
              <w:bottom w:val="single" w:color="auto" w:sz="4" w:space="0"/>
            </w:tcBorders>
            <w:vAlign w:val="center"/>
          </w:tcPr>
          <w:p w14:paraId="408CD6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784" w:type="pct"/>
            <w:vMerge w:val="continue"/>
            <w:vAlign w:val="center"/>
          </w:tcPr>
          <w:p w14:paraId="21C533B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bl>
    <w:p w14:paraId="25206C65">
      <w:pPr>
        <w:pStyle w:val="7"/>
        <w:spacing w:line="360" w:lineRule="auto"/>
        <w:rPr>
          <w:rFonts w:hint="eastAsia"/>
          <w:sz w:val="28"/>
          <w:szCs w:val="28"/>
        </w:rPr>
      </w:pPr>
      <w:r>
        <w:rPr>
          <w:rFonts w:hint="eastAsia"/>
          <w:sz w:val="28"/>
          <w:szCs w:val="28"/>
          <w:lang w:val="en-US" w:eastAsia="zh-CN"/>
        </w:rPr>
        <w:t>3、</w:t>
      </w:r>
      <w:r>
        <w:rPr>
          <w:rFonts w:hint="eastAsia"/>
          <w:sz w:val="28"/>
          <w:szCs w:val="28"/>
        </w:rPr>
        <w:t>综合诊断评价结果</w:t>
      </w:r>
    </w:p>
    <w:p w14:paraId="798F5D5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1、分区依据</w:t>
      </w:r>
    </w:p>
    <w:p w14:paraId="0C3524F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根据“开发利用方案”及矿山地质环境综合调查成果，按照地质环境问题类型、分布特征及其危害性，结合矿山地质环境现状评估、预测评估情况进行综合分析，分区界线重点考虑以下要素：1）地貌单元界线、矿山规划功能区域界线；2）地层界线；3）构造单元界线；4）地质环境问题分布及影响范围。</w:t>
      </w:r>
    </w:p>
    <w:p w14:paraId="0138129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2、分区原则</w:t>
      </w:r>
    </w:p>
    <w:p w14:paraId="6123FB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1）“以人为本”原则，充分考虑矿山地质环境问题对人居环境影响。</w:t>
      </w:r>
    </w:p>
    <w:p w14:paraId="5323C9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2）充分考虑工农业生产、区域经济发展影响。</w:t>
      </w:r>
    </w:p>
    <w:p w14:paraId="639E0E6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3）以矿山地质环境影响程度分级为基础进行矿山地质环境保护与恢复治理分区;现状评估与预测评估结果不一致时采取就上原则进行分区。</w:t>
      </w:r>
    </w:p>
    <w:p w14:paraId="56F41AA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4）“区内相似、区际相异”、“就大不就小”、“整体不分割”的原则</w:t>
      </w:r>
    </w:p>
    <w:p w14:paraId="191684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3、分区方法</w:t>
      </w:r>
    </w:p>
    <w:p w14:paraId="464AAB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在矿山地质环境影响程度现状评估、预测评估的结果基础上，根据上述分区原则，选取地质灾害危险性、含水层破坏、水土环境污染、地形地貌景观影响四个要素，利用叠加法进行矿山地质环境治理分区。</w:t>
      </w:r>
    </w:p>
    <w:p w14:paraId="68DEA76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2）分区级别</w:t>
      </w:r>
    </w:p>
    <w:p w14:paraId="40C8F54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根据矿山地质环境影响现状评估和预测评估结果，用层次分析法把矿山地质环境治理区域划分为重度受损区（A）、中度受损区（B）和轻度受损区（C）等三个级别。</w:t>
      </w:r>
    </w:p>
    <w:p w14:paraId="43C5438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4、分区评述</w:t>
      </w:r>
    </w:p>
    <w:p w14:paraId="6654055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按上述分区原则和分区方法，根据前面矿山地质环境影响预测评估中矿山开采对地质灾害影响程度、含水层影响程度、地形地貌景观影响程度和土地资源影响程度等评估结果，矿山地质环境治理区域划分为重度受损区（A）、中度受损区（B）和轻度受损区（C）等三个级别，总面积24.8640hm</w:t>
      </w:r>
      <w:r>
        <w:rPr>
          <w:rFonts w:hint="eastAsia"/>
          <w:sz w:val="28"/>
          <w:szCs w:val="28"/>
          <w:highlight w:val="none"/>
          <w:vertAlign w:val="superscript"/>
          <w:lang w:val="en-US" w:eastAsia="zh-CN"/>
        </w:rPr>
        <w:t>2</w:t>
      </w:r>
      <w:r>
        <w:rPr>
          <w:rFonts w:hint="eastAsia"/>
          <w:sz w:val="28"/>
          <w:szCs w:val="28"/>
          <w:highlight w:val="none"/>
          <w:lang w:val="en-US" w:eastAsia="zh-CN"/>
        </w:rPr>
        <w:t>（附图4）。不同地段地质矿山地质环境治理区分区见表3-6。</w:t>
      </w:r>
    </w:p>
    <w:p w14:paraId="405E5132">
      <w:pPr>
        <w:pStyle w:val="30"/>
        <w:adjustRightInd w:val="0"/>
        <w:snapToGrid w:val="0"/>
        <w:spacing w:after="0" w:line="360" w:lineRule="auto"/>
        <w:ind w:left="0" w:leftChars="0" w:firstLine="482" w:firstLineChars="200"/>
        <w:jc w:val="center"/>
        <w:rPr>
          <w:rFonts w:hint="eastAsia" w:ascii="宋体" w:hAnsi="宋体"/>
          <w:b/>
          <w:sz w:val="24"/>
        </w:rPr>
      </w:pPr>
      <w:r>
        <w:rPr>
          <w:rFonts w:hint="eastAsia" w:ascii="宋体" w:hAnsi="宋体"/>
          <w:b/>
          <w:sz w:val="24"/>
        </w:rPr>
        <w:t>表</w:t>
      </w:r>
      <w:r>
        <w:rPr>
          <w:rFonts w:ascii="宋体" w:hAnsi="宋体"/>
          <w:b/>
          <w:sz w:val="24"/>
        </w:rPr>
        <w:t>3-</w:t>
      </w:r>
      <w:r>
        <w:rPr>
          <w:rFonts w:hint="eastAsia" w:ascii="宋体" w:hAnsi="宋体"/>
          <w:b/>
          <w:sz w:val="24"/>
          <w:lang w:val="en-US" w:eastAsia="zh-CN"/>
        </w:rPr>
        <w:t>14</w:t>
      </w:r>
      <w:r>
        <w:rPr>
          <w:rFonts w:ascii="宋体" w:hAnsi="宋体"/>
          <w:b/>
          <w:sz w:val="24"/>
        </w:rPr>
        <w:t>　　</w:t>
      </w:r>
      <w:r>
        <w:rPr>
          <w:rFonts w:hint="eastAsia" w:ascii="宋体" w:hAnsi="宋体"/>
          <w:b/>
          <w:sz w:val="24"/>
        </w:rPr>
        <w:t>矿区损毁程度综合评价表</w:t>
      </w:r>
    </w:p>
    <w:tbl>
      <w:tblPr>
        <w:tblStyle w:val="91"/>
        <w:tblW w:w="498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66"/>
        <w:gridCol w:w="1493"/>
        <w:gridCol w:w="1175"/>
        <w:gridCol w:w="1445"/>
        <w:gridCol w:w="1454"/>
        <w:gridCol w:w="1733"/>
      </w:tblGrid>
      <w:tr w14:paraId="7B0B7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blHeader/>
        </w:trPr>
        <w:tc>
          <w:tcPr>
            <w:tcW w:w="836" w:type="pct"/>
            <w:vMerge w:val="restart"/>
            <w:tcBorders>
              <w:bottom w:val="nil"/>
            </w:tcBorders>
            <w:vAlign w:val="center"/>
          </w:tcPr>
          <w:p w14:paraId="66B7F7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5"/>
                <w:sz w:val="21"/>
                <w:szCs w:val="21"/>
              </w:rPr>
              <w:t>序号</w:t>
            </w:r>
          </w:p>
        </w:tc>
        <w:tc>
          <w:tcPr>
            <w:tcW w:w="851" w:type="pct"/>
            <w:vMerge w:val="restart"/>
            <w:tcBorders>
              <w:bottom w:val="nil"/>
            </w:tcBorders>
            <w:vAlign w:val="center"/>
          </w:tcPr>
          <w:p w14:paraId="04F7B9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1"/>
                <w:sz w:val="21"/>
                <w:szCs w:val="21"/>
              </w:rPr>
              <w:t>问题类型</w:t>
            </w:r>
          </w:p>
        </w:tc>
        <w:tc>
          <w:tcPr>
            <w:tcW w:w="2323" w:type="pct"/>
            <w:gridSpan w:val="3"/>
            <w:vAlign w:val="center"/>
          </w:tcPr>
          <w:p w14:paraId="4B2955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现状及预测受损状况</w:t>
            </w:r>
          </w:p>
        </w:tc>
        <w:tc>
          <w:tcPr>
            <w:tcW w:w="988" w:type="pct"/>
            <w:vMerge w:val="restart"/>
            <w:tcBorders>
              <w:bottom w:val="nil"/>
            </w:tcBorders>
            <w:vAlign w:val="center"/>
          </w:tcPr>
          <w:p w14:paraId="0FAF06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综合评价结果</w:t>
            </w:r>
          </w:p>
        </w:tc>
      </w:tr>
      <w:tr w14:paraId="2FE6C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blHeader/>
        </w:trPr>
        <w:tc>
          <w:tcPr>
            <w:tcW w:w="836" w:type="pct"/>
            <w:vMerge w:val="continue"/>
            <w:tcBorders>
              <w:top w:val="nil"/>
            </w:tcBorders>
            <w:vAlign w:val="center"/>
          </w:tcPr>
          <w:p w14:paraId="1384A36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c>
          <w:tcPr>
            <w:tcW w:w="851" w:type="pct"/>
            <w:vMerge w:val="continue"/>
            <w:tcBorders>
              <w:top w:val="nil"/>
            </w:tcBorders>
            <w:vAlign w:val="center"/>
          </w:tcPr>
          <w:p w14:paraId="74DEE41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c>
          <w:tcPr>
            <w:tcW w:w="670" w:type="pct"/>
            <w:vAlign w:val="center"/>
          </w:tcPr>
          <w:p w14:paraId="27286D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4"/>
                <w:sz w:val="21"/>
                <w:szCs w:val="21"/>
              </w:rPr>
              <w:t>范围</w:t>
            </w:r>
          </w:p>
        </w:tc>
        <w:tc>
          <w:tcPr>
            <w:tcW w:w="824" w:type="pct"/>
            <w:vAlign w:val="center"/>
          </w:tcPr>
          <w:p w14:paraId="2C9941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7"/>
                <w:sz w:val="21"/>
                <w:szCs w:val="21"/>
              </w:rPr>
              <w:t>面积（</w:t>
            </w:r>
            <w:r>
              <w:rPr>
                <w:rFonts w:hint="eastAsia" w:ascii="宋体" w:hAnsi="宋体" w:eastAsia="宋体" w:cs="宋体"/>
                <w:b/>
                <w:bCs/>
                <w:spacing w:val="2"/>
                <w:sz w:val="21"/>
                <w:szCs w:val="21"/>
              </w:rPr>
              <w:t>hm</w:t>
            </w:r>
            <w:r>
              <w:rPr>
                <w:rFonts w:hint="eastAsia" w:ascii="宋体" w:hAnsi="宋体" w:eastAsia="宋体" w:cs="宋体"/>
                <w:b/>
                <w:bCs/>
                <w:spacing w:val="2"/>
                <w:sz w:val="21"/>
                <w:szCs w:val="21"/>
                <w:vertAlign w:val="superscript"/>
              </w:rPr>
              <w:t>2</w:t>
            </w:r>
            <w:r>
              <w:rPr>
                <w:rFonts w:hint="eastAsia" w:ascii="宋体" w:hAnsi="宋体" w:eastAsia="宋体" w:cs="宋体"/>
                <w:b/>
                <w:bCs/>
                <w:spacing w:val="7"/>
                <w:sz w:val="21"/>
                <w:szCs w:val="21"/>
              </w:rPr>
              <w:t>）</w:t>
            </w:r>
          </w:p>
        </w:tc>
        <w:tc>
          <w:tcPr>
            <w:tcW w:w="827" w:type="pct"/>
            <w:vAlign w:val="center"/>
          </w:tcPr>
          <w:p w14:paraId="11D4D8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pacing w:val="3"/>
                <w:sz w:val="21"/>
                <w:szCs w:val="21"/>
              </w:rPr>
              <w:t>损毁程度</w:t>
            </w:r>
          </w:p>
        </w:tc>
        <w:tc>
          <w:tcPr>
            <w:tcW w:w="988" w:type="pct"/>
            <w:vMerge w:val="continue"/>
            <w:tcBorders>
              <w:top w:val="nil"/>
            </w:tcBorders>
            <w:vAlign w:val="center"/>
          </w:tcPr>
          <w:p w14:paraId="08815D6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sz w:val="21"/>
                <w:szCs w:val="21"/>
              </w:rPr>
            </w:pPr>
          </w:p>
        </w:tc>
      </w:tr>
      <w:tr w14:paraId="5EE3C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restart"/>
            <w:tcBorders>
              <w:bottom w:val="nil"/>
            </w:tcBorders>
            <w:vAlign w:val="center"/>
          </w:tcPr>
          <w:p w14:paraId="2FF4C5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受损区块1</w:t>
            </w:r>
          </w:p>
        </w:tc>
        <w:tc>
          <w:tcPr>
            <w:tcW w:w="851" w:type="pct"/>
            <w:tcBorders>
              <w:right w:val="single" w:color="auto" w:sz="4" w:space="0"/>
            </w:tcBorders>
            <w:vAlign w:val="center"/>
          </w:tcPr>
          <w:p w14:paraId="726D37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7D3F56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highlight w:val="none"/>
              </w:rPr>
              <w:t>露天采场</w:t>
            </w:r>
          </w:p>
        </w:tc>
        <w:tc>
          <w:tcPr>
            <w:tcW w:w="824" w:type="pct"/>
            <w:vMerge w:val="restart"/>
            <w:vAlign w:val="center"/>
          </w:tcPr>
          <w:p w14:paraId="1CD0C0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8.3331</w:t>
            </w:r>
          </w:p>
        </w:tc>
        <w:tc>
          <w:tcPr>
            <w:tcW w:w="827" w:type="pct"/>
            <w:tcBorders>
              <w:bottom w:val="single" w:color="auto" w:sz="4" w:space="0"/>
            </w:tcBorders>
            <w:vAlign w:val="center"/>
          </w:tcPr>
          <w:p w14:paraId="1B74A5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restart"/>
            <w:tcBorders>
              <w:bottom w:val="nil"/>
            </w:tcBorders>
            <w:vAlign w:val="center"/>
          </w:tcPr>
          <w:p w14:paraId="0BC91D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r>
      <w:tr w14:paraId="67A88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nil"/>
            </w:tcBorders>
            <w:vAlign w:val="center"/>
          </w:tcPr>
          <w:p w14:paraId="1BCC9E9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12758E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48ED47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824" w:type="pct"/>
            <w:vMerge w:val="continue"/>
            <w:vAlign w:val="center"/>
          </w:tcPr>
          <w:p w14:paraId="7168E4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827" w:type="pct"/>
            <w:tcBorders>
              <w:top w:val="single" w:color="auto" w:sz="4" w:space="0"/>
              <w:bottom w:val="single" w:color="auto" w:sz="4" w:space="0"/>
            </w:tcBorders>
            <w:vAlign w:val="center"/>
          </w:tcPr>
          <w:p w14:paraId="1B34BD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continue"/>
            <w:tcBorders>
              <w:top w:val="nil"/>
              <w:bottom w:val="nil"/>
            </w:tcBorders>
            <w:vAlign w:val="center"/>
          </w:tcPr>
          <w:p w14:paraId="389094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24FC4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nil"/>
            </w:tcBorders>
            <w:vAlign w:val="center"/>
          </w:tcPr>
          <w:p w14:paraId="568B41A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2ABDE3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12319A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824" w:type="pct"/>
            <w:vMerge w:val="continue"/>
            <w:vAlign w:val="center"/>
          </w:tcPr>
          <w:p w14:paraId="11E1B7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c>
          <w:tcPr>
            <w:tcW w:w="827" w:type="pct"/>
            <w:tcBorders>
              <w:top w:val="single" w:color="auto" w:sz="4" w:space="0"/>
            </w:tcBorders>
            <w:vAlign w:val="center"/>
          </w:tcPr>
          <w:p w14:paraId="2E793A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continue"/>
            <w:tcBorders>
              <w:top w:val="nil"/>
              <w:bottom w:val="nil"/>
            </w:tcBorders>
            <w:vAlign w:val="center"/>
          </w:tcPr>
          <w:p w14:paraId="3C49E1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p>
        </w:tc>
      </w:tr>
      <w:tr w14:paraId="1BC5E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836" w:type="pct"/>
            <w:vMerge w:val="restart"/>
            <w:tcBorders>
              <w:bottom w:val="nil"/>
            </w:tcBorders>
            <w:vAlign w:val="center"/>
          </w:tcPr>
          <w:p w14:paraId="31CEEA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受损区块2</w:t>
            </w:r>
          </w:p>
        </w:tc>
        <w:tc>
          <w:tcPr>
            <w:tcW w:w="851" w:type="pct"/>
            <w:tcBorders>
              <w:right w:val="single" w:color="auto" w:sz="4" w:space="0"/>
            </w:tcBorders>
            <w:vAlign w:val="center"/>
          </w:tcPr>
          <w:p w14:paraId="41125A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58858D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复垦用土临时堆场</w:t>
            </w:r>
          </w:p>
        </w:tc>
        <w:tc>
          <w:tcPr>
            <w:tcW w:w="824" w:type="pct"/>
            <w:vMerge w:val="restart"/>
            <w:vAlign w:val="center"/>
          </w:tcPr>
          <w:p w14:paraId="289B06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1.4921</w:t>
            </w:r>
          </w:p>
        </w:tc>
        <w:tc>
          <w:tcPr>
            <w:tcW w:w="827" w:type="pct"/>
            <w:tcBorders>
              <w:bottom w:val="single" w:color="auto" w:sz="4" w:space="0"/>
            </w:tcBorders>
            <w:vAlign w:val="center"/>
          </w:tcPr>
          <w:p w14:paraId="01B468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c>
          <w:tcPr>
            <w:tcW w:w="988" w:type="pct"/>
            <w:vMerge w:val="restart"/>
            <w:tcBorders>
              <w:bottom w:val="nil"/>
            </w:tcBorders>
            <w:shd w:val="clear" w:color="auto" w:fill="auto"/>
            <w:vAlign w:val="center"/>
          </w:tcPr>
          <w:p w14:paraId="786A2B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r>
      <w:tr w14:paraId="74278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nil"/>
            </w:tcBorders>
            <w:vAlign w:val="center"/>
          </w:tcPr>
          <w:p w14:paraId="2E618E2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482F46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19446E5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4D2D7B6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34D199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988" w:type="pct"/>
            <w:vMerge w:val="continue"/>
            <w:tcBorders>
              <w:top w:val="nil"/>
              <w:bottom w:val="nil"/>
            </w:tcBorders>
            <w:shd w:val="clear" w:color="auto" w:fill="auto"/>
            <w:vAlign w:val="center"/>
          </w:tcPr>
          <w:p w14:paraId="6919ACD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3381A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single" w:color="auto" w:sz="4" w:space="0"/>
            </w:tcBorders>
            <w:vAlign w:val="center"/>
          </w:tcPr>
          <w:p w14:paraId="69A9655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20E908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4B0989B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139E41E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5B121D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988" w:type="pct"/>
            <w:vMerge w:val="continue"/>
            <w:tcBorders>
              <w:top w:val="nil"/>
              <w:bottom w:val="single" w:color="auto" w:sz="4" w:space="0"/>
            </w:tcBorders>
            <w:shd w:val="clear" w:color="auto" w:fill="auto"/>
            <w:vAlign w:val="center"/>
          </w:tcPr>
          <w:p w14:paraId="21B6FAD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12BA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836" w:type="pct"/>
            <w:vMerge w:val="restart"/>
            <w:tcBorders>
              <w:bottom w:val="nil"/>
            </w:tcBorders>
            <w:vAlign w:val="center"/>
          </w:tcPr>
          <w:p w14:paraId="317DCE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受损区块3</w:t>
            </w:r>
          </w:p>
        </w:tc>
        <w:tc>
          <w:tcPr>
            <w:tcW w:w="851" w:type="pct"/>
            <w:tcBorders>
              <w:right w:val="single" w:color="auto" w:sz="4" w:space="0"/>
            </w:tcBorders>
            <w:vAlign w:val="center"/>
          </w:tcPr>
          <w:p w14:paraId="1BAEF0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4E2CBA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破碎站</w:t>
            </w:r>
          </w:p>
        </w:tc>
        <w:tc>
          <w:tcPr>
            <w:tcW w:w="824" w:type="pct"/>
            <w:vMerge w:val="restart"/>
            <w:vAlign w:val="center"/>
          </w:tcPr>
          <w:p w14:paraId="525641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0.6052</w:t>
            </w:r>
          </w:p>
        </w:tc>
        <w:tc>
          <w:tcPr>
            <w:tcW w:w="827" w:type="pct"/>
            <w:tcBorders>
              <w:bottom w:val="single" w:color="auto" w:sz="4" w:space="0"/>
            </w:tcBorders>
            <w:vAlign w:val="center"/>
          </w:tcPr>
          <w:p w14:paraId="4867B1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c>
          <w:tcPr>
            <w:tcW w:w="988" w:type="pct"/>
            <w:vMerge w:val="restart"/>
            <w:tcBorders>
              <w:bottom w:val="nil"/>
            </w:tcBorders>
            <w:vAlign w:val="center"/>
          </w:tcPr>
          <w:p w14:paraId="279984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中度</w:t>
            </w:r>
          </w:p>
        </w:tc>
      </w:tr>
      <w:tr w14:paraId="75543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nil"/>
            </w:tcBorders>
            <w:vAlign w:val="center"/>
          </w:tcPr>
          <w:p w14:paraId="5B102AD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5508B1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05CFCC7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0403319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49E190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988" w:type="pct"/>
            <w:vMerge w:val="continue"/>
            <w:tcBorders>
              <w:top w:val="nil"/>
              <w:bottom w:val="nil"/>
            </w:tcBorders>
            <w:vAlign w:val="center"/>
          </w:tcPr>
          <w:p w14:paraId="05A66EB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E01D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single" w:color="auto" w:sz="4" w:space="0"/>
            </w:tcBorders>
            <w:vAlign w:val="center"/>
          </w:tcPr>
          <w:p w14:paraId="1C848E1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713CFB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500C5E9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0BD8FAC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7FAABB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rPr>
              <w:t>中度</w:t>
            </w:r>
          </w:p>
        </w:tc>
        <w:tc>
          <w:tcPr>
            <w:tcW w:w="988" w:type="pct"/>
            <w:vMerge w:val="continue"/>
            <w:tcBorders>
              <w:top w:val="nil"/>
              <w:bottom w:val="single" w:color="auto" w:sz="4" w:space="0"/>
            </w:tcBorders>
            <w:vAlign w:val="center"/>
          </w:tcPr>
          <w:p w14:paraId="57F9A49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B17B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836" w:type="pct"/>
            <w:vMerge w:val="restart"/>
            <w:tcBorders>
              <w:bottom w:val="nil"/>
            </w:tcBorders>
            <w:vAlign w:val="center"/>
          </w:tcPr>
          <w:p w14:paraId="0C8653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受损区块4</w:t>
            </w:r>
          </w:p>
        </w:tc>
        <w:tc>
          <w:tcPr>
            <w:tcW w:w="851" w:type="pct"/>
            <w:tcBorders>
              <w:right w:val="single" w:color="auto" w:sz="4" w:space="0"/>
            </w:tcBorders>
            <w:vAlign w:val="center"/>
          </w:tcPr>
          <w:p w14:paraId="2A29AD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14E087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highlight w:val="none"/>
                <w:lang w:val="en-US" w:eastAsia="zh-CN"/>
              </w:rPr>
              <w:t>历史采坑</w:t>
            </w:r>
            <w:r>
              <w:rPr>
                <w:rFonts w:hint="eastAsia" w:ascii="宋体" w:hAnsi="宋体" w:eastAsia="宋体" w:cs="宋体"/>
                <w:spacing w:val="2"/>
                <w:sz w:val="21"/>
                <w:szCs w:val="21"/>
                <w:lang w:val="en-US" w:eastAsia="zh-CN"/>
              </w:rPr>
              <w:t>一</w:t>
            </w:r>
          </w:p>
        </w:tc>
        <w:tc>
          <w:tcPr>
            <w:tcW w:w="824" w:type="pct"/>
            <w:vMerge w:val="restart"/>
            <w:vAlign w:val="center"/>
          </w:tcPr>
          <w:p w14:paraId="0A0CB1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2.0378</w:t>
            </w:r>
          </w:p>
        </w:tc>
        <w:tc>
          <w:tcPr>
            <w:tcW w:w="827" w:type="pct"/>
            <w:tcBorders>
              <w:bottom w:val="single" w:color="auto" w:sz="4" w:space="0"/>
            </w:tcBorders>
            <w:vAlign w:val="center"/>
          </w:tcPr>
          <w:p w14:paraId="41D98D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restart"/>
            <w:tcBorders>
              <w:bottom w:val="nil"/>
            </w:tcBorders>
            <w:vAlign w:val="center"/>
          </w:tcPr>
          <w:p w14:paraId="58ECC1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r>
      <w:tr w14:paraId="11213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nil"/>
            </w:tcBorders>
            <w:vAlign w:val="center"/>
          </w:tcPr>
          <w:p w14:paraId="094E957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53531E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1214C7F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27C2B7E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2D626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continue"/>
            <w:tcBorders>
              <w:top w:val="nil"/>
              <w:bottom w:val="nil"/>
            </w:tcBorders>
            <w:vAlign w:val="center"/>
          </w:tcPr>
          <w:p w14:paraId="25541E2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24301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tcBorders>
              <w:top w:val="nil"/>
              <w:bottom w:val="single" w:color="auto" w:sz="4" w:space="0"/>
            </w:tcBorders>
            <w:vAlign w:val="center"/>
          </w:tcPr>
          <w:p w14:paraId="4EED4AC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vAlign w:val="center"/>
          </w:tcPr>
          <w:p w14:paraId="7F8F5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5AAC239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256185E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42F09A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continue"/>
            <w:tcBorders>
              <w:top w:val="nil"/>
              <w:bottom w:val="single" w:color="auto" w:sz="4" w:space="0"/>
            </w:tcBorders>
            <w:vAlign w:val="center"/>
          </w:tcPr>
          <w:p w14:paraId="393B188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28B4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836" w:type="pct"/>
            <w:vMerge w:val="restart"/>
            <w:vAlign w:val="center"/>
          </w:tcPr>
          <w:p w14:paraId="72FC8C6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5</w:t>
            </w:r>
          </w:p>
        </w:tc>
        <w:tc>
          <w:tcPr>
            <w:tcW w:w="851" w:type="pct"/>
            <w:tcBorders>
              <w:right w:val="single" w:color="auto" w:sz="4" w:space="0"/>
            </w:tcBorders>
            <w:shd w:val="clear" w:color="auto" w:fill="auto"/>
            <w:vAlign w:val="center"/>
          </w:tcPr>
          <w:p w14:paraId="17CD00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4E78775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排土场（历史采坑二）</w:t>
            </w:r>
          </w:p>
        </w:tc>
        <w:tc>
          <w:tcPr>
            <w:tcW w:w="824" w:type="pct"/>
            <w:vMerge w:val="restart"/>
            <w:vAlign w:val="center"/>
          </w:tcPr>
          <w:p w14:paraId="0C1A10C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2.4635</w:t>
            </w:r>
          </w:p>
        </w:tc>
        <w:tc>
          <w:tcPr>
            <w:tcW w:w="827" w:type="pct"/>
            <w:tcBorders>
              <w:top w:val="single" w:color="auto" w:sz="4" w:space="0"/>
              <w:bottom w:val="single" w:color="auto" w:sz="4" w:space="0"/>
            </w:tcBorders>
            <w:shd w:val="clear" w:color="auto" w:fill="auto"/>
            <w:vAlign w:val="center"/>
          </w:tcPr>
          <w:p w14:paraId="2608AB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988" w:type="pct"/>
            <w:vMerge w:val="restart"/>
            <w:vAlign w:val="center"/>
          </w:tcPr>
          <w:p w14:paraId="4517B3F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r>
      <w:tr w14:paraId="5B1D7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2A84E95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0433D2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6F2D860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5AA614D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791E14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rPr>
            </w:pPr>
            <w:r>
              <w:rPr>
                <w:rFonts w:hint="eastAsia" w:ascii="宋体" w:hAnsi="宋体" w:cs="宋体"/>
                <w:spacing w:val="2"/>
                <w:sz w:val="21"/>
                <w:szCs w:val="21"/>
                <w:lang w:val="en-US" w:eastAsia="zh-CN"/>
              </w:rPr>
              <w:t>重度</w:t>
            </w:r>
          </w:p>
        </w:tc>
        <w:tc>
          <w:tcPr>
            <w:tcW w:w="988" w:type="pct"/>
            <w:vMerge w:val="continue"/>
            <w:vAlign w:val="center"/>
          </w:tcPr>
          <w:p w14:paraId="33EA3E5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3EF9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4B9D3AD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01B05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0E350F1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56644E58">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shd w:val="clear" w:color="auto" w:fill="auto"/>
            <w:vAlign w:val="center"/>
          </w:tcPr>
          <w:p w14:paraId="74B5FF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988" w:type="pct"/>
            <w:vMerge w:val="continue"/>
            <w:vAlign w:val="center"/>
          </w:tcPr>
          <w:p w14:paraId="1D44B85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06CD7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836" w:type="pct"/>
            <w:vMerge w:val="restart"/>
            <w:vAlign w:val="center"/>
          </w:tcPr>
          <w:p w14:paraId="41853C8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6</w:t>
            </w:r>
          </w:p>
        </w:tc>
        <w:tc>
          <w:tcPr>
            <w:tcW w:w="851" w:type="pct"/>
            <w:tcBorders>
              <w:right w:val="single" w:color="auto" w:sz="4" w:space="0"/>
            </w:tcBorders>
            <w:shd w:val="clear" w:color="auto" w:fill="auto"/>
            <w:vAlign w:val="center"/>
          </w:tcPr>
          <w:p w14:paraId="52FAA8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61E242B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原破碎站及废石堆场</w:t>
            </w:r>
          </w:p>
        </w:tc>
        <w:tc>
          <w:tcPr>
            <w:tcW w:w="824" w:type="pct"/>
            <w:vMerge w:val="restart"/>
            <w:vAlign w:val="center"/>
          </w:tcPr>
          <w:p w14:paraId="5B5A9CD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2.2880</w:t>
            </w:r>
          </w:p>
        </w:tc>
        <w:tc>
          <w:tcPr>
            <w:tcW w:w="827" w:type="pct"/>
            <w:tcBorders>
              <w:top w:val="single" w:color="auto" w:sz="4" w:space="0"/>
              <w:bottom w:val="single" w:color="auto" w:sz="4" w:space="0"/>
            </w:tcBorders>
            <w:shd w:val="clear" w:color="auto" w:fill="auto"/>
            <w:vAlign w:val="center"/>
          </w:tcPr>
          <w:p w14:paraId="1F54F5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中度</w:t>
            </w:r>
          </w:p>
        </w:tc>
        <w:tc>
          <w:tcPr>
            <w:tcW w:w="988" w:type="pct"/>
            <w:vMerge w:val="restart"/>
            <w:vAlign w:val="center"/>
          </w:tcPr>
          <w:p w14:paraId="289F9DF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bidi="ar-SA"/>
              </w:rPr>
              <w:t>中度</w:t>
            </w:r>
          </w:p>
        </w:tc>
      </w:tr>
      <w:tr w14:paraId="0927F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5015556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49032B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78EA88A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49A1741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43D778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bidi="ar-SA"/>
              </w:rPr>
              <w:t>中度</w:t>
            </w:r>
          </w:p>
        </w:tc>
        <w:tc>
          <w:tcPr>
            <w:tcW w:w="988" w:type="pct"/>
            <w:vMerge w:val="continue"/>
            <w:vAlign w:val="center"/>
          </w:tcPr>
          <w:p w14:paraId="0511791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B21F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1F37FD4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30E730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5066DF1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2CCD74A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6453DC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bidi="ar-SA"/>
              </w:rPr>
              <w:t>中度</w:t>
            </w:r>
          </w:p>
        </w:tc>
        <w:tc>
          <w:tcPr>
            <w:tcW w:w="988" w:type="pct"/>
            <w:vMerge w:val="continue"/>
            <w:vAlign w:val="center"/>
          </w:tcPr>
          <w:p w14:paraId="5F71834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6DA9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836" w:type="pct"/>
            <w:vMerge w:val="restart"/>
            <w:vAlign w:val="center"/>
          </w:tcPr>
          <w:p w14:paraId="4DF5CBE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7</w:t>
            </w:r>
          </w:p>
        </w:tc>
        <w:tc>
          <w:tcPr>
            <w:tcW w:w="851" w:type="pct"/>
            <w:tcBorders>
              <w:right w:val="single" w:color="auto" w:sz="4" w:space="0"/>
            </w:tcBorders>
            <w:shd w:val="clear" w:color="auto" w:fill="auto"/>
            <w:vAlign w:val="center"/>
          </w:tcPr>
          <w:p w14:paraId="57ECAE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671E3F9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办公生活区</w:t>
            </w:r>
          </w:p>
        </w:tc>
        <w:tc>
          <w:tcPr>
            <w:tcW w:w="824" w:type="pct"/>
            <w:vMerge w:val="restart"/>
            <w:vAlign w:val="center"/>
          </w:tcPr>
          <w:p w14:paraId="3E388C90">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0.3463</w:t>
            </w:r>
          </w:p>
        </w:tc>
        <w:tc>
          <w:tcPr>
            <w:tcW w:w="827" w:type="pct"/>
            <w:tcBorders>
              <w:top w:val="single" w:color="auto" w:sz="4" w:space="0"/>
              <w:bottom w:val="single" w:color="auto" w:sz="4" w:space="0"/>
            </w:tcBorders>
            <w:shd w:val="clear" w:color="auto" w:fill="auto"/>
            <w:vAlign w:val="center"/>
          </w:tcPr>
          <w:p w14:paraId="31C39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中度</w:t>
            </w:r>
          </w:p>
        </w:tc>
        <w:tc>
          <w:tcPr>
            <w:tcW w:w="988" w:type="pct"/>
            <w:vMerge w:val="restart"/>
            <w:vAlign w:val="center"/>
          </w:tcPr>
          <w:p w14:paraId="2DA7F73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bidi="ar-SA"/>
              </w:rPr>
              <w:t>中度</w:t>
            </w:r>
          </w:p>
        </w:tc>
      </w:tr>
      <w:tr w14:paraId="31220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5917DA9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5A948C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24E68CC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6821210B">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164B21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bidi="ar-SA"/>
              </w:rPr>
              <w:t>中度</w:t>
            </w:r>
          </w:p>
        </w:tc>
        <w:tc>
          <w:tcPr>
            <w:tcW w:w="988" w:type="pct"/>
            <w:vMerge w:val="continue"/>
            <w:vAlign w:val="center"/>
          </w:tcPr>
          <w:p w14:paraId="5B61D69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C7F6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6611757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2623C2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75C9608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39A8D90A">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05F31A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bidi="ar-SA"/>
              </w:rPr>
              <w:t>中度</w:t>
            </w:r>
          </w:p>
        </w:tc>
        <w:tc>
          <w:tcPr>
            <w:tcW w:w="988" w:type="pct"/>
            <w:vMerge w:val="continue"/>
            <w:vAlign w:val="center"/>
          </w:tcPr>
          <w:p w14:paraId="0D65D2C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6D51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836" w:type="pct"/>
            <w:vMerge w:val="restart"/>
            <w:vAlign w:val="center"/>
          </w:tcPr>
          <w:p w14:paraId="662A32B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8</w:t>
            </w:r>
          </w:p>
        </w:tc>
        <w:tc>
          <w:tcPr>
            <w:tcW w:w="851" w:type="pct"/>
            <w:tcBorders>
              <w:right w:val="single" w:color="auto" w:sz="4" w:space="0"/>
            </w:tcBorders>
            <w:shd w:val="clear" w:color="auto" w:fill="auto"/>
            <w:vAlign w:val="center"/>
          </w:tcPr>
          <w:p w14:paraId="722635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3A7AF5B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原综合服务区</w:t>
            </w:r>
          </w:p>
        </w:tc>
        <w:tc>
          <w:tcPr>
            <w:tcW w:w="824" w:type="pct"/>
            <w:vMerge w:val="restart"/>
            <w:vAlign w:val="center"/>
          </w:tcPr>
          <w:p w14:paraId="13D7F39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0.3711</w:t>
            </w:r>
          </w:p>
        </w:tc>
        <w:tc>
          <w:tcPr>
            <w:tcW w:w="827" w:type="pct"/>
            <w:tcBorders>
              <w:top w:val="single" w:color="auto" w:sz="4" w:space="0"/>
              <w:bottom w:val="single" w:color="auto" w:sz="4" w:space="0"/>
            </w:tcBorders>
            <w:shd w:val="clear" w:color="auto" w:fill="auto"/>
            <w:vAlign w:val="center"/>
          </w:tcPr>
          <w:p w14:paraId="6447CA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中度</w:t>
            </w:r>
          </w:p>
        </w:tc>
        <w:tc>
          <w:tcPr>
            <w:tcW w:w="988" w:type="pct"/>
            <w:vMerge w:val="restart"/>
            <w:vAlign w:val="center"/>
          </w:tcPr>
          <w:p w14:paraId="1233DEE6">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bidi="ar-SA"/>
              </w:rPr>
              <w:t>中度</w:t>
            </w:r>
          </w:p>
        </w:tc>
      </w:tr>
      <w:tr w14:paraId="13110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08F13B9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101D0B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2F4ACED4">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4B34F02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351321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bidi="ar-SA"/>
              </w:rPr>
              <w:t>中度</w:t>
            </w:r>
          </w:p>
        </w:tc>
        <w:tc>
          <w:tcPr>
            <w:tcW w:w="988" w:type="pct"/>
            <w:vMerge w:val="continue"/>
            <w:vAlign w:val="center"/>
          </w:tcPr>
          <w:p w14:paraId="516A778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51B9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706036C1">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2416E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71BFBA6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686AE8F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6EA9CD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cs="宋体"/>
                <w:spacing w:val="2"/>
                <w:sz w:val="21"/>
                <w:szCs w:val="21"/>
                <w:lang w:val="en-US" w:eastAsia="zh-CN" w:bidi="ar-SA"/>
              </w:rPr>
              <w:t>中度</w:t>
            </w:r>
          </w:p>
        </w:tc>
        <w:tc>
          <w:tcPr>
            <w:tcW w:w="988" w:type="pct"/>
            <w:vMerge w:val="continue"/>
            <w:vAlign w:val="center"/>
          </w:tcPr>
          <w:p w14:paraId="1499797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548B6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836" w:type="pct"/>
            <w:vMerge w:val="restart"/>
            <w:vAlign w:val="center"/>
          </w:tcPr>
          <w:p w14:paraId="16F7A57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2"/>
                <w:sz w:val="21"/>
                <w:szCs w:val="21"/>
              </w:rPr>
              <w:t>受损区块</w:t>
            </w:r>
            <w:r>
              <w:rPr>
                <w:rFonts w:hint="eastAsia" w:ascii="宋体" w:hAnsi="宋体" w:eastAsia="宋体" w:cs="宋体"/>
                <w:spacing w:val="2"/>
                <w:sz w:val="21"/>
                <w:szCs w:val="21"/>
                <w:lang w:val="en-US" w:eastAsia="zh-CN"/>
              </w:rPr>
              <w:t>9</w:t>
            </w:r>
          </w:p>
        </w:tc>
        <w:tc>
          <w:tcPr>
            <w:tcW w:w="851" w:type="pct"/>
            <w:tcBorders>
              <w:right w:val="single" w:color="auto" w:sz="4" w:space="0"/>
            </w:tcBorders>
            <w:shd w:val="clear" w:color="auto" w:fill="auto"/>
            <w:vAlign w:val="center"/>
          </w:tcPr>
          <w:p w14:paraId="188627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地质环境问题</w:t>
            </w:r>
          </w:p>
        </w:tc>
        <w:tc>
          <w:tcPr>
            <w:tcW w:w="670" w:type="pct"/>
            <w:vMerge w:val="restart"/>
            <w:vAlign w:val="center"/>
          </w:tcPr>
          <w:p w14:paraId="34C9351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其他外围区域</w:t>
            </w:r>
          </w:p>
        </w:tc>
        <w:tc>
          <w:tcPr>
            <w:tcW w:w="824" w:type="pct"/>
            <w:vMerge w:val="restart"/>
            <w:vAlign w:val="center"/>
          </w:tcPr>
          <w:p w14:paraId="4DDB68EF">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6.9269</w:t>
            </w:r>
          </w:p>
        </w:tc>
        <w:tc>
          <w:tcPr>
            <w:tcW w:w="827" w:type="pct"/>
            <w:tcBorders>
              <w:top w:val="single" w:color="auto" w:sz="4" w:space="0"/>
              <w:bottom w:val="single" w:color="auto" w:sz="4" w:space="0"/>
            </w:tcBorders>
            <w:vAlign w:val="center"/>
          </w:tcPr>
          <w:p w14:paraId="2B57F3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988" w:type="pct"/>
            <w:vMerge w:val="restart"/>
            <w:vAlign w:val="center"/>
          </w:tcPr>
          <w:p w14:paraId="0772306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轻度</w:t>
            </w:r>
          </w:p>
        </w:tc>
      </w:tr>
      <w:tr w14:paraId="78DC3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836" w:type="pct"/>
            <w:vMerge w:val="continue"/>
            <w:vAlign w:val="center"/>
          </w:tcPr>
          <w:p w14:paraId="48585D72">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385A92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rPr>
              <w:t>土地</w:t>
            </w:r>
            <w:r>
              <w:rPr>
                <w:rFonts w:hint="eastAsia" w:ascii="宋体" w:hAnsi="宋体" w:cs="宋体"/>
                <w:spacing w:val="2"/>
                <w:sz w:val="21"/>
                <w:szCs w:val="21"/>
                <w:lang w:val="en-US" w:eastAsia="zh-CN"/>
              </w:rPr>
              <w:t>损毁</w:t>
            </w:r>
          </w:p>
        </w:tc>
        <w:tc>
          <w:tcPr>
            <w:tcW w:w="670" w:type="pct"/>
            <w:vMerge w:val="continue"/>
            <w:vAlign w:val="center"/>
          </w:tcPr>
          <w:p w14:paraId="3F2A18BD">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46F2AEE3">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334D71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w:t>
            </w:r>
          </w:p>
        </w:tc>
        <w:tc>
          <w:tcPr>
            <w:tcW w:w="988" w:type="pct"/>
            <w:vMerge w:val="continue"/>
            <w:vAlign w:val="center"/>
          </w:tcPr>
          <w:p w14:paraId="6869EBC7">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r w14:paraId="154CB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36" w:type="pct"/>
            <w:vMerge w:val="continue"/>
            <w:vAlign w:val="center"/>
          </w:tcPr>
          <w:p w14:paraId="7E3ECCC9">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z w:val="21"/>
                <w:szCs w:val="21"/>
              </w:rPr>
            </w:pPr>
          </w:p>
        </w:tc>
        <w:tc>
          <w:tcPr>
            <w:tcW w:w="851" w:type="pct"/>
            <w:tcBorders>
              <w:right w:val="single" w:color="auto" w:sz="4" w:space="0"/>
            </w:tcBorders>
            <w:shd w:val="clear" w:color="auto" w:fill="auto"/>
            <w:vAlign w:val="center"/>
          </w:tcPr>
          <w:p w14:paraId="5F4480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生态受损与退化</w:t>
            </w:r>
          </w:p>
        </w:tc>
        <w:tc>
          <w:tcPr>
            <w:tcW w:w="670" w:type="pct"/>
            <w:vMerge w:val="continue"/>
            <w:vAlign w:val="center"/>
          </w:tcPr>
          <w:p w14:paraId="2B0EECE5">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4" w:type="pct"/>
            <w:vMerge w:val="continue"/>
            <w:vAlign w:val="center"/>
          </w:tcPr>
          <w:p w14:paraId="58118FAC">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c>
          <w:tcPr>
            <w:tcW w:w="827" w:type="pct"/>
            <w:tcBorders>
              <w:top w:val="single" w:color="auto" w:sz="4" w:space="0"/>
              <w:bottom w:val="single" w:color="auto" w:sz="4" w:space="0"/>
            </w:tcBorders>
            <w:vAlign w:val="center"/>
          </w:tcPr>
          <w:p w14:paraId="6696D4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rPr>
            </w:pPr>
            <w:r>
              <w:rPr>
                <w:rFonts w:hint="eastAsia" w:ascii="宋体" w:hAnsi="宋体" w:cs="宋体"/>
                <w:spacing w:val="2"/>
                <w:sz w:val="21"/>
                <w:szCs w:val="21"/>
                <w:lang w:val="en-US" w:eastAsia="zh-CN"/>
              </w:rPr>
              <w:t>轻度</w:t>
            </w:r>
          </w:p>
        </w:tc>
        <w:tc>
          <w:tcPr>
            <w:tcW w:w="988" w:type="pct"/>
            <w:vMerge w:val="continue"/>
            <w:vAlign w:val="center"/>
          </w:tcPr>
          <w:p w14:paraId="3FAB049E">
            <w:pPr>
              <w:pStyle w:val="10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spacing w:val="2"/>
                <w:sz w:val="21"/>
                <w:szCs w:val="21"/>
                <w:lang w:eastAsia="zh-CN"/>
              </w:rPr>
            </w:pPr>
          </w:p>
        </w:tc>
      </w:tr>
    </w:tbl>
    <w:p w14:paraId="2191019E">
      <w:pPr>
        <w:spacing w:line="360" w:lineRule="auto"/>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lang w:val="en-US" w:eastAsia="zh-CN"/>
        </w:rPr>
        <w:t>重度受损</w:t>
      </w:r>
      <w:r>
        <w:rPr>
          <w:rFonts w:hint="eastAsia"/>
          <w:sz w:val="28"/>
          <w:szCs w:val="28"/>
        </w:rPr>
        <w:t>区</w:t>
      </w:r>
    </w:p>
    <w:p w14:paraId="3DF55239">
      <w:pPr>
        <w:spacing w:line="360" w:lineRule="auto"/>
        <w:rPr>
          <w:rFonts w:hint="eastAsia"/>
          <w:sz w:val="28"/>
          <w:szCs w:val="28"/>
        </w:rPr>
      </w:pPr>
      <w:r>
        <w:rPr>
          <w:rFonts w:hint="eastAsia"/>
          <w:sz w:val="28"/>
          <w:szCs w:val="28"/>
          <w:lang w:val="en-US" w:eastAsia="zh-CN"/>
        </w:rPr>
        <w:t>重度受损区分为三个亚区，编号分别为A</w:t>
      </w:r>
      <w:r>
        <w:rPr>
          <w:rFonts w:hint="eastAsia"/>
          <w:sz w:val="28"/>
          <w:szCs w:val="28"/>
          <w:vertAlign w:val="subscript"/>
          <w:lang w:val="en-US" w:eastAsia="zh-CN"/>
        </w:rPr>
        <w:t>1</w:t>
      </w:r>
      <w:r>
        <w:rPr>
          <w:rFonts w:hint="eastAsia"/>
          <w:sz w:val="28"/>
          <w:szCs w:val="28"/>
          <w:lang w:val="en-US" w:eastAsia="zh-CN"/>
        </w:rPr>
        <w:t>、A</w:t>
      </w:r>
      <w:r>
        <w:rPr>
          <w:rFonts w:hint="eastAsia"/>
          <w:sz w:val="28"/>
          <w:szCs w:val="28"/>
          <w:vertAlign w:val="subscript"/>
          <w:lang w:val="en-US" w:eastAsia="zh-CN"/>
        </w:rPr>
        <w:t>2</w:t>
      </w:r>
      <w:r>
        <w:rPr>
          <w:rFonts w:hint="eastAsia"/>
          <w:sz w:val="28"/>
          <w:szCs w:val="28"/>
          <w:lang w:val="en-US" w:eastAsia="zh-CN"/>
        </w:rPr>
        <w:t>、A</w:t>
      </w:r>
      <w:r>
        <w:rPr>
          <w:rFonts w:hint="eastAsia"/>
          <w:sz w:val="28"/>
          <w:szCs w:val="28"/>
          <w:vertAlign w:val="subscript"/>
          <w:lang w:val="en-US" w:eastAsia="zh-CN"/>
        </w:rPr>
        <w:t>3</w:t>
      </w:r>
      <w:r>
        <w:rPr>
          <w:rFonts w:hint="eastAsia"/>
          <w:sz w:val="28"/>
          <w:szCs w:val="28"/>
          <w:vertAlign w:val="baseline"/>
          <w:lang w:val="en-US" w:eastAsia="zh-CN"/>
        </w:rPr>
        <w:t>，</w:t>
      </w:r>
      <w:r>
        <w:rPr>
          <w:rFonts w:hint="eastAsia"/>
          <w:sz w:val="28"/>
          <w:szCs w:val="28"/>
        </w:rPr>
        <w:t>为矿山开采</w:t>
      </w:r>
      <w:r>
        <w:rPr>
          <w:rFonts w:hint="eastAsia"/>
          <w:sz w:val="28"/>
          <w:szCs w:val="28"/>
          <w:lang w:val="en-US" w:eastAsia="zh-CN"/>
        </w:rPr>
        <w:t>露天采场（A</w:t>
      </w:r>
      <w:r>
        <w:rPr>
          <w:rFonts w:hint="eastAsia"/>
          <w:sz w:val="28"/>
          <w:szCs w:val="28"/>
          <w:vertAlign w:val="subscript"/>
          <w:lang w:val="en-US" w:eastAsia="zh-CN"/>
        </w:rPr>
        <w:t>1</w:t>
      </w:r>
      <w:r>
        <w:rPr>
          <w:rFonts w:hint="eastAsia"/>
          <w:sz w:val="28"/>
          <w:szCs w:val="28"/>
          <w:lang w:val="en-US" w:eastAsia="zh-CN"/>
        </w:rPr>
        <w:t>）</w:t>
      </w:r>
      <w:r>
        <w:rPr>
          <w:rFonts w:hint="eastAsia"/>
          <w:sz w:val="28"/>
          <w:szCs w:val="28"/>
        </w:rPr>
        <w:t>、</w:t>
      </w:r>
      <w:r>
        <w:rPr>
          <w:rFonts w:hint="eastAsia"/>
          <w:sz w:val="28"/>
          <w:szCs w:val="28"/>
          <w:lang w:val="en-US" w:eastAsia="zh-CN"/>
        </w:rPr>
        <w:t>历史采坑一（A</w:t>
      </w:r>
      <w:r>
        <w:rPr>
          <w:rFonts w:hint="eastAsia"/>
          <w:sz w:val="28"/>
          <w:szCs w:val="28"/>
          <w:vertAlign w:val="subscript"/>
          <w:lang w:val="en-US" w:eastAsia="zh-CN"/>
        </w:rPr>
        <w:t>2</w:t>
      </w:r>
      <w:r>
        <w:rPr>
          <w:rFonts w:hint="eastAsia"/>
          <w:sz w:val="28"/>
          <w:szCs w:val="28"/>
          <w:lang w:val="en-US" w:eastAsia="zh-CN"/>
        </w:rPr>
        <w:t>）、排土场（A</w:t>
      </w:r>
      <w:r>
        <w:rPr>
          <w:rFonts w:hint="eastAsia"/>
          <w:sz w:val="28"/>
          <w:szCs w:val="28"/>
          <w:vertAlign w:val="subscript"/>
          <w:lang w:val="en-US" w:eastAsia="zh-CN"/>
        </w:rPr>
        <w:t>3</w:t>
      </w:r>
      <w:r>
        <w:rPr>
          <w:rFonts w:hint="eastAsia"/>
          <w:sz w:val="28"/>
          <w:szCs w:val="28"/>
          <w:lang w:val="en-US" w:eastAsia="zh-CN"/>
        </w:rPr>
        <w:t>），面积共计12.8344hm</w:t>
      </w:r>
      <w:r>
        <w:rPr>
          <w:rFonts w:hint="eastAsia"/>
          <w:sz w:val="28"/>
          <w:szCs w:val="28"/>
          <w:vertAlign w:val="superscript"/>
          <w:lang w:val="en-US" w:eastAsia="zh-CN"/>
        </w:rPr>
        <w:t>2</w:t>
      </w:r>
      <w:r>
        <w:rPr>
          <w:rFonts w:hint="eastAsia"/>
          <w:sz w:val="28"/>
          <w:szCs w:val="28"/>
          <w:lang w:val="en-US" w:eastAsia="zh-CN"/>
        </w:rPr>
        <w:t>，占评估区总面积的51.62%</w:t>
      </w:r>
      <w:r>
        <w:rPr>
          <w:rFonts w:hint="eastAsia"/>
          <w:sz w:val="28"/>
          <w:szCs w:val="28"/>
        </w:rPr>
        <w:t>。</w:t>
      </w:r>
    </w:p>
    <w:p w14:paraId="56C44AA4">
      <w:pPr>
        <w:spacing w:line="360" w:lineRule="auto"/>
        <w:rPr>
          <w:rFonts w:hint="default"/>
          <w:sz w:val="28"/>
          <w:szCs w:val="28"/>
          <w:vertAlign w:val="baseline"/>
          <w:lang w:val="en-US" w:eastAsia="zh-CN"/>
        </w:rPr>
      </w:pPr>
      <w:r>
        <w:rPr>
          <w:rFonts w:hint="eastAsia"/>
          <w:sz w:val="28"/>
          <w:szCs w:val="28"/>
          <w:lang w:val="en-US" w:eastAsia="zh-CN"/>
        </w:rPr>
        <w:t>重度受损区A</w:t>
      </w:r>
      <w:r>
        <w:rPr>
          <w:rFonts w:hint="eastAsia"/>
          <w:sz w:val="28"/>
          <w:szCs w:val="28"/>
          <w:vertAlign w:val="subscript"/>
          <w:lang w:val="en-US" w:eastAsia="zh-CN"/>
        </w:rPr>
        <w:t>1</w:t>
      </w:r>
      <w:r>
        <w:rPr>
          <w:rFonts w:hint="eastAsia"/>
          <w:sz w:val="28"/>
          <w:szCs w:val="28"/>
          <w:vertAlign w:val="baseline"/>
          <w:lang w:val="en-US" w:eastAsia="zh-CN"/>
        </w:rPr>
        <w:t>为露天采场，面积为8.3331hm</w:t>
      </w:r>
      <w:r>
        <w:rPr>
          <w:rFonts w:hint="eastAsia"/>
          <w:sz w:val="28"/>
          <w:szCs w:val="28"/>
          <w:vertAlign w:val="superscript"/>
          <w:lang w:val="en-US" w:eastAsia="zh-CN"/>
        </w:rPr>
        <w:t>2</w:t>
      </w:r>
      <w:r>
        <w:rPr>
          <w:rFonts w:hint="eastAsia"/>
          <w:sz w:val="28"/>
          <w:szCs w:val="28"/>
          <w:vertAlign w:val="baseline"/>
          <w:lang w:val="en-US" w:eastAsia="zh-CN"/>
        </w:rPr>
        <w:t>，现状未损毁。预测地质环境问题受损程度重度，土地损毁程度重度，生态受损与退化程度重度。</w:t>
      </w:r>
    </w:p>
    <w:p w14:paraId="48F2014D">
      <w:pPr>
        <w:spacing w:line="360" w:lineRule="auto"/>
        <w:rPr>
          <w:rFonts w:hint="eastAsia"/>
          <w:sz w:val="28"/>
          <w:szCs w:val="28"/>
          <w:vertAlign w:val="baseline"/>
          <w:lang w:val="en-US" w:eastAsia="zh-CN"/>
        </w:rPr>
      </w:pPr>
      <w:r>
        <w:rPr>
          <w:rFonts w:hint="eastAsia"/>
          <w:sz w:val="28"/>
          <w:szCs w:val="28"/>
          <w:lang w:val="en-US" w:eastAsia="zh-CN"/>
        </w:rPr>
        <w:t>重度受损区A</w:t>
      </w:r>
      <w:r>
        <w:rPr>
          <w:rFonts w:hint="eastAsia"/>
          <w:sz w:val="28"/>
          <w:szCs w:val="28"/>
          <w:vertAlign w:val="subscript"/>
          <w:lang w:val="en-US" w:eastAsia="zh-CN"/>
        </w:rPr>
        <w:t>2</w:t>
      </w:r>
      <w:r>
        <w:rPr>
          <w:rFonts w:hint="eastAsia"/>
          <w:sz w:val="28"/>
          <w:szCs w:val="28"/>
          <w:vertAlign w:val="baseline"/>
          <w:lang w:val="en-US" w:eastAsia="zh-CN"/>
        </w:rPr>
        <w:t>为历史采坑一，面积为2.0378hm</w:t>
      </w:r>
      <w:r>
        <w:rPr>
          <w:rFonts w:hint="eastAsia"/>
          <w:sz w:val="28"/>
          <w:szCs w:val="28"/>
          <w:vertAlign w:val="superscript"/>
          <w:lang w:val="en-US" w:eastAsia="zh-CN"/>
        </w:rPr>
        <w:t>2</w:t>
      </w:r>
      <w:r>
        <w:rPr>
          <w:rFonts w:hint="eastAsia"/>
          <w:sz w:val="28"/>
          <w:szCs w:val="28"/>
          <w:vertAlign w:val="baseline"/>
          <w:lang w:val="en-US" w:eastAsia="zh-CN"/>
        </w:rPr>
        <w:t>，现状地质环境问题受损程度重度，土地损毁程度重度，生态受损与退化程度重度。预测地质环境问题受损程度重度，土地损毁程度重度，生态受损与退化程度中度。</w:t>
      </w:r>
    </w:p>
    <w:p w14:paraId="18A1A883">
      <w:pPr>
        <w:spacing w:line="360" w:lineRule="auto"/>
        <w:rPr>
          <w:rFonts w:hint="eastAsia"/>
          <w:sz w:val="28"/>
          <w:szCs w:val="28"/>
          <w:lang w:eastAsia="zh-CN"/>
        </w:rPr>
      </w:pPr>
      <w:r>
        <w:rPr>
          <w:rFonts w:hint="eastAsia"/>
          <w:sz w:val="28"/>
          <w:szCs w:val="28"/>
          <w:lang w:val="en-US" w:eastAsia="zh-CN"/>
        </w:rPr>
        <w:t>重度受损区A</w:t>
      </w:r>
      <w:r>
        <w:rPr>
          <w:rFonts w:hint="eastAsia"/>
          <w:sz w:val="28"/>
          <w:szCs w:val="28"/>
          <w:vertAlign w:val="subscript"/>
          <w:lang w:val="en-US" w:eastAsia="zh-CN"/>
        </w:rPr>
        <w:t>3</w:t>
      </w:r>
      <w:r>
        <w:rPr>
          <w:rFonts w:hint="eastAsia"/>
          <w:sz w:val="28"/>
          <w:szCs w:val="28"/>
          <w:vertAlign w:val="baseline"/>
          <w:lang w:val="en-US" w:eastAsia="zh-CN"/>
        </w:rPr>
        <w:t>为排土场，面积为2.4635hm</w:t>
      </w:r>
      <w:r>
        <w:rPr>
          <w:rFonts w:hint="eastAsia"/>
          <w:sz w:val="28"/>
          <w:szCs w:val="28"/>
          <w:vertAlign w:val="superscript"/>
          <w:lang w:val="en-US" w:eastAsia="zh-CN"/>
        </w:rPr>
        <w:t>2</w:t>
      </w:r>
      <w:r>
        <w:rPr>
          <w:rFonts w:hint="eastAsia"/>
          <w:sz w:val="28"/>
          <w:szCs w:val="28"/>
          <w:vertAlign w:val="baseline"/>
          <w:lang w:val="en-US" w:eastAsia="zh-CN"/>
        </w:rPr>
        <w:t>，现状地质环境问题受损程度重度，土地损毁程度重度，生态受损与退化程度重度。预测地质环境问题受损程度重度，土地损毁程度中度，生态受损与退化程度中度。</w:t>
      </w:r>
    </w:p>
    <w:p w14:paraId="6ABB3785">
      <w:pPr>
        <w:spacing w:line="360" w:lineRule="auto"/>
        <w:rPr>
          <w:rFonts w:hint="eastAsia"/>
          <w:sz w:val="28"/>
          <w:szCs w:val="28"/>
        </w:rPr>
      </w:pPr>
      <w:r>
        <w:rPr>
          <w:rFonts w:hint="eastAsia"/>
          <w:sz w:val="28"/>
          <w:szCs w:val="28"/>
        </w:rPr>
        <w:t>根据现状评估与预测评估结果，将本区划分为重度生态受损区，应采用相应工程措施、生物措施和监测措施等对该区进行生态修复。</w:t>
      </w:r>
    </w:p>
    <w:p w14:paraId="654A2CDC">
      <w:pPr>
        <w:spacing w:line="360" w:lineRule="auto"/>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lang w:val="en-US" w:eastAsia="zh-CN"/>
        </w:rPr>
        <w:t>中度受损</w:t>
      </w:r>
      <w:r>
        <w:rPr>
          <w:rFonts w:hint="eastAsia"/>
          <w:sz w:val="28"/>
          <w:szCs w:val="28"/>
        </w:rPr>
        <w:t>区</w:t>
      </w:r>
    </w:p>
    <w:p w14:paraId="01EAD7A6">
      <w:pPr>
        <w:spacing w:line="360" w:lineRule="auto"/>
        <w:rPr>
          <w:rFonts w:hint="eastAsia"/>
          <w:sz w:val="28"/>
          <w:szCs w:val="28"/>
        </w:rPr>
      </w:pPr>
      <w:r>
        <w:rPr>
          <w:rFonts w:hint="eastAsia"/>
          <w:sz w:val="28"/>
          <w:szCs w:val="28"/>
          <w:lang w:val="en-US" w:eastAsia="zh-CN"/>
        </w:rPr>
        <w:t>中度受损区分为五个亚区，编号分别为B</w:t>
      </w:r>
      <w:r>
        <w:rPr>
          <w:rFonts w:hint="eastAsia"/>
          <w:sz w:val="28"/>
          <w:szCs w:val="28"/>
          <w:vertAlign w:val="subscript"/>
          <w:lang w:val="en-US" w:eastAsia="zh-CN"/>
        </w:rPr>
        <w:t>1</w:t>
      </w:r>
      <w:r>
        <w:rPr>
          <w:rFonts w:hint="eastAsia"/>
          <w:sz w:val="28"/>
          <w:szCs w:val="28"/>
          <w:lang w:val="en-US" w:eastAsia="zh-CN"/>
        </w:rPr>
        <w:t>、B</w:t>
      </w:r>
      <w:r>
        <w:rPr>
          <w:rFonts w:hint="eastAsia"/>
          <w:sz w:val="28"/>
          <w:szCs w:val="28"/>
          <w:vertAlign w:val="subscript"/>
          <w:lang w:val="en-US" w:eastAsia="zh-CN"/>
        </w:rPr>
        <w:t>2</w:t>
      </w:r>
      <w:r>
        <w:rPr>
          <w:rFonts w:hint="eastAsia"/>
          <w:sz w:val="28"/>
          <w:szCs w:val="28"/>
          <w:lang w:val="en-US" w:eastAsia="zh-CN"/>
        </w:rPr>
        <w:t>、B</w:t>
      </w:r>
      <w:r>
        <w:rPr>
          <w:rFonts w:hint="eastAsia"/>
          <w:sz w:val="28"/>
          <w:szCs w:val="28"/>
          <w:vertAlign w:val="subscript"/>
          <w:lang w:val="en-US" w:eastAsia="zh-CN"/>
        </w:rPr>
        <w:t>3</w:t>
      </w:r>
      <w:r>
        <w:rPr>
          <w:rFonts w:hint="eastAsia"/>
          <w:sz w:val="28"/>
          <w:szCs w:val="28"/>
          <w:vertAlign w:val="baseline"/>
          <w:lang w:val="en-US" w:eastAsia="zh-CN"/>
        </w:rPr>
        <w:t>、</w:t>
      </w:r>
      <w:r>
        <w:rPr>
          <w:rFonts w:hint="eastAsia"/>
          <w:sz w:val="28"/>
          <w:szCs w:val="28"/>
          <w:lang w:val="en-US" w:eastAsia="zh-CN"/>
        </w:rPr>
        <w:t>B</w:t>
      </w:r>
      <w:r>
        <w:rPr>
          <w:rFonts w:hint="eastAsia"/>
          <w:sz w:val="28"/>
          <w:szCs w:val="28"/>
          <w:vertAlign w:val="subscript"/>
          <w:lang w:val="en-US" w:eastAsia="zh-CN"/>
        </w:rPr>
        <w:t>4</w:t>
      </w:r>
      <w:r>
        <w:rPr>
          <w:rFonts w:hint="eastAsia"/>
          <w:sz w:val="28"/>
          <w:szCs w:val="28"/>
          <w:lang w:val="en-US" w:eastAsia="zh-CN"/>
        </w:rPr>
        <w:t>、B</w:t>
      </w:r>
      <w:r>
        <w:rPr>
          <w:rFonts w:hint="eastAsia"/>
          <w:sz w:val="28"/>
          <w:szCs w:val="28"/>
          <w:vertAlign w:val="subscript"/>
          <w:lang w:val="en-US" w:eastAsia="zh-CN"/>
        </w:rPr>
        <w:t>5</w:t>
      </w:r>
      <w:r>
        <w:rPr>
          <w:rFonts w:hint="eastAsia"/>
          <w:sz w:val="28"/>
          <w:szCs w:val="28"/>
          <w:vertAlign w:val="baseline"/>
          <w:lang w:val="en-US" w:eastAsia="zh-CN"/>
        </w:rPr>
        <w:t>，</w:t>
      </w:r>
      <w:r>
        <w:rPr>
          <w:rFonts w:hint="eastAsia"/>
          <w:sz w:val="28"/>
          <w:szCs w:val="28"/>
        </w:rPr>
        <w:t>为矿</w:t>
      </w:r>
      <w:r>
        <w:rPr>
          <w:rFonts w:hint="eastAsia"/>
          <w:sz w:val="28"/>
          <w:szCs w:val="28"/>
          <w:lang w:val="en-US" w:eastAsia="zh-CN"/>
        </w:rPr>
        <w:t>区复垦用土临时堆场（B</w:t>
      </w:r>
      <w:r>
        <w:rPr>
          <w:rFonts w:hint="eastAsia"/>
          <w:sz w:val="28"/>
          <w:szCs w:val="28"/>
          <w:vertAlign w:val="subscript"/>
          <w:lang w:val="en-US" w:eastAsia="zh-CN"/>
        </w:rPr>
        <w:t>1</w:t>
      </w:r>
      <w:r>
        <w:rPr>
          <w:rFonts w:hint="eastAsia"/>
          <w:sz w:val="28"/>
          <w:szCs w:val="28"/>
          <w:lang w:val="en-US" w:eastAsia="zh-CN"/>
        </w:rPr>
        <w:t>）</w:t>
      </w:r>
      <w:r>
        <w:rPr>
          <w:rFonts w:hint="eastAsia"/>
          <w:sz w:val="28"/>
          <w:szCs w:val="28"/>
        </w:rPr>
        <w:t>、</w:t>
      </w:r>
      <w:r>
        <w:rPr>
          <w:rFonts w:hint="eastAsia"/>
          <w:sz w:val="28"/>
          <w:szCs w:val="28"/>
          <w:lang w:val="en-US" w:eastAsia="zh-CN"/>
        </w:rPr>
        <w:t>破碎站（B</w:t>
      </w:r>
      <w:r>
        <w:rPr>
          <w:rFonts w:hint="eastAsia"/>
          <w:sz w:val="28"/>
          <w:szCs w:val="28"/>
          <w:vertAlign w:val="subscript"/>
          <w:lang w:val="en-US" w:eastAsia="zh-CN"/>
        </w:rPr>
        <w:t>2</w:t>
      </w:r>
      <w:r>
        <w:rPr>
          <w:rFonts w:hint="eastAsia"/>
          <w:sz w:val="28"/>
          <w:szCs w:val="28"/>
          <w:lang w:val="en-US" w:eastAsia="zh-CN"/>
        </w:rPr>
        <w:t>）、原破碎站及废石堆场（B</w:t>
      </w:r>
      <w:r>
        <w:rPr>
          <w:rFonts w:hint="eastAsia"/>
          <w:sz w:val="28"/>
          <w:szCs w:val="28"/>
          <w:vertAlign w:val="subscript"/>
          <w:lang w:val="en-US" w:eastAsia="zh-CN"/>
        </w:rPr>
        <w:t>3</w:t>
      </w:r>
      <w:r>
        <w:rPr>
          <w:rFonts w:hint="eastAsia"/>
          <w:sz w:val="28"/>
          <w:szCs w:val="28"/>
          <w:lang w:val="en-US" w:eastAsia="zh-CN"/>
        </w:rPr>
        <w:t>）、办公生活区（B</w:t>
      </w:r>
      <w:r>
        <w:rPr>
          <w:rFonts w:hint="eastAsia"/>
          <w:sz w:val="28"/>
          <w:szCs w:val="28"/>
          <w:vertAlign w:val="subscript"/>
          <w:lang w:val="en-US" w:eastAsia="zh-CN"/>
        </w:rPr>
        <w:t>4</w:t>
      </w:r>
      <w:r>
        <w:rPr>
          <w:rFonts w:hint="eastAsia"/>
          <w:sz w:val="28"/>
          <w:szCs w:val="28"/>
          <w:lang w:val="en-US" w:eastAsia="zh-CN"/>
        </w:rPr>
        <w:t>）、原综合服务区（B</w:t>
      </w:r>
      <w:r>
        <w:rPr>
          <w:rFonts w:hint="eastAsia"/>
          <w:sz w:val="28"/>
          <w:szCs w:val="28"/>
          <w:vertAlign w:val="subscript"/>
          <w:lang w:val="en-US" w:eastAsia="zh-CN"/>
        </w:rPr>
        <w:t>5</w:t>
      </w:r>
      <w:r>
        <w:rPr>
          <w:rFonts w:hint="eastAsia"/>
          <w:sz w:val="28"/>
          <w:szCs w:val="28"/>
          <w:lang w:val="en-US" w:eastAsia="zh-CN"/>
        </w:rPr>
        <w:t>），面积共计5.1027hm</w:t>
      </w:r>
      <w:r>
        <w:rPr>
          <w:rFonts w:hint="eastAsia"/>
          <w:sz w:val="28"/>
          <w:szCs w:val="28"/>
          <w:vertAlign w:val="superscript"/>
          <w:lang w:val="en-US" w:eastAsia="zh-CN"/>
        </w:rPr>
        <w:t>2</w:t>
      </w:r>
      <w:r>
        <w:rPr>
          <w:rFonts w:hint="eastAsia"/>
          <w:sz w:val="28"/>
          <w:szCs w:val="28"/>
          <w:lang w:val="en-US" w:eastAsia="zh-CN"/>
        </w:rPr>
        <w:t>，占评估区总面积的20.52%</w:t>
      </w:r>
      <w:r>
        <w:rPr>
          <w:rFonts w:hint="eastAsia"/>
          <w:sz w:val="28"/>
          <w:szCs w:val="28"/>
        </w:rPr>
        <w:t>。</w:t>
      </w:r>
    </w:p>
    <w:p w14:paraId="00B59D25">
      <w:pPr>
        <w:spacing w:line="360" w:lineRule="auto"/>
        <w:rPr>
          <w:rFonts w:hint="default"/>
          <w:sz w:val="28"/>
          <w:szCs w:val="28"/>
          <w:vertAlign w:val="baseline"/>
          <w:lang w:val="en-US" w:eastAsia="zh-CN"/>
        </w:rPr>
      </w:pPr>
      <w:r>
        <w:rPr>
          <w:rFonts w:hint="eastAsia"/>
          <w:sz w:val="28"/>
          <w:szCs w:val="28"/>
          <w:lang w:val="en-US" w:eastAsia="zh-CN"/>
        </w:rPr>
        <w:t>中度受损区B</w:t>
      </w:r>
      <w:r>
        <w:rPr>
          <w:rFonts w:hint="eastAsia"/>
          <w:sz w:val="28"/>
          <w:szCs w:val="28"/>
          <w:vertAlign w:val="subscript"/>
          <w:lang w:val="en-US" w:eastAsia="zh-CN"/>
        </w:rPr>
        <w:t>1</w:t>
      </w:r>
      <w:r>
        <w:rPr>
          <w:rFonts w:hint="eastAsia"/>
          <w:sz w:val="28"/>
          <w:szCs w:val="28"/>
          <w:vertAlign w:val="baseline"/>
          <w:lang w:val="en-US" w:eastAsia="zh-CN"/>
        </w:rPr>
        <w:t>为</w:t>
      </w:r>
      <w:r>
        <w:rPr>
          <w:rFonts w:hint="eastAsia"/>
          <w:sz w:val="28"/>
          <w:szCs w:val="28"/>
          <w:lang w:val="en-US" w:eastAsia="zh-CN"/>
        </w:rPr>
        <w:t>复垦用土临时堆场</w:t>
      </w:r>
      <w:r>
        <w:rPr>
          <w:rFonts w:hint="eastAsia"/>
          <w:sz w:val="28"/>
          <w:szCs w:val="28"/>
          <w:vertAlign w:val="baseline"/>
          <w:lang w:val="en-US" w:eastAsia="zh-CN"/>
        </w:rPr>
        <w:t>，面积为1.4921hm</w:t>
      </w:r>
      <w:r>
        <w:rPr>
          <w:rFonts w:hint="eastAsia"/>
          <w:sz w:val="28"/>
          <w:szCs w:val="28"/>
          <w:vertAlign w:val="superscript"/>
          <w:lang w:val="en-US" w:eastAsia="zh-CN"/>
        </w:rPr>
        <w:t>2</w:t>
      </w:r>
      <w:r>
        <w:rPr>
          <w:rFonts w:hint="eastAsia"/>
          <w:sz w:val="28"/>
          <w:szCs w:val="28"/>
          <w:vertAlign w:val="baseline"/>
          <w:lang w:val="en-US" w:eastAsia="zh-CN"/>
        </w:rPr>
        <w:t>，现状未损毁。预测地质环境问题受损程度中度，土地损毁程度中度，生态受损与退化程度中度。</w:t>
      </w:r>
    </w:p>
    <w:p w14:paraId="36D3218D">
      <w:pPr>
        <w:spacing w:line="360" w:lineRule="auto"/>
        <w:rPr>
          <w:rFonts w:hint="eastAsia"/>
          <w:sz w:val="28"/>
          <w:szCs w:val="28"/>
          <w:vertAlign w:val="baseline"/>
          <w:lang w:val="en-US" w:eastAsia="zh-CN"/>
        </w:rPr>
      </w:pPr>
      <w:r>
        <w:rPr>
          <w:rFonts w:hint="eastAsia"/>
          <w:sz w:val="28"/>
          <w:szCs w:val="28"/>
          <w:lang w:val="en-US" w:eastAsia="zh-CN"/>
        </w:rPr>
        <w:t>中度受损区B</w:t>
      </w:r>
      <w:r>
        <w:rPr>
          <w:rFonts w:hint="eastAsia"/>
          <w:sz w:val="28"/>
          <w:szCs w:val="28"/>
          <w:vertAlign w:val="subscript"/>
          <w:lang w:val="en-US" w:eastAsia="zh-CN"/>
        </w:rPr>
        <w:t>2</w:t>
      </w:r>
      <w:r>
        <w:rPr>
          <w:rFonts w:hint="eastAsia"/>
          <w:sz w:val="28"/>
          <w:szCs w:val="28"/>
          <w:vertAlign w:val="baseline"/>
          <w:lang w:val="en-US" w:eastAsia="zh-CN"/>
        </w:rPr>
        <w:t>为</w:t>
      </w:r>
      <w:r>
        <w:rPr>
          <w:rFonts w:hint="eastAsia"/>
          <w:sz w:val="28"/>
          <w:szCs w:val="28"/>
          <w:lang w:val="en-US" w:eastAsia="zh-CN"/>
        </w:rPr>
        <w:t>破碎站</w:t>
      </w:r>
      <w:r>
        <w:rPr>
          <w:rFonts w:hint="eastAsia"/>
          <w:sz w:val="28"/>
          <w:szCs w:val="28"/>
          <w:vertAlign w:val="baseline"/>
          <w:lang w:val="en-US" w:eastAsia="zh-CN"/>
        </w:rPr>
        <w:t>，面积为0.6052hm</w:t>
      </w:r>
      <w:r>
        <w:rPr>
          <w:rFonts w:hint="eastAsia"/>
          <w:sz w:val="28"/>
          <w:szCs w:val="28"/>
          <w:vertAlign w:val="superscript"/>
          <w:lang w:val="en-US" w:eastAsia="zh-CN"/>
        </w:rPr>
        <w:t>2</w:t>
      </w:r>
      <w:r>
        <w:rPr>
          <w:rFonts w:hint="eastAsia"/>
          <w:sz w:val="28"/>
          <w:szCs w:val="28"/>
          <w:vertAlign w:val="baseline"/>
          <w:lang w:val="en-US" w:eastAsia="zh-CN"/>
        </w:rPr>
        <w:t>，现状未损毁。预测地质环境问题受损程度中度，土地损毁程度中度，生态受损与退化程度中度。</w:t>
      </w:r>
    </w:p>
    <w:p w14:paraId="3469F398">
      <w:pPr>
        <w:spacing w:line="360" w:lineRule="auto"/>
        <w:rPr>
          <w:rFonts w:hint="default"/>
          <w:sz w:val="28"/>
          <w:szCs w:val="28"/>
          <w:vertAlign w:val="baseline"/>
          <w:lang w:val="en-US" w:eastAsia="zh-CN"/>
        </w:rPr>
      </w:pPr>
      <w:r>
        <w:rPr>
          <w:rFonts w:hint="eastAsia"/>
          <w:sz w:val="28"/>
          <w:szCs w:val="28"/>
          <w:lang w:val="en-US" w:eastAsia="zh-CN"/>
        </w:rPr>
        <w:t>中度受损区B</w:t>
      </w:r>
      <w:r>
        <w:rPr>
          <w:rFonts w:hint="eastAsia"/>
          <w:sz w:val="28"/>
          <w:szCs w:val="28"/>
          <w:vertAlign w:val="subscript"/>
          <w:lang w:val="en-US" w:eastAsia="zh-CN"/>
        </w:rPr>
        <w:t>3</w:t>
      </w:r>
      <w:r>
        <w:rPr>
          <w:rFonts w:hint="eastAsia"/>
          <w:sz w:val="28"/>
          <w:szCs w:val="28"/>
          <w:vertAlign w:val="baseline"/>
          <w:lang w:val="en-US" w:eastAsia="zh-CN"/>
        </w:rPr>
        <w:t>为</w:t>
      </w:r>
      <w:r>
        <w:rPr>
          <w:rFonts w:hint="eastAsia"/>
          <w:sz w:val="28"/>
          <w:szCs w:val="28"/>
          <w:lang w:val="en-US" w:eastAsia="zh-CN"/>
        </w:rPr>
        <w:t>原破碎站及废石堆场</w:t>
      </w:r>
      <w:r>
        <w:rPr>
          <w:rFonts w:hint="eastAsia"/>
          <w:sz w:val="28"/>
          <w:szCs w:val="28"/>
          <w:vertAlign w:val="baseline"/>
          <w:lang w:val="en-US" w:eastAsia="zh-CN"/>
        </w:rPr>
        <w:t>，面积为2.2880hm</w:t>
      </w:r>
      <w:r>
        <w:rPr>
          <w:rFonts w:hint="eastAsia"/>
          <w:sz w:val="28"/>
          <w:szCs w:val="28"/>
          <w:vertAlign w:val="superscript"/>
          <w:lang w:val="en-US" w:eastAsia="zh-CN"/>
        </w:rPr>
        <w:t>2</w:t>
      </w:r>
      <w:r>
        <w:rPr>
          <w:rFonts w:hint="eastAsia"/>
          <w:sz w:val="28"/>
          <w:szCs w:val="28"/>
          <w:vertAlign w:val="baseline"/>
          <w:lang w:val="en-US" w:eastAsia="zh-CN"/>
        </w:rPr>
        <w:t>，现状地质环境问题受损程度中度，土地损毁程度中度，生态受损与退化程度中度。预测地质环境问题受损程度中度，土地损毁程度中度，生态受损与退化程度中度。</w:t>
      </w:r>
    </w:p>
    <w:p w14:paraId="5C759055">
      <w:pPr>
        <w:spacing w:line="360" w:lineRule="auto"/>
        <w:rPr>
          <w:rFonts w:hint="default"/>
          <w:sz w:val="28"/>
          <w:szCs w:val="28"/>
          <w:vertAlign w:val="baseline"/>
          <w:lang w:val="en-US" w:eastAsia="zh-CN"/>
        </w:rPr>
      </w:pPr>
      <w:r>
        <w:rPr>
          <w:rFonts w:hint="eastAsia"/>
          <w:sz w:val="28"/>
          <w:szCs w:val="28"/>
          <w:lang w:val="en-US" w:eastAsia="zh-CN"/>
        </w:rPr>
        <w:t>中度受损区B</w:t>
      </w:r>
      <w:r>
        <w:rPr>
          <w:rFonts w:hint="eastAsia"/>
          <w:sz w:val="28"/>
          <w:szCs w:val="28"/>
          <w:vertAlign w:val="subscript"/>
          <w:lang w:val="en-US" w:eastAsia="zh-CN"/>
        </w:rPr>
        <w:t>4</w:t>
      </w:r>
      <w:r>
        <w:rPr>
          <w:rFonts w:hint="eastAsia"/>
          <w:sz w:val="28"/>
          <w:szCs w:val="28"/>
          <w:vertAlign w:val="baseline"/>
          <w:lang w:val="en-US" w:eastAsia="zh-CN"/>
        </w:rPr>
        <w:t>为</w:t>
      </w:r>
      <w:r>
        <w:rPr>
          <w:rFonts w:hint="eastAsia"/>
          <w:sz w:val="28"/>
          <w:szCs w:val="28"/>
          <w:lang w:val="en-US" w:eastAsia="zh-CN"/>
        </w:rPr>
        <w:t>办公生活区</w:t>
      </w:r>
      <w:r>
        <w:rPr>
          <w:rFonts w:hint="eastAsia"/>
          <w:sz w:val="28"/>
          <w:szCs w:val="28"/>
          <w:vertAlign w:val="baseline"/>
          <w:lang w:val="en-US" w:eastAsia="zh-CN"/>
        </w:rPr>
        <w:t>，面积为0.3463hm</w:t>
      </w:r>
      <w:r>
        <w:rPr>
          <w:rFonts w:hint="eastAsia"/>
          <w:sz w:val="28"/>
          <w:szCs w:val="28"/>
          <w:vertAlign w:val="superscript"/>
          <w:lang w:val="en-US" w:eastAsia="zh-CN"/>
        </w:rPr>
        <w:t>2</w:t>
      </w:r>
      <w:r>
        <w:rPr>
          <w:rFonts w:hint="eastAsia"/>
          <w:sz w:val="28"/>
          <w:szCs w:val="28"/>
          <w:vertAlign w:val="baseline"/>
          <w:lang w:val="en-US" w:eastAsia="zh-CN"/>
        </w:rPr>
        <w:t>，现状地质环境问题受损程度中度，土地损毁程度中度，生态受损与退化程度中度。预测地质环境问题受损程度中度，土地损毁程度中度，生态受损与退化程度中度。</w:t>
      </w:r>
    </w:p>
    <w:p w14:paraId="051AA9E5">
      <w:pPr>
        <w:spacing w:line="360" w:lineRule="auto"/>
        <w:rPr>
          <w:rFonts w:hint="eastAsia"/>
          <w:sz w:val="28"/>
          <w:szCs w:val="28"/>
        </w:rPr>
      </w:pPr>
      <w:r>
        <w:rPr>
          <w:rFonts w:hint="eastAsia"/>
          <w:sz w:val="28"/>
          <w:szCs w:val="28"/>
          <w:lang w:val="en-US" w:eastAsia="zh-CN"/>
        </w:rPr>
        <w:t>中度受损区B</w:t>
      </w:r>
      <w:r>
        <w:rPr>
          <w:rFonts w:hint="eastAsia"/>
          <w:sz w:val="28"/>
          <w:szCs w:val="28"/>
          <w:vertAlign w:val="subscript"/>
          <w:lang w:val="en-US" w:eastAsia="zh-CN"/>
        </w:rPr>
        <w:t>5</w:t>
      </w:r>
      <w:r>
        <w:rPr>
          <w:rFonts w:hint="eastAsia"/>
          <w:sz w:val="28"/>
          <w:szCs w:val="28"/>
          <w:vertAlign w:val="baseline"/>
          <w:lang w:val="en-US" w:eastAsia="zh-CN"/>
        </w:rPr>
        <w:t>为</w:t>
      </w:r>
      <w:r>
        <w:rPr>
          <w:rFonts w:hint="eastAsia"/>
          <w:sz w:val="28"/>
          <w:szCs w:val="28"/>
          <w:lang w:val="en-US" w:eastAsia="zh-CN"/>
        </w:rPr>
        <w:t>原综合服务区</w:t>
      </w:r>
      <w:r>
        <w:rPr>
          <w:rFonts w:hint="eastAsia"/>
          <w:sz w:val="28"/>
          <w:szCs w:val="28"/>
          <w:vertAlign w:val="baseline"/>
          <w:lang w:val="en-US" w:eastAsia="zh-CN"/>
        </w:rPr>
        <w:t>，面积为0.3711hm</w:t>
      </w:r>
      <w:r>
        <w:rPr>
          <w:rFonts w:hint="eastAsia"/>
          <w:sz w:val="28"/>
          <w:szCs w:val="28"/>
          <w:vertAlign w:val="superscript"/>
          <w:lang w:val="en-US" w:eastAsia="zh-CN"/>
        </w:rPr>
        <w:t>2</w:t>
      </w:r>
      <w:r>
        <w:rPr>
          <w:rFonts w:hint="eastAsia"/>
          <w:sz w:val="28"/>
          <w:szCs w:val="28"/>
          <w:vertAlign w:val="baseline"/>
          <w:lang w:val="en-US" w:eastAsia="zh-CN"/>
        </w:rPr>
        <w:t>，现状地质环境问题受损程度中度，土地损毁程度中度，生态受损与退化程度中度。预测地质环境问题受损程度中度，土地损毁程度中度，生态受损与退化程度中度。</w:t>
      </w:r>
    </w:p>
    <w:p w14:paraId="618794B8">
      <w:pPr>
        <w:spacing w:line="360" w:lineRule="auto"/>
        <w:rPr>
          <w:rFonts w:hint="eastAsia"/>
          <w:sz w:val="28"/>
          <w:szCs w:val="28"/>
        </w:rPr>
      </w:pPr>
      <w:r>
        <w:rPr>
          <w:rFonts w:hint="eastAsia"/>
          <w:sz w:val="28"/>
          <w:szCs w:val="28"/>
        </w:rPr>
        <w:t>根据现状评估与预测评估结果，将本区划分为</w:t>
      </w:r>
      <w:r>
        <w:rPr>
          <w:rFonts w:hint="eastAsia"/>
          <w:sz w:val="28"/>
          <w:szCs w:val="28"/>
          <w:lang w:val="en-US" w:eastAsia="zh-CN"/>
        </w:rPr>
        <w:t>中</w:t>
      </w:r>
      <w:r>
        <w:rPr>
          <w:rFonts w:hint="eastAsia"/>
          <w:sz w:val="28"/>
          <w:szCs w:val="28"/>
        </w:rPr>
        <w:t>度生态受损区，应采用相应工程措施、生物措施和监测措施等对该区进行生态修复。</w:t>
      </w:r>
    </w:p>
    <w:p w14:paraId="6E05CFD5">
      <w:pPr>
        <w:spacing w:line="360" w:lineRule="auto"/>
        <w:rPr>
          <w:sz w:val="28"/>
          <w:szCs w:val="28"/>
        </w:rPr>
      </w:pPr>
      <w:r>
        <w:rPr>
          <w:rFonts w:hint="eastAsia"/>
          <w:sz w:val="28"/>
          <w:szCs w:val="28"/>
          <w:lang w:val="en-US" w:eastAsia="zh-CN"/>
        </w:rPr>
        <w:t>（3）轻度受损</w:t>
      </w:r>
      <w:r>
        <w:rPr>
          <w:rFonts w:hint="eastAsia"/>
          <w:sz w:val="28"/>
          <w:szCs w:val="28"/>
        </w:rPr>
        <w:t>区</w:t>
      </w:r>
    </w:p>
    <w:p w14:paraId="1D0DA99A">
      <w:pPr>
        <w:spacing w:line="360" w:lineRule="auto"/>
        <w:jc w:val="left"/>
        <w:rPr>
          <w:rFonts w:hint="eastAsia"/>
          <w:sz w:val="28"/>
          <w:szCs w:val="28"/>
          <w:lang w:val="en-US" w:eastAsia="zh-CN"/>
        </w:rPr>
      </w:pPr>
      <w:r>
        <w:rPr>
          <w:rFonts w:hint="eastAsia"/>
          <w:sz w:val="28"/>
          <w:szCs w:val="28"/>
          <w:lang w:val="en-US" w:eastAsia="zh-CN"/>
        </w:rPr>
        <w:t>为受现状影响区及预测开采、基建影响区域以外的其他外围区域（C），采矿活动对该区的影响较小，为轻度受损区，面积6.9269hm</w:t>
      </w:r>
      <w:r>
        <w:rPr>
          <w:rFonts w:hint="eastAsia"/>
          <w:sz w:val="28"/>
          <w:szCs w:val="28"/>
          <w:vertAlign w:val="superscript"/>
          <w:lang w:val="en-US" w:eastAsia="zh-CN"/>
        </w:rPr>
        <w:t>2</w:t>
      </w:r>
      <w:r>
        <w:rPr>
          <w:rFonts w:hint="eastAsia"/>
          <w:sz w:val="28"/>
          <w:szCs w:val="28"/>
          <w:lang w:val="en-US" w:eastAsia="zh-CN"/>
        </w:rPr>
        <w:t>，占评估区面积的27.86%。</w:t>
      </w:r>
    </w:p>
    <w:p w14:paraId="592DB54D">
      <w:pPr>
        <w:spacing w:line="360" w:lineRule="auto"/>
        <w:jc w:val="left"/>
        <w:rPr>
          <w:rFonts w:hint="eastAsia"/>
          <w:sz w:val="28"/>
          <w:szCs w:val="28"/>
          <w:lang w:val="en-US" w:eastAsia="zh-CN"/>
        </w:rPr>
      </w:pPr>
      <w:r>
        <w:rPr>
          <w:rFonts w:hint="eastAsia"/>
          <w:sz w:val="28"/>
          <w:szCs w:val="28"/>
          <w:lang w:val="en-US" w:eastAsia="zh-CN"/>
        </w:rPr>
        <w:t>根据现状评估与预测评估结果，将本区划分为轻度生态受损区，应采用相应监测措施等对该区进行生态修复。</w:t>
      </w:r>
    </w:p>
    <w:bookmarkEnd w:id="281"/>
    <w:bookmarkEnd w:id="282"/>
    <w:bookmarkEnd w:id="283"/>
    <w:bookmarkEnd w:id="284"/>
    <w:bookmarkEnd w:id="285"/>
    <w:p w14:paraId="6A214D3B">
      <w:pPr>
        <w:pStyle w:val="5"/>
        <w:spacing w:before="263" w:after="263"/>
        <w:rPr>
          <w:rFonts w:hint="eastAsia" w:ascii="宋体" w:hAnsi="宋体" w:eastAsia="宋体" w:cs="宋体"/>
          <w:b/>
          <w:bCs w:val="0"/>
        </w:rPr>
      </w:pPr>
      <w:bookmarkStart w:id="288" w:name="_Toc46047446"/>
      <w:bookmarkStart w:id="289" w:name="_Toc24577_WPSOffice_Level2"/>
      <w:bookmarkStart w:id="290" w:name="_Toc5820_WPSOffice_Level2"/>
      <w:bookmarkStart w:id="291" w:name="_Toc27126_WPSOffice_Level2"/>
      <w:bookmarkStart w:id="292" w:name="_Toc510594069"/>
      <w:bookmarkStart w:id="293" w:name="_Toc502684782"/>
      <w:bookmarkStart w:id="294" w:name="_Toc509344828"/>
      <w:bookmarkStart w:id="295" w:name="_Toc509345116"/>
      <w:bookmarkStart w:id="296" w:name="_Toc502045786"/>
      <w:bookmarkStart w:id="297" w:name="_Toc502047625"/>
      <w:bookmarkStart w:id="298" w:name="_Toc509345012"/>
      <w:bookmarkStart w:id="299" w:name="_Toc514858667"/>
      <w:bookmarkStart w:id="300" w:name="_Toc502045012"/>
      <w:bookmarkStart w:id="301" w:name="_Toc502063943"/>
      <w:bookmarkStart w:id="302" w:name="_Toc28871"/>
      <w:bookmarkStart w:id="303" w:name="_Toc502047829"/>
      <w:r>
        <w:rPr>
          <w:rFonts w:hint="eastAsia" w:ascii="宋体" w:hAnsi="宋体" w:eastAsia="宋体" w:cs="宋体"/>
          <w:b/>
          <w:bCs w:val="0"/>
        </w:rPr>
        <w:t>二、生态修复可行性分析</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1A9CD163">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（一）技术经济可行性分析</w:t>
      </w:r>
    </w:p>
    <w:p w14:paraId="0E4A36FF">
      <w:pPr>
        <w:spacing w:line="360" w:lineRule="auto"/>
        <w:rPr>
          <w:rFonts w:hint="eastAsia"/>
          <w:sz w:val="28"/>
          <w:szCs w:val="28"/>
          <w:lang w:val="en-US" w:eastAsia="zh-CN"/>
        </w:rPr>
      </w:pPr>
      <w:r>
        <w:rPr>
          <w:rFonts w:hint="eastAsia"/>
          <w:sz w:val="28"/>
          <w:szCs w:val="28"/>
          <w:lang w:val="en-US" w:eastAsia="zh-CN"/>
        </w:rPr>
        <w:t>本次矿山地质环境治理充分收集利用已有的资料，开展系统的矿山环境地质调查，查明各类地质灾害的危害程度和稳定性，在此基础上借鉴其它矿区比较成熟的矿山地质环境治理方法，实施各项治理工程，恢复矿山的生态环境。</w:t>
      </w:r>
    </w:p>
    <w:p w14:paraId="31CA7A52">
      <w:pPr>
        <w:spacing w:line="360" w:lineRule="auto"/>
        <w:ind w:firstLine="560" w:firstLineChars="200"/>
        <w:rPr>
          <w:bCs/>
          <w:color w:val="000000"/>
          <w:sz w:val="28"/>
          <w:szCs w:val="28"/>
          <w:highlight w:val="none"/>
        </w:rPr>
      </w:pPr>
      <w:r>
        <w:rPr>
          <w:bCs/>
          <w:color w:val="000000"/>
          <w:sz w:val="28"/>
          <w:szCs w:val="28"/>
          <w:highlight w:val="none"/>
        </w:rPr>
        <w:t>本矿山</w:t>
      </w:r>
      <w:r>
        <w:rPr>
          <w:rFonts w:hint="eastAsia"/>
          <w:bCs/>
          <w:color w:val="000000"/>
          <w:sz w:val="28"/>
          <w:szCs w:val="28"/>
          <w:highlight w:val="none"/>
          <w:lang w:val="en-US" w:eastAsia="zh-CN"/>
        </w:rPr>
        <w:t>生态修复</w:t>
      </w:r>
      <w:r>
        <w:rPr>
          <w:bCs/>
          <w:color w:val="000000"/>
          <w:sz w:val="28"/>
          <w:szCs w:val="28"/>
          <w:highlight w:val="none"/>
        </w:rPr>
        <w:t>主要内容有：</w:t>
      </w:r>
      <w:r>
        <w:rPr>
          <w:rFonts w:hint="eastAsia" w:ascii="宋体" w:hAnsi="宋体" w:cs="宋体"/>
          <w:bCs/>
          <w:color w:val="000000"/>
          <w:sz w:val="28"/>
          <w:szCs w:val="28"/>
          <w:highlight w:val="none"/>
        </w:rPr>
        <w:t>①</w:t>
      </w:r>
      <w:r>
        <w:rPr>
          <w:bCs/>
          <w:color w:val="000000"/>
          <w:sz w:val="28"/>
          <w:szCs w:val="28"/>
          <w:highlight w:val="none"/>
        </w:rPr>
        <w:t>对采场外有汇水的地段设置截排水沟；</w:t>
      </w:r>
      <w:r>
        <w:rPr>
          <w:rFonts w:hint="eastAsia" w:ascii="宋体" w:hAnsi="宋体" w:cs="宋体"/>
          <w:bCs/>
          <w:color w:val="000000"/>
          <w:sz w:val="28"/>
          <w:szCs w:val="28"/>
          <w:highlight w:val="none"/>
        </w:rPr>
        <w:t>②</w:t>
      </w:r>
      <w:r>
        <w:rPr>
          <w:bCs/>
          <w:color w:val="000000"/>
          <w:sz w:val="28"/>
          <w:szCs w:val="28"/>
          <w:highlight w:val="none"/>
        </w:rPr>
        <w:t>对边坡坡面进行复绿；</w:t>
      </w:r>
      <w:r>
        <w:rPr>
          <w:rFonts w:hint="eastAsia" w:ascii="宋体" w:hAnsi="宋体" w:cs="宋体"/>
          <w:bCs/>
          <w:color w:val="000000"/>
          <w:sz w:val="28"/>
          <w:szCs w:val="28"/>
          <w:highlight w:val="none"/>
        </w:rPr>
        <w:t>③</w:t>
      </w:r>
      <w:r>
        <w:rPr>
          <w:bCs/>
          <w:color w:val="000000"/>
          <w:sz w:val="28"/>
          <w:szCs w:val="28"/>
          <w:highlight w:val="none"/>
        </w:rPr>
        <w:t>对边坡台阶覆土、植被复绿；④在采场周边设置防护围栏、铁丝网与警示牌；⑤对</w:t>
      </w:r>
      <w:r>
        <w:rPr>
          <w:rFonts w:hint="eastAsia"/>
          <w:bCs/>
          <w:color w:val="000000"/>
          <w:sz w:val="28"/>
          <w:szCs w:val="28"/>
          <w:highlight w:val="none"/>
          <w:lang w:val="en-US" w:eastAsia="zh-CN"/>
        </w:rPr>
        <w:t>破碎站、复垦用土临时堆场、办公生活区拆除复垦。</w:t>
      </w:r>
    </w:p>
    <w:p w14:paraId="75BE22E1">
      <w:pPr>
        <w:spacing w:line="360" w:lineRule="auto"/>
        <w:rPr>
          <w:bCs/>
          <w:color w:val="000000"/>
          <w:sz w:val="28"/>
          <w:szCs w:val="28"/>
        </w:rPr>
      </w:pPr>
      <w:r>
        <w:rPr>
          <w:bCs/>
          <w:color w:val="000000"/>
          <w:sz w:val="28"/>
          <w:szCs w:val="28"/>
        </w:rPr>
        <w:t>矿山整治复绿施工必须具备一些必要的内外条件，这些条件包括外部的环境、交通、用电、用水以及组织管理和经费落实到位等。对于“通路”、“通电”、“通水”的三通问题，由于矿山开采已基本具备，只需稍加修整即可投入。</w:t>
      </w:r>
    </w:p>
    <w:p w14:paraId="5709B433">
      <w:pPr>
        <w:spacing w:line="360" w:lineRule="auto"/>
        <w:rPr>
          <w:rFonts w:hint="eastAsia"/>
          <w:sz w:val="28"/>
          <w:szCs w:val="28"/>
          <w:lang w:val="en-US" w:eastAsia="zh-CN"/>
        </w:rPr>
      </w:pPr>
      <w:r>
        <w:rPr>
          <w:rFonts w:hint="eastAsia"/>
          <w:sz w:val="28"/>
          <w:szCs w:val="28"/>
          <w:lang w:val="en-US" w:eastAsia="zh-CN"/>
        </w:rPr>
        <w:t>矿山生态修复工作是一项全新的“功在当代，利及千秋”的国土地质环境整治工程，是整治受破坏的矿山地质环境，恢复其原貌，保护矿区生态环境的必要措施，也是矿山开采活动中不可分割的组成部分。在恢复治理产业中，工矿企业、政府等参与者结成“风险共担，利益共享”的利益共同体。通过恢复治理和土地复垦，确保项目区内地质环境的动态平衡，保护了项目区内的人民生命财产安全。改善了矿山和地方政府、矿山企业和当地居民的关系，保障了社会的和谐稳定。通过生态修复，有利于促进区域经济发展，确保社会的稳定。</w:t>
      </w:r>
    </w:p>
    <w:p w14:paraId="23F5ED2C">
      <w:pPr>
        <w:spacing w:line="360" w:lineRule="auto"/>
        <w:rPr>
          <w:rFonts w:hint="eastAsia"/>
          <w:sz w:val="28"/>
          <w:szCs w:val="28"/>
          <w:lang w:val="en-US" w:eastAsia="zh-CN"/>
        </w:rPr>
      </w:pPr>
      <w:r>
        <w:rPr>
          <w:rFonts w:hint="eastAsia"/>
          <w:sz w:val="28"/>
          <w:szCs w:val="28"/>
        </w:rPr>
        <w:t>广东省徐闻县城北乡迈报(西山坑)矿区建筑用玄武岩矿</w:t>
      </w:r>
      <w:r>
        <w:rPr>
          <w:rFonts w:hint="eastAsia"/>
          <w:sz w:val="28"/>
          <w:szCs w:val="28"/>
          <w:lang w:val="en-US" w:eastAsia="zh-CN"/>
        </w:rPr>
        <w:t>矿区生态修复方案项目的实施，有利于改善矿区的矿山地质环境，消除地质灾害隐患，更好地推进当地的经济发展。通过各种防治措施使地灾隐患得到治理，保证了矿区周边居民的生命财产安全，极大地改善了矿区的经济发展环境。因此，投入一定量的生态修复工程费用，换取一个安全的生产环境，保障矿山经济持续增长，其经济效益不言而喻。</w:t>
      </w:r>
    </w:p>
    <w:p w14:paraId="0F2C878F">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（二）目标方向可行性分析</w:t>
      </w:r>
    </w:p>
    <w:p w14:paraId="3718F93D">
      <w:pPr>
        <w:pStyle w:val="7"/>
        <w:bidi w:val="0"/>
        <w:spacing w:line="360" w:lineRule="auto"/>
        <w:rPr>
          <w:rFonts w:hint="eastAsia"/>
          <w:sz w:val="28"/>
          <w:szCs w:val="28"/>
          <w:lang w:val="en-US" w:eastAsia="zh-CN"/>
        </w:rPr>
      </w:pPr>
      <w:r>
        <w:rPr>
          <w:rFonts w:hint="eastAsia"/>
          <w:sz w:val="28"/>
          <w:szCs w:val="28"/>
          <w:lang w:val="en-US" w:eastAsia="zh-CN"/>
        </w:rPr>
        <w:t>1.参照的生态系统确定</w:t>
      </w:r>
    </w:p>
    <w:p w14:paraId="6667E0EC">
      <w:pPr>
        <w:spacing w:line="360" w:lineRule="auto"/>
        <w:rPr>
          <w:rFonts w:hint="eastAsia"/>
          <w:sz w:val="28"/>
          <w:szCs w:val="28"/>
          <w:lang w:val="en-US" w:eastAsia="zh-CN"/>
        </w:rPr>
      </w:pPr>
      <w:r>
        <w:rPr>
          <w:rFonts w:hint="eastAsia"/>
          <w:sz w:val="28"/>
          <w:szCs w:val="28"/>
          <w:lang w:val="en-US" w:eastAsia="zh-CN"/>
        </w:rPr>
        <w:t>根据现状调查及资料查阅，结合三调数据，矿区建设前该区域为低丘台地地貌，</w:t>
      </w:r>
      <w:r>
        <w:rPr>
          <w:rFonts w:hint="eastAsia"/>
          <w:sz w:val="28"/>
          <w:szCs w:val="28"/>
          <w:highlight w:val="none"/>
          <w:lang w:val="en-US" w:eastAsia="zh-CN"/>
        </w:rPr>
        <w:t>主要用地类型有</w:t>
      </w:r>
      <w:r>
        <w:rPr>
          <w:rFonts w:hint="eastAsia"/>
          <w:sz w:val="28"/>
          <w:szCs w:val="28"/>
          <w:highlight w:val="none"/>
        </w:rPr>
        <w:t>其他草地</w:t>
      </w:r>
      <w:r>
        <w:rPr>
          <w:rFonts w:hint="eastAsia"/>
          <w:sz w:val="28"/>
          <w:szCs w:val="28"/>
          <w:highlight w:val="none"/>
          <w:lang w:eastAsia="zh-CN"/>
        </w:rPr>
        <w:t>、</w:t>
      </w:r>
      <w:r>
        <w:rPr>
          <w:rFonts w:hint="eastAsia"/>
          <w:sz w:val="28"/>
          <w:szCs w:val="28"/>
          <w:highlight w:val="none"/>
        </w:rPr>
        <w:t>乔木林地</w:t>
      </w:r>
      <w:r>
        <w:rPr>
          <w:rFonts w:hint="eastAsia"/>
          <w:sz w:val="28"/>
          <w:szCs w:val="28"/>
          <w:highlight w:val="none"/>
          <w:lang w:eastAsia="zh-CN"/>
        </w:rPr>
        <w:t>、</w:t>
      </w:r>
      <w:r>
        <w:rPr>
          <w:rFonts w:hint="eastAsia"/>
          <w:sz w:val="28"/>
          <w:szCs w:val="28"/>
          <w:highlight w:val="none"/>
        </w:rPr>
        <w:t>采矿用地</w:t>
      </w:r>
      <w:r>
        <w:rPr>
          <w:rFonts w:hint="eastAsia"/>
          <w:sz w:val="28"/>
          <w:szCs w:val="28"/>
          <w:highlight w:val="none"/>
          <w:lang w:eastAsia="zh-CN"/>
        </w:rPr>
        <w:t>、</w:t>
      </w:r>
      <w:r>
        <w:rPr>
          <w:rFonts w:hint="eastAsia"/>
          <w:sz w:val="28"/>
          <w:szCs w:val="28"/>
          <w:highlight w:val="none"/>
        </w:rPr>
        <w:t>果园</w:t>
      </w:r>
      <w:r>
        <w:rPr>
          <w:rFonts w:hint="eastAsia"/>
          <w:sz w:val="28"/>
          <w:szCs w:val="28"/>
          <w:highlight w:val="none"/>
          <w:lang w:eastAsia="zh-CN"/>
        </w:rPr>
        <w:t>、</w:t>
      </w:r>
      <w:r>
        <w:rPr>
          <w:rFonts w:hint="eastAsia"/>
          <w:sz w:val="28"/>
          <w:szCs w:val="28"/>
          <w:highlight w:val="none"/>
        </w:rPr>
        <w:t>坑塘水面</w:t>
      </w:r>
      <w:r>
        <w:rPr>
          <w:rFonts w:hint="eastAsia"/>
          <w:sz w:val="28"/>
          <w:szCs w:val="28"/>
          <w:highlight w:val="none"/>
          <w:lang w:val="en-US" w:eastAsia="zh-CN"/>
        </w:rPr>
        <w:t>等，</w:t>
      </w:r>
      <w:r>
        <w:rPr>
          <w:rFonts w:hint="eastAsia"/>
          <w:sz w:val="28"/>
          <w:szCs w:val="28"/>
          <w:lang w:val="en-US" w:eastAsia="zh-CN"/>
        </w:rPr>
        <w:t>其生态系统按Ⅱ级分类包括</w:t>
      </w:r>
      <w:r>
        <w:rPr>
          <w:rFonts w:hint="eastAsia"/>
          <w:sz w:val="28"/>
          <w:szCs w:val="28"/>
          <w:highlight w:val="none"/>
        </w:rPr>
        <w:t>稀疏林</w:t>
      </w:r>
      <w:r>
        <w:rPr>
          <w:rFonts w:hint="eastAsia"/>
          <w:sz w:val="28"/>
          <w:szCs w:val="28"/>
          <w:highlight w:val="none"/>
          <w:lang w:val="en-US" w:eastAsia="zh-CN"/>
        </w:rPr>
        <w:t>生态系统</w:t>
      </w:r>
      <w:r>
        <w:rPr>
          <w:rFonts w:hint="eastAsia"/>
          <w:sz w:val="28"/>
          <w:szCs w:val="28"/>
          <w:highlight w:val="none"/>
          <w:lang w:eastAsia="zh-CN"/>
        </w:rPr>
        <w:t>、</w:t>
      </w:r>
      <w:r>
        <w:rPr>
          <w:rFonts w:hint="eastAsia"/>
          <w:sz w:val="28"/>
          <w:szCs w:val="28"/>
          <w:highlight w:val="none"/>
        </w:rPr>
        <w:t>草丛</w:t>
      </w:r>
      <w:r>
        <w:rPr>
          <w:rFonts w:hint="eastAsia"/>
          <w:sz w:val="28"/>
          <w:szCs w:val="28"/>
          <w:highlight w:val="none"/>
          <w:lang w:val="en-US" w:eastAsia="zh-CN"/>
        </w:rPr>
        <w:t>生态系统</w:t>
      </w:r>
      <w:r>
        <w:rPr>
          <w:rFonts w:hint="eastAsia"/>
          <w:sz w:val="28"/>
          <w:szCs w:val="28"/>
          <w:highlight w:val="none"/>
          <w:lang w:eastAsia="zh-CN"/>
        </w:rPr>
        <w:t>、</w:t>
      </w:r>
      <w:r>
        <w:rPr>
          <w:rFonts w:hint="eastAsia"/>
          <w:sz w:val="28"/>
          <w:szCs w:val="28"/>
          <w:highlight w:val="none"/>
        </w:rPr>
        <w:t>耕地</w:t>
      </w:r>
      <w:r>
        <w:rPr>
          <w:rFonts w:hint="eastAsia"/>
          <w:sz w:val="28"/>
          <w:szCs w:val="28"/>
          <w:highlight w:val="none"/>
          <w:lang w:val="en-US" w:eastAsia="zh-CN"/>
        </w:rPr>
        <w:t>生态系统</w:t>
      </w:r>
      <w:r>
        <w:rPr>
          <w:rFonts w:hint="eastAsia"/>
          <w:sz w:val="28"/>
          <w:szCs w:val="28"/>
          <w:highlight w:val="none"/>
          <w:lang w:eastAsia="zh-CN"/>
        </w:rPr>
        <w:t>、</w:t>
      </w:r>
      <w:r>
        <w:rPr>
          <w:rFonts w:hint="eastAsia"/>
          <w:sz w:val="28"/>
          <w:szCs w:val="28"/>
          <w:highlight w:val="none"/>
        </w:rPr>
        <w:t>园地</w:t>
      </w:r>
      <w:r>
        <w:rPr>
          <w:rFonts w:hint="eastAsia"/>
          <w:sz w:val="28"/>
          <w:szCs w:val="28"/>
          <w:highlight w:val="none"/>
          <w:lang w:val="en-US" w:eastAsia="zh-CN"/>
        </w:rPr>
        <w:t>生态系统</w:t>
      </w:r>
      <w:r>
        <w:rPr>
          <w:rFonts w:hint="eastAsia"/>
          <w:sz w:val="28"/>
          <w:szCs w:val="28"/>
          <w:highlight w:val="none"/>
          <w:lang w:eastAsia="zh-CN"/>
        </w:rPr>
        <w:t>、</w:t>
      </w:r>
      <w:r>
        <w:rPr>
          <w:rFonts w:hint="eastAsia"/>
          <w:sz w:val="28"/>
          <w:szCs w:val="28"/>
          <w:highlight w:val="none"/>
        </w:rPr>
        <w:t>居住地</w:t>
      </w:r>
      <w:r>
        <w:rPr>
          <w:rFonts w:hint="eastAsia"/>
          <w:sz w:val="28"/>
          <w:szCs w:val="28"/>
          <w:highlight w:val="none"/>
          <w:lang w:val="en-US" w:eastAsia="zh-CN"/>
        </w:rPr>
        <w:t>生态系统</w:t>
      </w:r>
      <w:r>
        <w:rPr>
          <w:rFonts w:hint="eastAsia"/>
          <w:sz w:val="28"/>
          <w:szCs w:val="28"/>
          <w:highlight w:val="none"/>
          <w:lang w:eastAsia="zh-CN"/>
        </w:rPr>
        <w:t>、</w:t>
      </w:r>
      <w:r>
        <w:rPr>
          <w:rFonts w:hint="eastAsia"/>
          <w:sz w:val="28"/>
          <w:szCs w:val="28"/>
          <w:highlight w:val="none"/>
        </w:rPr>
        <w:t>工矿交通</w:t>
      </w:r>
      <w:r>
        <w:rPr>
          <w:rFonts w:hint="eastAsia"/>
          <w:sz w:val="28"/>
          <w:szCs w:val="28"/>
          <w:highlight w:val="none"/>
          <w:lang w:val="en-US" w:eastAsia="zh-CN"/>
        </w:rPr>
        <w:t>生态系统（照片3-11~3-14）。</w:t>
      </w:r>
    </w:p>
    <w:p w14:paraId="6C52233B">
      <w:pPr>
        <w:spacing w:line="360" w:lineRule="auto"/>
        <w:rPr>
          <w:rFonts w:hint="eastAsia"/>
          <w:sz w:val="28"/>
          <w:szCs w:val="28"/>
          <w:lang w:val="en-US" w:eastAsia="zh-CN"/>
        </w:rPr>
      </w:pPr>
      <w:r>
        <w:rPr>
          <w:rFonts w:hint="eastAsia"/>
          <w:sz w:val="28"/>
          <w:szCs w:val="28"/>
          <w:lang w:val="en-US" w:eastAsia="zh-CN"/>
        </w:rPr>
        <w:t>结合开发利用方案及矿山建设现状，露天采场设计开采区最大采深29m，采用自上往下、分水平台阶式采矿方法，终了台阶自上而下分别为：+55m、+50m、+42m和+30m共4个开采平台，会形成凹陷露天采场，该区域生态修复可参照园地生态系统；排土场、复垦用土临时堆场、破碎站及办公区现状为硬化地面及房屋、设备，矿山闭坑后进行设备拆除、硬化地面拆除，覆土后可恢复为乔木林地，可参照稀疏林生态系统。</w:t>
      </w:r>
    </w:p>
    <w:p w14:paraId="68923207">
      <w:pPr>
        <w:spacing w:line="360" w:lineRule="auto"/>
        <w:ind w:left="0" w:leftChars="0" w:firstLine="0" w:firstLineChars="0"/>
        <w:rPr>
          <w:rFonts w:hint="eastAsia"/>
          <w:sz w:val="28"/>
          <w:szCs w:val="28"/>
          <w:lang w:val="en-US" w:eastAsia="zh-CN"/>
        </w:rPr>
      </w:pPr>
      <w:r>
        <w:rPr>
          <w:rFonts w:hint="eastAsia"/>
          <w:sz w:val="28"/>
          <w:szCs w:val="28"/>
          <w:lang w:val="en-US" w:eastAsia="zh-CN"/>
        </w:rPr>
        <w:t>如植被覆盖度85%、土壤理化性质(pH值5.26～8.74，有机质含量0.42～4.18%，土壤容重≤1.5g/ cm</w:t>
      </w:r>
      <w:r>
        <w:rPr>
          <w:rFonts w:hint="eastAsia"/>
          <w:sz w:val="28"/>
          <w:szCs w:val="28"/>
          <w:vertAlign w:val="superscript"/>
          <w:lang w:val="en-US" w:eastAsia="zh-CN"/>
        </w:rPr>
        <w:t>3</w:t>
      </w:r>
      <w:r>
        <w:rPr>
          <w:rFonts w:hint="eastAsia"/>
          <w:sz w:val="28"/>
          <w:szCs w:val="28"/>
          <w:lang w:val="en-US" w:eastAsia="zh-CN"/>
        </w:rPr>
        <w:t>，优势物种菠萝等经济作物关键指标。</w:t>
      </w:r>
    </w:p>
    <w:p w14:paraId="282C1D05">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lang w:val="en-US" w:eastAsia="zh-CN"/>
        </w:rPr>
      </w:pPr>
      <w:r>
        <w:rPr>
          <w:rFonts w:hint="eastAsia"/>
          <w:sz w:val="28"/>
          <w:szCs w:val="28"/>
          <w:lang w:val="en-US" w:eastAsia="zh-CN"/>
        </w:rPr>
        <w:t>2.土地复垦适宜性评价</w:t>
      </w:r>
    </w:p>
    <w:p w14:paraId="7CCB0822">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sz w:val="28"/>
          <w:szCs w:val="28"/>
          <w:highlight w:val="none"/>
        </w:rPr>
        <w:t>土地复垦适宜评价是一种预测性的土地适宜性评价，是依据土地利用总体规划及相关规划，按照因地制宜的原则，在充分尊重土地权益人愿意的前提下，根据原土地利用类型、土地损毁情况、公众参与意见等，在经济可行、技术合理的条件下，确定拟复垦土地的最佳利用方向（应明确至二级地类），划分土地复垦单元。一般的土地复垦适宜评价是根据土地针对这类特定利用方式是否适宜，如果适宜，其适宜程度如何，做出等级评定。土地复垦适宜评价在复垦工作中起着重要的作用，是确定损毁土地的复垦利用方向的前提和基础，为合理复垦利用损毁土地资源提供科学依据，避免土地复垦的盲目性。土地复垦适宜评价是复垦方案中可行性分析的主要内容，在方案中起到承上启下的作用，包括：为最终复垦方向的确定提供决策依据；为复垦技术的选择提供参考；为因地制宜地制定复垦标准提供依据；通过参与式评价，是土地复垦更加民主、公开。</w:t>
      </w:r>
    </w:p>
    <w:p w14:paraId="6E9E223A">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rFonts w:hint="eastAsia"/>
          <w:sz w:val="28"/>
          <w:szCs w:val="28"/>
          <w:highlight w:val="none"/>
          <w:lang w:eastAsia="zh-CN"/>
        </w:rPr>
        <w:t>（</w:t>
      </w:r>
      <w:r>
        <w:rPr>
          <w:rFonts w:hint="eastAsia"/>
          <w:sz w:val="28"/>
          <w:szCs w:val="28"/>
          <w:highlight w:val="none"/>
          <w:lang w:val="en-US" w:eastAsia="zh-CN"/>
        </w:rPr>
        <w:t>1）</w:t>
      </w:r>
      <w:r>
        <w:rPr>
          <w:sz w:val="28"/>
          <w:szCs w:val="28"/>
          <w:highlight w:val="none"/>
        </w:rPr>
        <w:t>评价原则</w:t>
      </w:r>
    </w:p>
    <w:p w14:paraId="7D081F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highlight w:val="none"/>
        </w:rPr>
        <w:t>①最佳效益原则。在充分考虑企业承受能力的基础上，以最小的复垦投入，获取最佳的经济效益、生态效益、社会效益。</w:t>
      </w:r>
    </w:p>
    <w:p w14:paraId="495630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highlight w:val="none"/>
        </w:rPr>
        <w:t>②尽可能恢复原土地利用类型的原则。损毁的土地尽可能恢复为原土地利用类型,其保证林地面积不减少、质量不降低。</w:t>
      </w:r>
    </w:p>
    <w:p w14:paraId="3F68BF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highlight w:val="none"/>
        </w:rPr>
        <w:t>③因地制宜和农业用地优先的原则。在确定待复垦土地的利用方向时，应根据评价单元的自然条件、区位和破坏状况等因地制宜确定其适宜性，不能强求一致。恢复后的土地条件如满足多种地类要求是，应优先用于恢复农业用地。</w:t>
      </w:r>
    </w:p>
    <w:p w14:paraId="1875F9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highlight w:val="none"/>
        </w:rPr>
        <w:t>④与地区土地的总体规划、农业规划等相协调的原则。在确定待复垦土地的适宜性，不仅要考虑被评价土地的自然条件和破坏状况、还应考虑区域性的国土空间规划和农业规划等，统筹考虑本地区和项目区的生产建设发展。</w:t>
      </w:r>
    </w:p>
    <w:p w14:paraId="52F595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highlight w:val="none"/>
        </w:rPr>
        <w:t>⑤综合分析与主导因素相结合，以主导因素为主的原则。影响待复垦土地利用方向的因素很多，包括自然条件、土壤性质、原利用类型、破坏状况和社会需求等多方面，但各因素对土地复垦利用的影响程度不同，应选择其中的主导因素作为评价的主要依据。</w:t>
      </w:r>
    </w:p>
    <w:p w14:paraId="074C33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sz w:val="28"/>
          <w:szCs w:val="28"/>
          <w:highlight w:val="none"/>
        </w:rPr>
      </w:pPr>
      <w:r>
        <w:rPr>
          <w:rFonts w:hint="eastAsia"/>
          <w:sz w:val="28"/>
          <w:szCs w:val="28"/>
          <w:highlight w:val="none"/>
        </w:rPr>
        <w:t>⑥自然属性与社会属性相结合，以自然属性为主的原则。对于被损毁土地适宜性评价既要考虑它的自然属性如土壤、气候、地貌和破坏程度，也要考虑它的社会属性如种植习惯、业主意愿、社会需求和资金来源等。在进行适宜性评价时，应以自然属性为主确定复垦利用方向。</w:t>
      </w:r>
    </w:p>
    <w:p w14:paraId="397F7C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sz w:val="28"/>
          <w:szCs w:val="28"/>
          <w:highlight w:val="none"/>
        </w:rPr>
      </w:pPr>
      <w:r>
        <w:rPr>
          <w:rFonts w:hint="eastAsia"/>
          <w:sz w:val="28"/>
          <w:szCs w:val="28"/>
          <w:highlight w:val="none"/>
        </w:rPr>
        <w:t>⑦理论分析与实践检验相结合的原则。对项目区被破坏土地进行适宜性评价时，要根据已有资料作综合的理论分析，同时考虑项目区农业生产发展前景、科技进步以及生产和生活水平提高所带来的社会需求方面的变化，确定复垦土地的开发利用方向。</w:t>
      </w:r>
    </w:p>
    <w:p w14:paraId="23B8A77C">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rFonts w:hint="eastAsia"/>
          <w:sz w:val="28"/>
          <w:szCs w:val="28"/>
          <w:highlight w:val="none"/>
          <w:lang w:eastAsia="zh-CN"/>
        </w:rPr>
        <w:t>（</w:t>
      </w:r>
      <w:r>
        <w:rPr>
          <w:rFonts w:hint="eastAsia"/>
          <w:sz w:val="28"/>
          <w:szCs w:val="28"/>
          <w:highlight w:val="none"/>
          <w:lang w:val="en-US" w:eastAsia="zh-CN"/>
        </w:rPr>
        <w:t>2）</w:t>
      </w:r>
      <w:r>
        <w:rPr>
          <w:sz w:val="28"/>
          <w:szCs w:val="28"/>
          <w:highlight w:val="none"/>
        </w:rPr>
        <w:t>评价依据</w:t>
      </w:r>
    </w:p>
    <w:p w14:paraId="242E16B2">
      <w:pPr>
        <w:keepNext w:val="0"/>
        <w:keepLines w:val="0"/>
        <w:pageBreakBefore w:val="0"/>
        <w:widowControl w:val="0"/>
        <w:kinsoku/>
        <w:wordWrap/>
        <w:overflowPunct/>
        <w:topLinePunct w:val="0"/>
        <w:autoSpaceDE/>
        <w:autoSpaceDN/>
        <w:bidi w:val="0"/>
        <w:adjustRightInd/>
        <w:snapToGrid/>
        <w:spacing w:line="360" w:lineRule="auto"/>
        <w:ind w:left="0" w:leftChars="0" w:firstLine="560"/>
        <w:jc w:val="both"/>
        <w:textAlignment w:val="auto"/>
        <w:rPr>
          <w:rFonts w:ascii="宋体" w:hAnsi="宋体" w:eastAsia="宋体" w:cs="宋体"/>
          <w:spacing w:val="-1"/>
          <w:sz w:val="28"/>
          <w:szCs w:val="28"/>
        </w:rPr>
      </w:pPr>
      <w:r>
        <w:rPr>
          <w:rFonts w:ascii="宋体" w:hAnsi="宋体" w:eastAsia="宋体" w:cs="宋体"/>
          <w:spacing w:val="3"/>
          <w:sz w:val="28"/>
          <w:szCs w:val="28"/>
        </w:rPr>
        <w:t>土地复垦适宜性评价在详细调研项目区土地损毁前的利用状况、生产力水平和损毁后土地的自然条件基础上，参考土地损毁预测和程度分</w:t>
      </w:r>
      <w:r>
        <w:rPr>
          <w:rFonts w:ascii="宋体" w:hAnsi="宋体" w:eastAsia="宋体" w:cs="宋体"/>
          <w:spacing w:val="-6"/>
          <w:sz w:val="28"/>
          <w:szCs w:val="28"/>
        </w:rPr>
        <w:t>析的结果，依据国家和地方的规划和行业标准，采取切实可行的办法，改</w:t>
      </w:r>
      <w:r>
        <w:rPr>
          <w:rFonts w:ascii="宋体" w:hAnsi="宋体" w:eastAsia="宋体" w:cs="宋体"/>
          <w:spacing w:val="-1"/>
          <w:sz w:val="28"/>
          <w:szCs w:val="28"/>
        </w:rPr>
        <w:t>善被损毁土地的生态环境，确定复垦利用方向。其主要依据包括：</w:t>
      </w:r>
    </w:p>
    <w:p w14:paraId="422AED68">
      <w:pPr>
        <w:keepNext w:val="0"/>
        <w:keepLines w:val="0"/>
        <w:pageBreakBefore w:val="0"/>
        <w:widowControl w:val="0"/>
        <w:kinsoku/>
        <w:wordWrap/>
        <w:overflowPunct/>
        <w:topLinePunct w:val="0"/>
        <w:autoSpaceDE/>
        <w:autoSpaceDN/>
        <w:bidi w:val="0"/>
        <w:adjustRightInd/>
        <w:snapToGrid/>
        <w:spacing w:line="360" w:lineRule="auto"/>
        <w:ind w:left="0" w:firstLine="548" w:firstLineChars="200"/>
        <w:textAlignment w:val="auto"/>
        <w:rPr>
          <w:rFonts w:ascii="宋体" w:hAnsi="宋体" w:eastAsia="宋体" w:cs="宋体"/>
          <w:sz w:val="28"/>
          <w:szCs w:val="28"/>
        </w:rPr>
      </w:pPr>
      <w:r>
        <w:rPr>
          <w:rFonts w:ascii="Times New Roman" w:hAnsi="Times New Roman" w:eastAsia="Times New Roman" w:cs="Times New Roman"/>
          <w:spacing w:val="-3"/>
          <w:sz w:val="28"/>
          <w:szCs w:val="28"/>
        </w:rPr>
        <w:t>1.</w:t>
      </w:r>
      <w:r>
        <w:rPr>
          <w:rFonts w:ascii="宋体" w:hAnsi="宋体" w:eastAsia="宋体" w:cs="宋体"/>
          <w:spacing w:val="-3"/>
          <w:sz w:val="28"/>
          <w:szCs w:val="28"/>
        </w:rPr>
        <w:t>土地复垦的相关规程和标准；</w:t>
      </w:r>
    </w:p>
    <w:p w14:paraId="23029B56">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Cambria Math" w:hAnsi="Cambria Math" w:eastAsia="Cambria Math" w:cs="Cambria Math"/>
          <w:spacing w:val="-2"/>
          <w:sz w:val="28"/>
          <w:szCs w:val="28"/>
        </w:rPr>
        <w:t>①</w:t>
      </w:r>
      <w:r>
        <w:rPr>
          <w:rFonts w:ascii="宋体" w:hAnsi="宋体" w:eastAsia="宋体" w:cs="宋体"/>
          <w:spacing w:val="-2"/>
          <w:sz w:val="28"/>
          <w:szCs w:val="28"/>
        </w:rPr>
        <w:t>《土地复垦方案编制规程》</w:t>
      </w:r>
      <w:r>
        <w:rPr>
          <w:rFonts w:ascii="Times New Roman" w:hAnsi="Times New Roman" w:eastAsia="Times New Roman" w:cs="Times New Roman"/>
          <w:spacing w:val="-2"/>
          <w:sz w:val="28"/>
          <w:szCs w:val="28"/>
        </w:rPr>
        <w:t>TD/T</w:t>
      </w:r>
      <w:r>
        <w:rPr>
          <w:rFonts w:ascii="Times New Roman" w:hAnsi="Times New Roman" w:eastAsia="Times New Roman" w:cs="Times New Roman"/>
          <w:spacing w:val="31"/>
          <w:sz w:val="28"/>
          <w:szCs w:val="28"/>
        </w:rPr>
        <w:t xml:space="preserve"> </w:t>
      </w:r>
      <w:r>
        <w:rPr>
          <w:rFonts w:ascii="Times New Roman" w:hAnsi="Times New Roman" w:eastAsia="Times New Roman" w:cs="Times New Roman"/>
          <w:spacing w:val="-2"/>
          <w:sz w:val="28"/>
          <w:szCs w:val="28"/>
        </w:rPr>
        <w:t>1031.1-2011</w:t>
      </w:r>
      <w:r>
        <w:rPr>
          <w:rFonts w:ascii="宋体" w:hAnsi="宋体" w:eastAsia="宋体" w:cs="宋体"/>
          <w:spacing w:val="-2"/>
          <w:sz w:val="28"/>
          <w:szCs w:val="28"/>
        </w:rPr>
        <w:t>；</w:t>
      </w:r>
    </w:p>
    <w:p w14:paraId="6EEB1075">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Cambria Math" w:hAnsi="Cambria Math" w:eastAsia="Cambria Math" w:cs="Cambria Math"/>
          <w:spacing w:val="-2"/>
          <w:sz w:val="28"/>
          <w:szCs w:val="28"/>
        </w:rPr>
        <w:t>②</w:t>
      </w:r>
      <w:r>
        <w:rPr>
          <w:rFonts w:ascii="宋体" w:hAnsi="宋体" w:eastAsia="宋体" w:cs="宋体"/>
          <w:spacing w:val="-2"/>
          <w:sz w:val="28"/>
          <w:szCs w:val="28"/>
        </w:rPr>
        <w:t>《土地复垦质量控制标准》</w:t>
      </w:r>
      <w:r>
        <w:rPr>
          <w:rFonts w:ascii="Times New Roman" w:hAnsi="Times New Roman" w:eastAsia="Times New Roman" w:cs="Times New Roman"/>
          <w:spacing w:val="-2"/>
          <w:sz w:val="28"/>
          <w:szCs w:val="28"/>
        </w:rPr>
        <w:t>TD/T</w:t>
      </w:r>
      <w:r>
        <w:rPr>
          <w:rFonts w:ascii="Times New Roman" w:hAnsi="Times New Roman" w:eastAsia="Times New Roman" w:cs="Times New Roman"/>
          <w:spacing w:val="35"/>
          <w:w w:val="101"/>
          <w:sz w:val="28"/>
          <w:szCs w:val="28"/>
        </w:rPr>
        <w:t xml:space="preserve"> </w:t>
      </w:r>
      <w:r>
        <w:rPr>
          <w:rFonts w:ascii="Times New Roman" w:hAnsi="Times New Roman" w:eastAsia="Times New Roman" w:cs="Times New Roman"/>
          <w:spacing w:val="-2"/>
          <w:sz w:val="28"/>
          <w:szCs w:val="28"/>
        </w:rPr>
        <w:t>1036-2013</w:t>
      </w:r>
      <w:r>
        <w:rPr>
          <w:rFonts w:ascii="宋体" w:hAnsi="宋体" w:eastAsia="宋体" w:cs="宋体"/>
          <w:spacing w:val="-2"/>
          <w:sz w:val="28"/>
          <w:szCs w:val="28"/>
        </w:rPr>
        <w:t>；</w:t>
      </w:r>
    </w:p>
    <w:p w14:paraId="32E4D543">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Cambria Math" w:hAnsi="Cambria Math" w:eastAsia="Cambria Math" w:cs="Cambria Math"/>
          <w:spacing w:val="-2"/>
          <w:sz w:val="28"/>
          <w:szCs w:val="28"/>
        </w:rPr>
        <w:t>③</w:t>
      </w:r>
      <w:r>
        <w:rPr>
          <w:rFonts w:ascii="宋体" w:hAnsi="宋体" w:eastAsia="宋体" w:cs="宋体"/>
          <w:spacing w:val="-2"/>
          <w:sz w:val="28"/>
          <w:szCs w:val="28"/>
        </w:rPr>
        <w:t>《耕地治理验收技术规范》</w:t>
      </w:r>
      <w:r>
        <w:rPr>
          <w:rFonts w:ascii="Times New Roman" w:hAnsi="Times New Roman" w:eastAsia="Times New Roman" w:cs="Times New Roman"/>
          <w:spacing w:val="-2"/>
          <w:sz w:val="28"/>
          <w:szCs w:val="28"/>
        </w:rPr>
        <w:t>NY/T</w:t>
      </w:r>
      <w:r>
        <w:rPr>
          <w:rFonts w:ascii="Times New Roman" w:hAnsi="Times New Roman" w:eastAsia="Times New Roman" w:cs="Times New Roman"/>
          <w:spacing w:val="26"/>
          <w:w w:val="101"/>
          <w:sz w:val="28"/>
          <w:szCs w:val="28"/>
        </w:rPr>
        <w:t xml:space="preserve"> </w:t>
      </w:r>
      <w:r>
        <w:rPr>
          <w:rFonts w:ascii="Times New Roman" w:hAnsi="Times New Roman" w:eastAsia="Times New Roman" w:cs="Times New Roman"/>
          <w:spacing w:val="-2"/>
          <w:sz w:val="28"/>
          <w:szCs w:val="28"/>
        </w:rPr>
        <w:t>1120-20</w:t>
      </w:r>
      <w:r>
        <w:rPr>
          <w:rFonts w:ascii="Times New Roman" w:hAnsi="Times New Roman" w:eastAsia="Times New Roman" w:cs="Times New Roman"/>
          <w:spacing w:val="-3"/>
          <w:sz w:val="28"/>
          <w:szCs w:val="28"/>
        </w:rPr>
        <w:t>06</w:t>
      </w:r>
      <w:r>
        <w:rPr>
          <w:rFonts w:ascii="宋体" w:hAnsi="宋体" w:eastAsia="宋体" w:cs="宋体"/>
          <w:spacing w:val="-3"/>
          <w:sz w:val="28"/>
          <w:szCs w:val="28"/>
        </w:rPr>
        <w:t>；</w:t>
      </w:r>
    </w:p>
    <w:p w14:paraId="67D18A03">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Cambria Math" w:hAnsi="Cambria Math" w:eastAsia="Cambria Math" w:cs="Cambria Math"/>
          <w:spacing w:val="-2"/>
          <w:sz w:val="28"/>
          <w:szCs w:val="28"/>
        </w:rPr>
        <w:t>④</w:t>
      </w:r>
      <w:r>
        <w:rPr>
          <w:rFonts w:ascii="宋体" w:hAnsi="宋体" w:eastAsia="宋体" w:cs="宋体"/>
          <w:spacing w:val="-2"/>
          <w:sz w:val="28"/>
          <w:szCs w:val="28"/>
        </w:rPr>
        <w:t>《耕地地力调查与治理评价技术规程》</w:t>
      </w:r>
      <w:r>
        <w:rPr>
          <w:rFonts w:ascii="Times New Roman" w:hAnsi="Times New Roman" w:eastAsia="Times New Roman" w:cs="Times New Roman"/>
          <w:spacing w:val="-2"/>
          <w:sz w:val="28"/>
          <w:szCs w:val="28"/>
        </w:rPr>
        <w:t>NY/T</w:t>
      </w:r>
      <w:r>
        <w:rPr>
          <w:rFonts w:ascii="Times New Roman" w:hAnsi="Times New Roman" w:eastAsia="Times New Roman" w:cs="Times New Roman"/>
          <w:spacing w:val="44"/>
          <w:w w:val="101"/>
          <w:sz w:val="28"/>
          <w:szCs w:val="28"/>
        </w:rPr>
        <w:t xml:space="preserve"> </w:t>
      </w:r>
      <w:r>
        <w:rPr>
          <w:rFonts w:ascii="Times New Roman" w:hAnsi="Times New Roman" w:eastAsia="Times New Roman" w:cs="Times New Roman"/>
          <w:spacing w:val="-2"/>
          <w:sz w:val="28"/>
          <w:szCs w:val="28"/>
        </w:rPr>
        <w:t>1634-2008</w:t>
      </w:r>
      <w:r>
        <w:rPr>
          <w:rFonts w:ascii="宋体" w:hAnsi="宋体" w:eastAsia="宋体" w:cs="宋体"/>
          <w:spacing w:val="-2"/>
          <w:sz w:val="28"/>
          <w:szCs w:val="28"/>
        </w:rPr>
        <w:t>；</w:t>
      </w:r>
    </w:p>
    <w:p w14:paraId="2518CA05">
      <w:pPr>
        <w:keepNext w:val="0"/>
        <w:keepLines w:val="0"/>
        <w:pageBreakBefore w:val="0"/>
        <w:widowControl w:val="0"/>
        <w:kinsoku/>
        <w:wordWrap/>
        <w:overflowPunct/>
        <w:topLinePunct w:val="0"/>
        <w:autoSpaceDE/>
        <w:autoSpaceDN/>
        <w:bidi w:val="0"/>
        <w:adjustRightInd/>
        <w:snapToGrid/>
        <w:spacing w:line="360" w:lineRule="auto"/>
        <w:ind w:left="0" w:firstLine="556" w:firstLineChars="200"/>
        <w:textAlignment w:val="auto"/>
        <w:rPr>
          <w:rFonts w:ascii="宋体" w:hAnsi="宋体" w:eastAsia="宋体" w:cs="宋体"/>
          <w:sz w:val="28"/>
          <w:szCs w:val="28"/>
        </w:rPr>
      </w:pPr>
      <w:r>
        <w:rPr>
          <w:rFonts w:ascii="Cambria Math" w:hAnsi="Cambria Math" w:eastAsia="Cambria Math" w:cs="Cambria Math"/>
          <w:spacing w:val="-1"/>
          <w:sz w:val="28"/>
          <w:szCs w:val="28"/>
        </w:rPr>
        <w:t>⑤</w:t>
      </w:r>
      <w:r>
        <w:rPr>
          <w:rFonts w:ascii="宋体" w:hAnsi="宋体" w:eastAsia="宋体" w:cs="宋体"/>
          <w:spacing w:val="-1"/>
          <w:sz w:val="28"/>
          <w:szCs w:val="28"/>
        </w:rPr>
        <w:t>《耕地后备资源调查与评价技术规程》</w:t>
      </w:r>
      <w:r>
        <w:rPr>
          <w:rFonts w:ascii="Times New Roman" w:hAnsi="Times New Roman" w:eastAsia="Times New Roman" w:cs="Times New Roman"/>
          <w:spacing w:val="-1"/>
          <w:sz w:val="28"/>
          <w:szCs w:val="28"/>
        </w:rPr>
        <w:t>TD/T1007-2003</w:t>
      </w:r>
      <w:r>
        <w:rPr>
          <w:rFonts w:ascii="宋体" w:hAnsi="宋体" w:eastAsia="宋体" w:cs="宋体"/>
          <w:spacing w:val="-1"/>
          <w:sz w:val="28"/>
          <w:szCs w:val="28"/>
        </w:rPr>
        <w:t>；</w:t>
      </w:r>
    </w:p>
    <w:p w14:paraId="716C7F55">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Cambria Math" w:hAnsi="Cambria Math" w:eastAsia="Cambria Math" w:cs="Cambria Math"/>
          <w:spacing w:val="-2"/>
          <w:sz w:val="28"/>
          <w:szCs w:val="28"/>
        </w:rPr>
        <w:t>⑥</w:t>
      </w:r>
      <w:r>
        <w:rPr>
          <w:rFonts w:ascii="宋体" w:hAnsi="宋体" w:eastAsia="宋体" w:cs="宋体"/>
          <w:spacing w:val="-2"/>
          <w:sz w:val="28"/>
          <w:szCs w:val="28"/>
        </w:rPr>
        <w:t>《土壤环境质量标准》</w:t>
      </w:r>
      <w:r>
        <w:rPr>
          <w:rFonts w:ascii="Times New Roman" w:hAnsi="Times New Roman" w:eastAsia="Times New Roman" w:cs="Times New Roman"/>
          <w:spacing w:val="-2"/>
          <w:sz w:val="28"/>
          <w:szCs w:val="28"/>
        </w:rPr>
        <w:t>GB</w:t>
      </w:r>
      <w:r>
        <w:rPr>
          <w:rFonts w:ascii="Times New Roman" w:hAnsi="Times New Roman" w:eastAsia="Times New Roman" w:cs="Times New Roman"/>
          <w:spacing w:val="34"/>
          <w:w w:val="101"/>
          <w:sz w:val="28"/>
          <w:szCs w:val="28"/>
        </w:rPr>
        <w:t xml:space="preserve"> </w:t>
      </w:r>
      <w:r>
        <w:rPr>
          <w:rFonts w:ascii="Times New Roman" w:hAnsi="Times New Roman" w:eastAsia="Times New Roman" w:cs="Times New Roman"/>
          <w:spacing w:val="-2"/>
          <w:sz w:val="28"/>
          <w:szCs w:val="28"/>
        </w:rPr>
        <w:t>15618-2008</w:t>
      </w:r>
      <w:r>
        <w:rPr>
          <w:rFonts w:ascii="宋体" w:hAnsi="宋体" w:eastAsia="宋体" w:cs="宋体"/>
          <w:spacing w:val="-2"/>
          <w:sz w:val="28"/>
          <w:szCs w:val="28"/>
        </w:rPr>
        <w:t>；</w:t>
      </w:r>
    </w:p>
    <w:p w14:paraId="4492A73F">
      <w:pPr>
        <w:keepNext w:val="0"/>
        <w:keepLines w:val="0"/>
        <w:pageBreakBefore w:val="0"/>
        <w:widowControl w:val="0"/>
        <w:kinsoku/>
        <w:wordWrap/>
        <w:overflowPunct/>
        <w:topLinePunct w:val="0"/>
        <w:autoSpaceDE/>
        <w:autoSpaceDN/>
        <w:bidi w:val="0"/>
        <w:adjustRightInd/>
        <w:snapToGrid/>
        <w:spacing w:line="360" w:lineRule="auto"/>
        <w:ind w:left="0" w:firstLine="556" w:firstLineChars="200"/>
        <w:textAlignment w:val="auto"/>
        <w:rPr>
          <w:rFonts w:ascii="宋体" w:hAnsi="宋体" w:eastAsia="宋体" w:cs="宋体"/>
          <w:sz w:val="28"/>
          <w:szCs w:val="28"/>
        </w:rPr>
      </w:pPr>
      <w:r>
        <w:rPr>
          <w:rFonts w:ascii="Cambria Math" w:hAnsi="Cambria Math" w:eastAsia="Cambria Math" w:cs="Cambria Math"/>
          <w:spacing w:val="-1"/>
          <w:sz w:val="28"/>
          <w:szCs w:val="28"/>
        </w:rPr>
        <w:t>⑦</w:t>
      </w:r>
      <w:r>
        <w:rPr>
          <w:rFonts w:ascii="宋体" w:hAnsi="宋体" w:eastAsia="宋体" w:cs="宋体"/>
          <w:spacing w:val="-1"/>
          <w:sz w:val="28"/>
          <w:szCs w:val="28"/>
        </w:rPr>
        <w:t>《土地利用现状分类》</w:t>
      </w:r>
      <w:r>
        <w:rPr>
          <w:rFonts w:ascii="Times New Roman" w:hAnsi="Times New Roman" w:eastAsia="Times New Roman" w:cs="Times New Roman"/>
          <w:spacing w:val="-1"/>
          <w:sz w:val="28"/>
          <w:szCs w:val="28"/>
        </w:rPr>
        <w:t>GB/T 21010-2017</w:t>
      </w:r>
      <w:r>
        <w:rPr>
          <w:rFonts w:ascii="宋体" w:hAnsi="宋体" w:eastAsia="宋体" w:cs="宋体"/>
          <w:spacing w:val="-1"/>
          <w:sz w:val="28"/>
          <w:szCs w:val="28"/>
        </w:rPr>
        <w:t>；</w:t>
      </w:r>
    </w:p>
    <w:p w14:paraId="22F63297">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Cambria Math" w:hAnsi="Cambria Math" w:eastAsia="Cambria Math" w:cs="Cambria Math"/>
          <w:spacing w:val="-2"/>
          <w:sz w:val="28"/>
          <w:szCs w:val="28"/>
        </w:rPr>
        <w:t>⑧</w:t>
      </w:r>
      <w:r>
        <w:rPr>
          <w:rFonts w:ascii="宋体" w:hAnsi="宋体" w:eastAsia="宋体" w:cs="宋体"/>
          <w:spacing w:val="-2"/>
          <w:sz w:val="28"/>
          <w:szCs w:val="28"/>
        </w:rPr>
        <w:t>《土地开发整理项目规划设计规范》</w:t>
      </w:r>
      <w:r>
        <w:rPr>
          <w:rFonts w:ascii="Times New Roman" w:hAnsi="Times New Roman" w:eastAsia="Times New Roman" w:cs="Times New Roman"/>
          <w:spacing w:val="-2"/>
          <w:sz w:val="28"/>
          <w:szCs w:val="28"/>
        </w:rPr>
        <w:t>TD/T</w:t>
      </w:r>
      <w:r>
        <w:rPr>
          <w:rFonts w:ascii="Times New Roman" w:hAnsi="Times New Roman" w:eastAsia="Times New Roman" w:cs="Times New Roman"/>
          <w:spacing w:val="44"/>
          <w:sz w:val="28"/>
          <w:szCs w:val="28"/>
        </w:rPr>
        <w:t xml:space="preserve"> </w:t>
      </w:r>
      <w:r>
        <w:rPr>
          <w:rFonts w:ascii="Times New Roman" w:hAnsi="Times New Roman" w:eastAsia="Times New Roman" w:cs="Times New Roman"/>
          <w:spacing w:val="-2"/>
          <w:sz w:val="28"/>
          <w:szCs w:val="28"/>
        </w:rPr>
        <w:t>1012-2000</w:t>
      </w:r>
      <w:r>
        <w:rPr>
          <w:rFonts w:ascii="宋体" w:hAnsi="宋体" w:eastAsia="宋体" w:cs="宋体"/>
          <w:spacing w:val="-2"/>
          <w:sz w:val="28"/>
          <w:szCs w:val="28"/>
        </w:rPr>
        <w:t>。</w:t>
      </w:r>
    </w:p>
    <w:p w14:paraId="57AEDA70">
      <w:pPr>
        <w:keepNext w:val="0"/>
        <w:keepLines w:val="0"/>
        <w:pageBreakBefore w:val="0"/>
        <w:widowControl w:val="0"/>
        <w:kinsoku/>
        <w:wordWrap/>
        <w:overflowPunct/>
        <w:topLinePunct w:val="0"/>
        <w:autoSpaceDE/>
        <w:autoSpaceDN/>
        <w:bidi w:val="0"/>
        <w:adjustRightInd/>
        <w:snapToGrid/>
        <w:spacing w:line="360" w:lineRule="auto"/>
        <w:ind w:left="0" w:firstLine="556" w:firstLineChars="200"/>
        <w:textAlignment w:val="auto"/>
        <w:rPr>
          <w:rFonts w:ascii="宋体" w:hAnsi="宋体" w:eastAsia="宋体" w:cs="宋体"/>
          <w:sz w:val="28"/>
          <w:szCs w:val="28"/>
        </w:rPr>
      </w:pPr>
      <w:r>
        <w:rPr>
          <w:rFonts w:ascii="Times New Roman" w:hAnsi="Times New Roman" w:eastAsia="Times New Roman" w:cs="Times New Roman"/>
          <w:spacing w:val="-1"/>
          <w:sz w:val="28"/>
          <w:szCs w:val="28"/>
        </w:rPr>
        <w:t>2.</w:t>
      </w:r>
      <w:r>
        <w:rPr>
          <w:rFonts w:ascii="宋体" w:hAnsi="宋体" w:eastAsia="宋体" w:cs="宋体"/>
          <w:spacing w:val="-1"/>
          <w:sz w:val="28"/>
          <w:szCs w:val="28"/>
        </w:rPr>
        <w:t>土地利用的相关法规和规划；</w:t>
      </w:r>
    </w:p>
    <w:p w14:paraId="69245CFE">
      <w:pPr>
        <w:keepNext w:val="0"/>
        <w:keepLines w:val="0"/>
        <w:pageBreakBefore w:val="0"/>
        <w:widowControl w:val="0"/>
        <w:kinsoku/>
        <w:wordWrap/>
        <w:overflowPunct/>
        <w:topLinePunct w:val="0"/>
        <w:autoSpaceDE/>
        <w:autoSpaceDN/>
        <w:bidi w:val="0"/>
        <w:adjustRightInd/>
        <w:snapToGrid/>
        <w:spacing w:line="360" w:lineRule="auto"/>
        <w:ind w:left="0" w:firstLine="556" w:firstLineChars="200"/>
        <w:textAlignment w:val="auto"/>
        <w:rPr>
          <w:rFonts w:ascii="宋体" w:hAnsi="宋体" w:eastAsia="宋体" w:cs="宋体"/>
          <w:sz w:val="28"/>
          <w:szCs w:val="28"/>
        </w:rPr>
      </w:pPr>
      <w:r>
        <w:rPr>
          <w:rFonts w:ascii="宋体" w:hAnsi="宋体" w:eastAsia="宋体" w:cs="宋体"/>
          <w:spacing w:val="-1"/>
          <w:sz w:val="28"/>
          <w:szCs w:val="28"/>
        </w:rPr>
        <w:t>包括土地管理的法规、矿区所在地的土地利用总体规划等。</w:t>
      </w:r>
    </w:p>
    <w:p w14:paraId="2C541669">
      <w:pPr>
        <w:keepNext w:val="0"/>
        <w:keepLines w:val="0"/>
        <w:pageBreakBefore w:val="0"/>
        <w:widowControl w:val="0"/>
        <w:kinsoku/>
        <w:wordWrap/>
        <w:overflowPunct/>
        <w:topLinePunct w:val="0"/>
        <w:autoSpaceDE/>
        <w:autoSpaceDN/>
        <w:bidi w:val="0"/>
        <w:adjustRightInd/>
        <w:snapToGrid/>
        <w:spacing w:line="360" w:lineRule="auto"/>
        <w:ind w:left="0" w:firstLine="552" w:firstLineChars="200"/>
        <w:textAlignment w:val="auto"/>
        <w:rPr>
          <w:rFonts w:ascii="宋体" w:hAnsi="宋体" w:eastAsia="宋体" w:cs="宋体"/>
          <w:sz w:val="28"/>
          <w:szCs w:val="28"/>
        </w:rPr>
      </w:pPr>
      <w:r>
        <w:rPr>
          <w:rFonts w:ascii="Times New Roman" w:hAnsi="Times New Roman" w:eastAsia="Times New Roman" w:cs="Times New Roman"/>
          <w:spacing w:val="-2"/>
          <w:sz w:val="28"/>
          <w:szCs w:val="28"/>
        </w:rPr>
        <w:t>3.</w:t>
      </w:r>
      <w:r>
        <w:rPr>
          <w:rFonts w:ascii="宋体" w:hAnsi="宋体" w:eastAsia="宋体" w:cs="宋体"/>
          <w:spacing w:val="-2"/>
          <w:sz w:val="28"/>
          <w:szCs w:val="28"/>
        </w:rPr>
        <w:t>项目区基础资料</w:t>
      </w:r>
    </w:p>
    <w:p w14:paraId="0C870B9A">
      <w:pPr>
        <w:keepNext w:val="0"/>
        <w:keepLines w:val="0"/>
        <w:pageBreakBefore w:val="0"/>
        <w:widowControl w:val="0"/>
        <w:kinsoku/>
        <w:wordWrap/>
        <w:overflowPunct/>
        <w:topLinePunct w:val="0"/>
        <w:autoSpaceDE/>
        <w:autoSpaceDN/>
        <w:bidi w:val="0"/>
        <w:adjustRightInd/>
        <w:snapToGrid/>
        <w:spacing w:line="360" w:lineRule="auto"/>
        <w:ind w:left="0" w:leftChars="0" w:firstLine="572" w:firstLineChars="200"/>
        <w:jc w:val="both"/>
        <w:textAlignment w:val="auto"/>
        <w:rPr>
          <w:rFonts w:hint="eastAsia"/>
          <w:sz w:val="28"/>
          <w:szCs w:val="28"/>
        </w:rPr>
      </w:pPr>
      <w:r>
        <w:rPr>
          <w:rFonts w:ascii="宋体" w:hAnsi="宋体" w:eastAsia="宋体" w:cs="宋体"/>
          <w:spacing w:val="3"/>
          <w:sz w:val="28"/>
          <w:szCs w:val="28"/>
        </w:rPr>
        <w:t>包括项目区及复垦责任范围内自然社会经济状况、土地损毁分析结</w:t>
      </w:r>
      <w:r>
        <w:rPr>
          <w:rFonts w:ascii="宋体" w:hAnsi="宋体" w:eastAsia="宋体" w:cs="宋体"/>
          <w:spacing w:val="-6"/>
          <w:sz w:val="28"/>
          <w:szCs w:val="28"/>
        </w:rPr>
        <w:t>果、土地损毁前后的土地利用状况、损毁土地资源复垦的客观条件以及公</w:t>
      </w:r>
      <w:r>
        <w:rPr>
          <w:rFonts w:ascii="宋体" w:hAnsi="宋体" w:eastAsia="宋体" w:cs="宋体"/>
          <w:spacing w:val="-2"/>
          <w:sz w:val="28"/>
          <w:szCs w:val="28"/>
        </w:rPr>
        <w:t>众参与意见等。</w:t>
      </w:r>
      <w:r>
        <w:rPr>
          <w:rFonts w:hint="eastAsia"/>
          <w:sz w:val="28"/>
          <w:szCs w:val="28"/>
        </w:rPr>
        <w:t>。</w:t>
      </w:r>
    </w:p>
    <w:p w14:paraId="704C080B">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rFonts w:hint="eastAsia"/>
          <w:sz w:val="28"/>
          <w:szCs w:val="28"/>
          <w:highlight w:val="none"/>
          <w:lang w:eastAsia="zh-CN"/>
        </w:rPr>
        <w:t>（</w:t>
      </w:r>
      <w:r>
        <w:rPr>
          <w:rFonts w:hint="eastAsia"/>
          <w:sz w:val="28"/>
          <w:szCs w:val="28"/>
          <w:highlight w:val="none"/>
          <w:lang w:val="en-US" w:eastAsia="zh-CN"/>
        </w:rPr>
        <w:t>3）</w:t>
      </w:r>
      <w:r>
        <w:rPr>
          <w:sz w:val="28"/>
          <w:szCs w:val="28"/>
          <w:highlight w:val="none"/>
        </w:rPr>
        <w:t>评价体系和评价方法</w:t>
      </w:r>
    </w:p>
    <w:p w14:paraId="3E61C41E">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sz w:val="28"/>
          <w:szCs w:val="28"/>
          <w:highlight w:val="none"/>
        </w:rPr>
        <w:t>根据《土地复垦方案编制规程第1部分：通则》（TD/T1031.1-2011）规定，结合矿山实际情况，采用二级评价体系，分为适宜类和适宜等，适宜类分适宜和不适宜，适宜等再续分为一等地、二等地和三等地。</w:t>
      </w:r>
    </w:p>
    <w:p w14:paraId="053EB6F0">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sz w:val="28"/>
          <w:szCs w:val="28"/>
          <w:highlight w:val="none"/>
        </w:rPr>
        <w:t>土地复垦适宜性评价主要是为了确定土地的适宜性用途和指导复垦工作更有效地进行，矿区土地复垦适宜性的限制因子对复垦方法的选择具有较大影响，而极限条件法是将土地质量最低评定标准作为质量等级的依据，能够通过适宜性评价比较清晰地获得进行复垦工作的各个限制因素，以便为土地的进一步改良利用服务，因此，采用极限条件法评价矿区土地复垦的适宜性较能满足要求。</w:t>
      </w:r>
    </w:p>
    <w:p w14:paraId="21EAFECD">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rFonts w:hint="eastAsia"/>
          <w:sz w:val="28"/>
          <w:szCs w:val="28"/>
          <w:highlight w:val="none"/>
          <w:lang w:eastAsia="zh-CN"/>
        </w:rPr>
        <w:t>（</w:t>
      </w:r>
      <w:r>
        <w:rPr>
          <w:rFonts w:hint="eastAsia"/>
          <w:sz w:val="28"/>
          <w:szCs w:val="28"/>
          <w:highlight w:val="none"/>
          <w:lang w:val="en-US" w:eastAsia="zh-CN"/>
        </w:rPr>
        <w:t>3）</w:t>
      </w:r>
      <w:r>
        <w:rPr>
          <w:sz w:val="28"/>
          <w:szCs w:val="28"/>
          <w:highlight w:val="none"/>
        </w:rPr>
        <w:t>适宜性评价</w:t>
      </w:r>
    </w:p>
    <w:p w14:paraId="224638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sz w:val="28"/>
          <w:szCs w:val="28"/>
          <w:highlight w:val="none"/>
        </w:rPr>
      </w:pPr>
      <w:r>
        <w:rPr>
          <w:rFonts w:hint="eastAsia"/>
          <w:sz w:val="28"/>
          <w:szCs w:val="28"/>
          <w:highlight w:val="none"/>
        </w:rPr>
        <w:t>①</w:t>
      </w:r>
      <w:r>
        <w:rPr>
          <w:sz w:val="28"/>
          <w:szCs w:val="28"/>
          <w:highlight w:val="none"/>
        </w:rPr>
        <w:t>复垦范围的界定</w:t>
      </w:r>
    </w:p>
    <w:p w14:paraId="164C0A00">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sz w:val="28"/>
          <w:szCs w:val="28"/>
          <w:highlight w:val="none"/>
        </w:rPr>
        <w:t>依据土地损毁分析与预测结果及矿山地质环境分析，本次复垦主要对</w:t>
      </w:r>
      <w:r>
        <w:rPr>
          <w:rFonts w:hint="eastAsia"/>
          <w:sz w:val="28"/>
          <w:szCs w:val="28"/>
          <w:highlight w:val="none"/>
          <w:lang w:val="en-US" w:eastAsia="zh-CN"/>
        </w:rPr>
        <w:t>露天采场</w:t>
      </w:r>
      <w:r>
        <w:rPr>
          <w:sz w:val="28"/>
          <w:szCs w:val="28"/>
          <w:highlight w:val="none"/>
        </w:rPr>
        <w:t>、</w:t>
      </w:r>
      <w:r>
        <w:rPr>
          <w:rFonts w:hint="eastAsia"/>
          <w:sz w:val="28"/>
          <w:szCs w:val="28"/>
          <w:highlight w:val="none"/>
          <w:lang w:val="en-US" w:eastAsia="zh-CN"/>
        </w:rPr>
        <w:t>排土场</w:t>
      </w:r>
      <w:r>
        <w:rPr>
          <w:sz w:val="28"/>
          <w:szCs w:val="28"/>
          <w:highlight w:val="none"/>
        </w:rPr>
        <w:t>、</w:t>
      </w:r>
      <w:r>
        <w:rPr>
          <w:rFonts w:hint="eastAsia"/>
          <w:sz w:val="28"/>
          <w:szCs w:val="28"/>
          <w:highlight w:val="none"/>
          <w:lang w:val="en-US" w:eastAsia="zh-CN"/>
        </w:rPr>
        <w:t>破碎站、历史采坑一、复垦用土临时堆场等附属设施</w:t>
      </w:r>
      <w:r>
        <w:rPr>
          <w:sz w:val="28"/>
          <w:szCs w:val="28"/>
          <w:highlight w:val="none"/>
        </w:rPr>
        <w:t>进行全面复垦，复垦区总面积为</w:t>
      </w:r>
      <w:r>
        <w:rPr>
          <w:rFonts w:hint="eastAsia"/>
          <w:sz w:val="28"/>
          <w:szCs w:val="28"/>
          <w:highlight w:val="none"/>
          <w:lang w:val="en-US" w:eastAsia="zh-CN"/>
        </w:rPr>
        <w:t>17.9371</w:t>
      </w:r>
      <w:r>
        <w:rPr>
          <w:sz w:val="28"/>
          <w:szCs w:val="28"/>
          <w:highlight w:val="none"/>
        </w:rPr>
        <w:t>hm</w:t>
      </w:r>
      <w:r>
        <w:rPr>
          <w:sz w:val="28"/>
          <w:szCs w:val="28"/>
          <w:highlight w:val="none"/>
          <w:vertAlign w:val="superscript"/>
        </w:rPr>
        <w:t>2</w:t>
      </w:r>
      <w:r>
        <w:rPr>
          <w:rFonts w:hint="eastAsia"/>
          <w:sz w:val="28"/>
          <w:szCs w:val="28"/>
          <w:highlight w:val="none"/>
        </w:rPr>
        <w:t>。</w:t>
      </w:r>
    </w:p>
    <w:p w14:paraId="496682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sz w:val="28"/>
          <w:szCs w:val="28"/>
          <w:highlight w:val="none"/>
        </w:rPr>
      </w:pPr>
      <w:r>
        <w:rPr>
          <w:rFonts w:hint="eastAsia"/>
          <w:sz w:val="28"/>
          <w:szCs w:val="28"/>
          <w:highlight w:val="none"/>
        </w:rPr>
        <w:t>②</w:t>
      </w:r>
      <w:r>
        <w:rPr>
          <w:sz w:val="28"/>
          <w:szCs w:val="28"/>
          <w:highlight w:val="none"/>
        </w:rPr>
        <w:t>适宜性评价单元类型划分</w:t>
      </w:r>
    </w:p>
    <w:p w14:paraId="24378A96">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sz w:val="28"/>
          <w:szCs w:val="28"/>
          <w:highlight w:val="none"/>
        </w:rPr>
        <w:t>评价单元是土地适宜性评价的基本单元，是评价的具体对象。土地对农、林、牧业利用类型的适宜性和适宜程度及其地域分布状况，都是通过评价单元及其组合状况来反映的。评价单元的划分与确定应在遵循评价原则的前提下，根据评价区的具体情况来决定。同一评价单元类型内的土地特征及复垦利用方向和改良途径应基本一致。</w:t>
      </w:r>
    </w:p>
    <w:p w14:paraId="4102BD9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sz w:val="28"/>
          <w:szCs w:val="28"/>
          <w:highlight w:val="none"/>
          <w:lang w:val="en-US" w:eastAsia="zh-CN"/>
        </w:rPr>
      </w:pPr>
      <w:r>
        <w:rPr>
          <w:sz w:val="28"/>
          <w:szCs w:val="28"/>
          <w:highlight w:val="none"/>
        </w:rPr>
        <w:t>通过现场勘查及预测，适宜性评价单元类型</w:t>
      </w:r>
      <w:r>
        <w:rPr>
          <w:rFonts w:hint="eastAsia"/>
          <w:sz w:val="28"/>
          <w:szCs w:val="28"/>
          <w:highlight w:val="none"/>
          <w:lang w:val="en-US" w:eastAsia="zh-CN"/>
        </w:rPr>
        <w:t>将各评价单元划分为露天采场</w:t>
      </w:r>
      <w:r>
        <w:rPr>
          <w:sz w:val="28"/>
          <w:szCs w:val="28"/>
          <w:highlight w:val="none"/>
        </w:rPr>
        <w:t>、</w:t>
      </w:r>
      <w:r>
        <w:rPr>
          <w:rFonts w:hint="eastAsia"/>
          <w:sz w:val="28"/>
          <w:szCs w:val="28"/>
          <w:highlight w:val="none"/>
          <w:lang w:val="en-US" w:eastAsia="zh-CN"/>
        </w:rPr>
        <w:t>工业场地及附属设施2个单元</w:t>
      </w:r>
      <w:r>
        <w:rPr>
          <w:sz w:val="28"/>
          <w:szCs w:val="28"/>
          <w:highlight w:val="none"/>
        </w:rPr>
        <w:t>。</w:t>
      </w:r>
      <w:r>
        <w:rPr>
          <w:rFonts w:hint="eastAsia"/>
          <w:sz w:val="28"/>
          <w:szCs w:val="28"/>
          <w:highlight w:val="none"/>
          <w:lang w:val="en-US" w:eastAsia="zh-CN"/>
        </w:rPr>
        <w:t>其中露天采场单独划分为一个评价单元，将历史采坑一（露天采场外部分）、排土场、破碎站及原废石堆放区、复垦用土临时堆场、办公生活区等合并划分为一个评价单元。</w:t>
      </w:r>
    </w:p>
    <w:p w14:paraId="456C07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sz w:val="28"/>
          <w:szCs w:val="28"/>
          <w:highlight w:val="none"/>
        </w:rPr>
      </w:pPr>
      <w:r>
        <w:rPr>
          <w:rFonts w:hint="eastAsia"/>
          <w:sz w:val="28"/>
          <w:szCs w:val="28"/>
          <w:highlight w:val="none"/>
        </w:rPr>
        <w:t>①</w:t>
      </w:r>
      <w:r>
        <w:rPr>
          <w:sz w:val="28"/>
          <w:szCs w:val="28"/>
          <w:highlight w:val="none"/>
        </w:rPr>
        <w:t>参评单元开采前后特征分析</w:t>
      </w:r>
    </w:p>
    <w:p w14:paraId="180884F7">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highlight w:val="none"/>
        </w:rPr>
      </w:pPr>
      <w:r>
        <w:rPr>
          <w:sz w:val="28"/>
          <w:szCs w:val="28"/>
          <w:highlight w:val="none"/>
        </w:rPr>
        <w:t>参评单元开采前后特征是根据对各参评单元现状踏勘资料，并结合矿山后期的建设方案进行预测，各参评单元的开采前后特征分析如表</w:t>
      </w:r>
      <w:r>
        <w:rPr>
          <w:rFonts w:hint="eastAsia"/>
          <w:sz w:val="28"/>
          <w:szCs w:val="28"/>
          <w:highlight w:val="none"/>
          <w:lang w:val="en-US" w:eastAsia="zh-CN"/>
        </w:rPr>
        <w:t>3-13</w:t>
      </w:r>
      <w:r>
        <w:rPr>
          <w:sz w:val="28"/>
          <w:szCs w:val="28"/>
          <w:highlight w:val="none"/>
        </w:rPr>
        <w:t>。</w:t>
      </w:r>
    </w:p>
    <w:p w14:paraId="1010A5B6">
      <w:pPr>
        <w:pStyle w:val="45"/>
        <w:bidi w:val="0"/>
        <w:rPr>
          <w:rFonts w:hint="eastAsia" w:ascii="宋体" w:hAnsi="宋体" w:eastAsia="宋体" w:cs="宋体"/>
          <w:b/>
          <w:bCs/>
        </w:rPr>
      </w:pPr>
      <w:r>
        <w:rPr>
          <w:rFonts w:hint="eastAsia" w:ascii="宋体" w:hAnsi="宋体" w:eastAsia="宋体" w:cs="宋体"/>
          <w:b/>
          <w:bCs/>
        </w:rPr>
        <w:t>表</w:t>
      </w:r>
      <w:r>
        <w:rPr>
          <w:rFonts w:hint="eastAsia" w:ascii="宋体" w:hAnsi="宋体" w:eastAsia="宋体" w:cs="宋体"/>
          <w:b/>
          <w:bCs/>
          <w:lang w:val="en-US" w:eastAsia="zh-CN"/>
        </w:rPr>
        <w:t>3-13</w:t>
      </w:r>
      <w:r>
        <w:rPr>
          <w:rFonts w:hint="eastAsia" w:ascii="宋体" w:hAnsi="宋体" w:eastAsia="宋体" w:cs="宋体"/>
          <w:b/>
          <w:bCs/>
        </w:rPr>
        <w:t xml:space="preserve">               各参评单元开采前后特征分析</w:t>
      </w:r>
    </w:p>
    <w:tbl>
      <w:tblPr>
        <w:tblStyle w:val="34"/>
        <w:tblW w:w="49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6189"/>
        <w:gridCol w:w="1960"/>
      </w:tblGrid>
      <w:tr w14:paraId="5EF3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9" w:type="pct"/>
            <w:shd w:val="clear" w:color="auto" w:fill="auto"/>
            <w:tcMar>
              <w:top w:w="0" w:type="dxa"/>
              <w:left w:w="28" w:type="dxa"/>
              <w:bottom w:w="0" w:type="dxa"/>
              <w:right w:w="28" w:type="dxa"/>
            </w:tcMar>
            <w:vAlign w:val="center"/>
          </w:tcPr>
          <w:p w14:paraId="58B8E803">
            <w:pPr>
              <w:pStyle w:val="76"/>
              <w:keepNext w:val="0"/>
              <w:keepLines w:val="0"/>
              <w:pageBreakBefore w:val="0"/>
              <w:widowControl w:val="0"/>
              <w:kinsoku/>
              <w:wordWrap/>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评价</w:t>
            </w:r>
          </w:p>
          <w:p w14:paraId="4E8C7C22">
            <w:pPr>
              <w:pStyle w:val="76"/>
              <w:keepNext w:val="0"/>
              <w:keepLines w:val="0"/>
              <w:pageBreakBefore w:val="0"/>
              <w:widowControl w:val="0"/>
              <w:kinsoku/>
              <w:wordWrap/>
              <w:topLinePunct w:val="0"/>
              <w:autoSpaceDE/>
              <w:autoSpaceDN/>
              <w:bidi w:val="0"/>
              <w:adjustRightInd/>
              <w:snapToGrid/>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单元</w:t>
            </w:r>
          </w:p>
        </w:tc>
        <w:tc>
          <w:tcPr>
            <w:tcW w:w="3508" w:type="pct"/>
            <w:shd w:val="clear" w:color="auto" w:fill="auto"/>
            <w:tcMar>
              <w:top w:w="0" w:type="dxa"/>
              <w:left w:w="28" w:type="dxa"/>
              <w:bottom w:w="0" w:type="dxa"/>
              <w:right w:w="28" w:type="dxa"/>
            </w:tcMar>
            <w:vAlign w:val="center"/>
          </w:tcPr>
          <w:p w14:paraId="03D24FB3">
            <w:pPr>
              <w:pStyle w:val="76"/>
              <w:keepNext w:val="0"/>
              <w:keepLines w:val="0"/>
              <w:pageBreakBefore w:val="0"/>
              <w:widowControl w:val="0"/>
              <w:kinsoku/>
              <w:wordWrap/>
              <w:topLinePunct w:val="0"/>
              <w:autoSpaceDE/>
              <w:autoSpaceDN/>
              <w:bidi w:val="0"/>
              <w:adjustRightInd/>
              <w:snapToGrid/>
              <w:spacing w:line="240" w:lineRule="auto"/>
              <w:ind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开采前特征</w:t>
            </w:r>
          </w:p>
        </w:tc>
        <w:tc>
          <w:tcPr>
            <w:tcW w:w="1111" w:type="pct"/>
            <w:shd w:val="clear" w:color="auto" w:fill="auto"/>
            <w:tcMar>
              <w:top w:w="0" w:type="dxa"/>
              <w:left w:w="28" w:type="dxa"/>
              <w:bottom w:w="0" w:type="dxa"/>
              <w:right w:w="28" w:type="dxa"/>
            </w:tcMar>
            <w:vAlign w:val="center"/>
          </w:tcPr>
          <w:p w14:paraId="2A1E6CD9">
            <w:pPr>
              <w:pStyle w:val="76"/>
              <w:keepNext w:val="0"/>
              <w:keepLines w:val="0"/>
              <w:pageBreakBefore w:val="0"/>
              <w:widowControl w:val="0"/>
              <w:kinsoku/>
              <w:wordWrap/>
              <w:topLinePunct w:val="0"/>
              <w:autoSpaceDE/>
              <w:autoSpaceDN/>
              <w:bidi w:val="0"/>
              <w:adjustRightInd/>
              <w:snapToGrid/>
              <w:spacing w:line="240" w:lineRule="auto"/>
              <w:ind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开采后特征</w:t>
            </w:r>
          </w:p>
        </w:tc>
      </w:tr>
      <w:tr w14:paraId="12E6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379" w:type="pct"/>
            <w:tcMar>
              <w:top w:w="0" w:type="dxa"/>
              <w:left w:w="28" w:type="dxa"/>
              <w:bottom w:w="0" w:type="dxa"/>
              <w:right w:w="28" w:type="dxa"/>
            </w:tcMar>
            <w:vAlign w:val="center"/>
          </w:tcPr>
          <w:p w14:paraId="3D1AF5FA">
            <w:pPr>
              <w:pStyle w:val="45"/>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露天采场</w:t>
            </w:r>
          </w:p>
        </w:tc>
        <w:tc>
          <w:tcPr>
            <w:tcW w:w="3508" w:type="pct"/>
            <w:tcMar>
              <w:top w:w="0" w:type="dxa"/>
              <w:left w:w="28" w:type="dxa"/>
              <w:bottom w:w="0" w:type="dxa"/>
              <w:right w:w="28" w:type="dxa"/>
            </w:tcMar>
            <w:vAlign w:val="center"/>
          </w:tcPr>
          <w:p w14:paraId="39902A30">
            <w:pPr>
              <w:pStyle w:val="45"/>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露天采场包含采矿权范围内全部区域，开采前采矿权南部有历史采坑一（与采矿权重叠面积为1.7905hm</w:t>
            </w:r>
            <w:r>
              <w:rPr>
                <w:rFonts w:hint="eastAsia" w:ascii="宋体" w:hAnsi="宋体" w:eastAsia="宋体" w:cs="宋体"/>
                <w:sz w:val="21"/>
                <w:szCs w:val="21"/>
                <w:highlight w:val="none"/>
                <w:vertAlign w:val="superscript"/>
                <w:lang w:val="en-US" w:eastAsia="zh-CN"/>
              </w:rPr>
              <w:t>2</w:t>
            </w:r>
            <w:r>
              <w:rPr>
                <w:rFonts w:hint="eastAsia" w:ascii="宋体" w:hAnsi="宋体" w:eastAsia="宋体" w:cs="宋体"/>
                <w:sz w:val="21"/>
                <w:szCs w:val="21"/>
                <w:highlight w:val="none"/>
                <w:vertAlign w:val="baseline"/>
                <w:lang w:val="en-US" w:eastAsia="zh-CN"/>
              </w:rPr>
              <w:t>），历史采坑一采坑以往开采形成坑塘水面，水面标高53.87m。最低标高约为20m，形成3级台阶，台阶高差7～20m，台阶坡面角49～53°，水面标高53.87m。其他区域地形为低丘台地，地形坡度约1°，</w:t>
            </w:r>
            <w:r>
              <w:rPr>
                <w:rFonts w:hint="eastAsia" w:ascii="宋体" w:hAnsi="宋体" w:eastAsia="宋体" w:cs="宋体"/>
                <w:sz w:val="21"/>
                <w:szCs w:val="21"/>
                <w:highlight w:val="none"/>
              </w:rPr>
              <w:t>植被覆盖</w:t>
            </w:r>
            <w:r>
              <w:rPr>
                <w:rFonts w:hint="eastAsia" w:ascii="宋体" w:hAnsi="宋体" w:eastAsia="宋体" w:cs="宋体"/>
                <w:sz w:val="21"/>
                <w:szCs w:val="21"/>
                <w:highlight w:val="none"/>
                <w:lang w:val="en-US" w:eastAsia="zh-CN"/>
              </w:rPr>
              <w:t>较好。</w:t>
            </w:r>
          </w:p>
        </w:tc>
        <w:tc>
          <w:tcPr>
            <w:tcW w:w="1111" w:type="pct"/>
            <w:tcMar>
              <w:top w:w="0" w:type="dxa"/>
              <w:left w:w="28" w:type="dxa"/>
              <w:bottom w:w="0" w:type="dxa"/>
              <w:right w:w="28" w:type="dxa"/>
            </w:tcMar>
            <w:vAlign w:val="center"/>
          </w:tcPr>
          <w:p w14:paraId="50DE43A3">
            <w:pPr>
              <w:pStyle w:val="45"/>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val="en-US" w:eastAsia="zh-CN"/>
              </w:rPr>
              <w:t>开采后形成凹陷采坑，形成4级台阶，自上</w:t>
            </w:r>
            <w:r>
              <w:rPr>
                <w:rFonts w:hint="eastAsia" w:ascii="宋体" w:hAnsi="宋体" w:eastAsia="宋体" w:cs="宋体"/>
                <w:sz w:val="21"/>
                <w:szCs w:val="21"/>
                <w:highlight w:val="none"/>
              </w:rPr>
              <w:t>而下</w:t>
            </w:r>
            <w:r>
              <w:rPr>
                <w:rFonts w:hint="eastAsia" w:ascii="宋体" w:hAnsi="宋体" w:eastAsia="宋体" w:cs="宋体"/>
                <w:sz w:val="21"/>
                <w:szCs w:val="21"/>
                <w:highlight w:val="none"/>
                <w:lang w:val="en-US" w:eastAsia="zh-CN"/>
              </w:rPr>
              <w:t>台阶标高</w:t>
            </w:r>
            <w:r>
              <w:rPr>
                <w:rFonts w:hint="eastAsia" w:ascii="宋体" w:hAnsi="宋体" w:eastAsia="宋体" w:cs="宋体"/>
                <w:sz w:val="21"/>
                <w:szCs w:val="21"/>
                <w:highlight w:val="none"/>
              </w:rPr>
              <w:t>分别为+55m、+50m、+42m和+30m。</w:t>
            </w:r>
          </w:p>
        </w:tc>
      </w:tr>
      <w:tr w14:paraId="76FC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379" w:type="pct"/>
            <w:tcMar>
              <w:top w:w="0" w:type="dxa"/>
              <w:left w:w="28" w:type="dxa"/>
              <w:bottom w:w="0" w:type="dxa"/>
              <w:right w:w="28" w:type="dxa"/>
            </w:tcMar>
            <w:vAlign w:val="center"/>
          </w:tcPr>
          <w:p w14:paraId="561177C9">
            <w:pPr>
              <w:pStyle w:val="45"/>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工业场地及附属设施</w:t>
            </w:r>
          </w:p>
        </w:tc>
        <w:tc>
          <w:tcPr>
            <w:tcW w:w="3508" w:type="pct"/>
            <w:tcMar>
              <w:top w:w="0" w:type="dxa"/>
              <w:left w:w="28" w:type="dxa"/>
              <w:bottom w:w="0" w:type="dxa"/>
              <w:right w:w="28" w:type="dxa"/>
            </w:tcMar>
            <w:vAlign w:val="center"/>
          </w:tcPr>
          <w:p w14:paraId="66E462DF">
            <w:pPr>
              <w:pStyle w:val="45"/>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baseline"/>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包括历史采坑一（露天采场外部分）、排土场、破碎站及原废石堆放区、复垦用土临时堆场、办公生活区等。历史采坑一（露天采场外部分）处于历史采坑一的外部，表面植被被破坏，历史采矿挖损深度1-3m不等。排土场为历史采坑二全部区域，植被破坏严重，</w:t>
            </w:r>
            <w:r>
              <w:rPr>
                <w:rFonts w:hint="eastAsia" w:ascii="宋体" w:hAnsi="宋体" w:eastAsia="宋体" w:cs="宋体"/>
                <w:sz w:val="21"/>
                <w:szCs w:val="21"/>
                <w:highlight w:val="none"/>
              </w:rPr>
              <w:t>面积约为</w:t>
            </w:r>
            <w:r>
              <w:rPr>
                <w:rFonts w:hint="eastAsia" w:ascii="宋体" w:hAnsi="宋体" w:eastAsia="宋体" w:cs="宋体"/>
                <w:sz w:val="21"/>
                <w:szCs w:val="21"/>
                <w:highlight w:val="none"/>
                <w:lang w:val="en-US" w:eastAsia="zh-CN"/>
              </w:rPr>
              <w:t>2.4635h</w:t>
            </w:r>
            <w:r>
              <w:rPr>
                <w:rFonts w:hint="eastAsia" w:ascii="宋体" w:hAnsi="宋体" w:eastAsia="宋体" w:cs="宋体"/>
                <w:sz w:val="21"/>
                <w:szCs w:val="21"/>
                <w:highlight w:val="none"/>
              </w:rPr>
              <w:t>m</w:t>
            </w:r>
            <w:r>
              <w:rPr>
                <w:rFonts w:hint="eastAsia" w:ascii="宋体" w:hAnsi="宋体" w:eastAsia="宋体" w:cs="宋体"/>
                <w:sz w:val="21"/>
                <w:szCs w:val="21"/>
                <w:highlight w:val="none"/>
                <w:vertAlign w:val="superscript"/>
              </w:rPr>
              <w:t>2</w:t>
            </w:r>
            <w:r>
              <w:rPr>
                <w:rFonts w:hint="eastAsia" w:ascii="宋体" w:hAnsi="宋体" w:eastAsia="宋体" w:cs="宋体"/>
                <w:sz w:val="21"/>
                <w:szCs w:val="21"/>
                <w:highlight w:val="none"/>
              </w:rPr>
              <w:t>，最低处标高35.65m，坑内有积水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最大水深约15.7m，平均</w:t>
            </w:r>
            <w:r>
              <w:rPr>
                <w:rFonts w:hint="eastAsia" w:ascii="宋体" w:hAnsi="宋体" w:eastAsia="宋体" w:cs="宋体"/>
                <w:sz w:val="21"/>
                <w:szCs w:val="21"/>
                <w:highlight w:val="none"/>
              </w:rPr>
              <w:t>约</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m深，水面标高约</w:t>
            </w:r>
            <w:r>
              <w:rPr>
                <w:rFonts w:hint="eastAsia" w:ascii="宋体" w:hAnsi="宋体" w:eastAsia="宋体" w:cs="宋体"/>
                <w:sz w:val="21"/>
                <w:szCs w:val="21"/>
                <w:highlight w:val="none"/>
                <w:lang w:val="en-US" w:eastAsia="zh-CN"/>
              </w:rPr>
              <w:t>51.33</w:t>
            </w:r>
            <w:r>
              <w:rPr>
                <w:rFonts w:hint="eastAsia" w:ascii="宋体" w:hAnsi="宋体" w:eastAsia="宋体" w:cs="宋体"/>
                <w:sz w:val="21"/>
                <w:szCs w:val="21"/>
                <w:highlight w:val="none"/>
              </w:rPr>
              <w:t>m。</w:t>
            </w:r>
            <w:r>
              <w:rPr>
                <w:rFonts w:hint="eastAsia" w:ascii="宋体" w:hAnsi="宋体" w:eastAsia="宋体" w:cs="宋体"/>
                <w:sz w:val="21"/>
                <w:szCs w:val="21"/>
                <w:highlight w:val="none"/>
                <w:lang w:val="en-US" w:eastAsia="zh-CN"/>
              </w:rPr>
              <w:t>开挖深度12-15m</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破碎站及原废石堆放区、办公生活区存在以往建构筑物及废石，植被破坏地表裸露。</w:t>
            </w:r>
          </w:p>
        </w:tc>
        <w:tc>
          <w:tcPr>
            <w:tcW w:w="1111" w:type="pct"/>
            <w:tcMar>
              <w:top w:w="0" w:type="dxa"/>
              <w:left w:w="28" w:type="dxa"/>
              <w:bottom w:w="0" w:type="dxa"/>
              <w:right w:w="28" w:type="dxa"/>
            </w:tcMar>
            <w:vAlign w:val="center"/>
          </w:tcPr>
          <w:p w14:paraId="608F38D7">
            <w:pPr>
              <w:pStyle w:val="45"/>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baseline"/>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rPr>
              <w:t>土地被</w:t>
            </w:r>
            <w:r>
              <w:rPr>
                <w:rFonts w:hint="eastAsia" w:ascii="宋体" w:hAnsi="宋体" w:eastAsia="宋体" w:cs="宋体"/>
                <w:sz w:val="21"/>
                <w:szCs w:val="21"/>
                <w:highlight w:val="none"/>
                <w:lang w:val="en-US" w:eastAsia="zh-CN"/>
              </w:rPr>
              <w:t>人工改造、</w:t>
            </w:r>
            <w:r>
              <w:rPr>
                <w:rFonts w:hint="eastAsia" w:ascii="宋体" w:hAnsi="宋体" w:eastAsia="宋体" w:cs="宋体"/>
                <w:sz w:val="21"/>
                <w:szCs w:val="21"/>
                <w:highlight w:val="none"/>
              </w:rPr>
              <w:t>剥离挖损、植被损毁，</w:t>
            </w:r>
            <w:r>
              <w:rPr>
                <w:rFonts w:hint="eastAsia" w:ascii="宋体" w:hAnsi="宋体" w:eastAsia="宋体" w:cs="宋体"/>
                <w:sz w:val="21"/>
                <w:szCs w:val="21"/>
                <w:highlight w:val="none"/>
                <w:lang w:val="en-US" w:eastAsia="zh-CN"/>
              </w:rPr>
              <w:t>回填整平、局部硬化的平地</w:t>
            </w:r>
            <w:r>
              <w:rPr>
                <w:rFonts w:hint="eastAsia" w:ascii="宋体" w:hAnsi="宋体" w:eastAsia="宋体" w:cs="宋体"/>
                <w:sz w:val="21"/>
                <w:szCs w:val="21"/>
                <w:highlight w:val="none"/>
              </w:rPr>
              <w:t>。</w:t>
            </w:r>
          </w:p>
        </w:tc>
      </w:tr>
    </w:tbl>
    <w:p w14:paraId="60D8F15B">
      <w:pPr>
        <w:numPr>
          <w:ilvl w:val="0"/>
          <w:numId w:val="0"/>
        </w:numPr>
        <w:spacing w:line="360" w:lineRule="auto"/>
        <w:ind w:leftChars="200"/>
        <w:rPr>
          <w:sz w:val="28"/>
          <w:szCs w:val="28"/>
          <w:highlight w:val="none"/>
        </w:rPr>
      </w:pPr>
      <w:r>
        <w:rPr>
          <w:rFonts w:hint="eastAsia"/>
          <w:sz w:val="28"/>
          <w:szCs w:val="28"/>
          <w:highlight w:val="none"/>
        </w:rPr>
        <w:t>②</w:t>
      </w:r>
      <w:r>
        <w:rPr>
          <w:sz w:val="28"/>
          <w:szCs w:val="28"/>
          <w:highlight w:val="none"/>
        </w:rPr>
        <w:t>参评单元可复垦</w:t>
      </w:r>
      <w:r>
        <w:rPr>
          <w:rFonts w:ascii="Times New Roman" w:hAnsi="Times New Roman" w:eastAsia="宋体" w:cs="Times New Roman"/>
          <w:sz w:val="28"/>
          <w:szCs w:val="28"/>
          <w:highlight w:val="none"/>
        </w:rPr>
        <w:t>方向</w:t>
      </w:r>
      <w:r>
        <w:rPr>
          <w:sz w:val="28"/>
          <w:szCs w:val="28"/>
          <w:highlight w:val="none"/>
        </w:rPr>
        <w:t>的选择</w:t>
      </w:r>
    </w:p>
    <w:p w14:paraId="247D1CB6">
      <w:pPr>
        <w:spacing w:line="360" w:lineRule="auto"/>
        <w:rPr>
          <w:sz w:val="28"/>
          <w:szCs w:val="28"/>
          <w:highlight w:val="none"/>
        </w:rPr>
      </w:pPr>
      <w:r>
        <w:rPr>
          <w:sz w:val="28"/>
          <w:szCs w:val="28"/>
          <w:highlight w:val="none"/>
        </w:rPr>
        <w:t>参评单元可复垦方向的选择依据矿山损毁地块的实际情况和当地的主要土地利用方式确定为</w:t>
      </w:r>
      <w:r>
        <w:rPr>
          <w:rFonts w:hint="eastAsia"/>
          <w:sz w:val="28"/>
          <w:szCs w:val="28"/>
          <w:highlight w:val="none"/>
          <w:lang w:val="en-US" w:eastAsia="zh-CN"/>
        </w:rPr>
        <w:t>乔木林地</w:t>
      </w:r>
      <w:r>
        <w:rPr>
          <w:rFonts w:hint="eastAsia"/>
          <w:sz w:val="28"/>
          <w:szCs w:val="28"/>
          <w:highlight w:val="none"/>
          <w:lang w:eastAsia="zh-CN"/>
        </w:rPr>
        <w:t>、</w:t>
      </w:r>
      <w:r>
        <w:rPr>
          <w:rFonts w:hint="eastAsia"/>
          <w:sz w:val="28"/>
          <w:szCs w:val="28"/>
          <w:highlight w:val="none"/>
          <w:lang w:val="en-US" w:eastAsia="zh-CN"/>
        </w:rPr>
        <w:t>坑塘水面</w:t>
      </w:r>
      <w:r>
        <w:rPr>
          <w:sz w:val="28"/>
          <w:szCs w:val="28"/>
          <w:highlight w:val="none"/>
        </w:rPr>
        <w:t>。</w:t>
      </w:r>
    </w:p>
    <w:p w14:paraId="6946BBE1">
      <w:pPr>
        <w:numPr>
          <w:ilvl w:val="0"/>
          <w:numId w:val="0"/>
        </w:numPr>
        <w:spacing w:line="360" w:lineRule="auto"/>
        <w:ind w:leftChars="200"/>
        <w:rPr>
          <w:sz w:val="28"/>
          <w:szCs w:val="28"/>
          <w:highlight w:val="none"/>
        </w:rPr>
      </w:pPr>
      <w:r>
        <w:rPr>
          <w:rFonts w:hint="eastAsia"/>
          <w:sz w:val="28"/>
          <w:szCs w:val="28"/>
          <w:highlight w:val="none"/>
        </w:rPr>
        <w:t>③</w:t>
      </w:r>
      <w:r>
        <w:rPr>
          <w:sz w:val="28"/>
          <w:szCs w:val="28"/>
          <w:highlight w:val="none"/>
        </w:rPr>
        <w:t>评价因子适宜程度分级</w:t>
      </w:r>
    </w:p>
    <w:p w14:paraId="738BB781">
      <w:pPr>
        <w:spacing w:line="360" w:lineRule="auto"/>
        <w:rPr>
          <w:sz w:val="28"/>
          <w:szCs w:val="28"/>
          <w:highlight w:val="none"/>
        </w:rPr>
      </w:pPr>
      <w:r>
        <w:rPr>
          <w:rFonts w:hint="eastAsia"/>
          <w:sz w:val="28"/>
          <w:szCs w:val="28"/>
          <w:highlight w:val="none"/>
        </w:rPr>
        <w:t>考虑</w:t>
      </w:r>
      <w:r>
        <w:rPr>
          <w:sz w:val="28"/>
          <w:szCs w:val="28"/>
          <w:highlight w:val="none"/>
        </w:rPr>
        <w:t>复垦区各种生物对土壤的要求，对各评价因子进行分级，将其适宜程度分为宜耕类、宜园类、宜林类、宜牧类、其它类五个等级。各评价因子适宜程度分级情况如表</w:t>
      </w:r>
      <w:r>
        <w:rPr>
          <w:rFonts w:hint="eastAsia"/>
          <w:sz w:val="28"/>
          <w:szCs w:val="28"/>
          <w:highlight w:val="none"/>
          <w:lang w:val="en-US" w:eastAsia="zh-CN"/>
        </w:rPr>
        <w:t>3-14</w:t>
      </w:r>
      <w:r>
        <w:rPr>
          <w:sz w:val="28"/>
          <w:szCs w:val="28"/>
          <w:highlight w:val="none"/>
        </w:rPr>
        <w:t>所示。</w:t>
      </w:r>
    </w:p>
    <w:p w14:paraId="775F8946">
      <w:pPr>
        <w:pStyle w:val="45"/>
        <w:keepNext w:val="0"/>
        <w:keepLines w:val="0"/>
        <w:pageBreakBefore w:val="0"/>
        <w:widowControl w:val="0"/>
        <w:kinsoku/>
        <w:wordWrap/>
        <w:overflowPunct w:val="0"/>
        <w:topLinePunct w:val="0"/>
        <w:autoSpaceDE/>
        <w:autoSpaceDN/>
        <w:bidi w:val="0"/>
        <w:adjustRightInd/>
        <w:snapToGrid/>
        <w:ind w:firstLine="0" w:firstLineChars="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表</w:t>
      </w:r>
      <w:r>
        <w:rPr>
          <w:rFonts w:hint="eastAsia" w:ascii="宋体" w:hAnsi="宋体" w:eastAsia="宋体" w:cs="宋体"/>
          <w:b/>
          <w:bCs/>
          <w:sz w:val="24"/>
          <w:szCs w:val="24"/>
          <w:highlight w:val="none"/>
          <w:lang w:val="en-US" w:eastAsia="zh-CN"/>
        </w:rPr>
        <w:t>3-14</w:t>
      </w:r>
      <w:r>
        <w:rPr>
          <w:rFonts w:hint="eastAsia" w:ascii="宋体" w:hAnsi="宋体" w:eastAsia="宋体" w:cs="宋体"/>
          <w:b/>
          <w:bCs/>
          <w:sz w:val="24"/>
          <w:szCs w:val="24"/>
          <w:highlight w:val="none"/>
        </w:rPr>
        <w:t xml:space="preserve">       适宜程度评价标准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122"/>
        <w:gridCol w:w="1108"/>
        <w:gridCol w:w="1044"/>
        <w:gridCol w:w="1141"/>
        <w:gridCol w:w="1141"/>
        <w:gridCol w:w="1141"/>
        <w:gridCol w:w="1044"/>
      </w:tblGrid>
      <w:tr w14:paraId="0C7C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0" w:type="auto"/>
            <w:vMerge w:val="restart"/>
            <w:tcMar>
              <w:left w:w="57" w:type="dxa"/>
              <w:right w:w="57" w:type="dxa"/>
            </w:tcMar>
            <w:vAlign w:val="center"/>
          </w:tcPr>
          <w:p w14:paraId="098C9FCC">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级别</w:t>
            </w:r>
          </w:p>
        </w:tc>
        <w:tc>
          <w:tcPr>
            <w:tcW w:w="0" w:type="auto"/>
            <w:gridSpan w:val="3"/>
            <w:tcMar>
              <w:left w:w="57" w:type="dxa"/>
              <w:right w:w="57" w:type="dxa"/>
            </w:tcMar>
            <w:vAlign w:val="center"/>
          </w:tcPr>
          <w:p w14:paraId="7B045FD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宜耕类</w:t>
            </w:r>
          </w:p>
        </w:tc>
        <w:tc>
          <w:tcPr>
            <w:tcW w:w="0" w:type="auto"/>
            <w:vMerge w:val="restart"/>
            <w:tcMar>
              <w:left w:w="57" w:type="dxa"/>
              <w:right w:w="57" w:type="dxa"/>
            </w:tcMar>
            <w:vAlign w:val="center"/>
          </w:tcPr>
          <w:p w14:paraId="6A1FEF7E">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宜园类</w:t>
            </w:r>
          </w:p>
        </w:tc>
        <w:tc>
          <w:tcPr>
            <w:tcW w:w="0" w:type="auto"/>
            <w:vMerge w:val="restart"/>
            <w:tcMar>
              <w:left w:w="57" w:type="dxa"/>
              <w:right w:w="57" w:type="dxa"/>
            </w:tcMar>
            <w:vAlign w:val="center"/>
          </w:tcPr>
          <w:p w14:paraId="05108B3C">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宜林类</w:t>
            </w:r>
          </w:p>
        </w:tc>
        <w:tc>
          <w:tcPr>
            <w:tcW w:w="0" w:type="auto"/>
            <w:vMerge w:val="restart"/>
            <w:tcMar>
              <w:left w:w="57" w:type="dxa"/>
              <w:right w:w="57" w:type="dxa"/>
            </w:tcMar>
            <w:vAlign w:val="center"/>
          </w:tcPr>
          <w:p w14:paraId="52C8B0E8">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宜牧类</w:t>
            </w:r>
          </w:p>
        </w:tc>
        <w:tc>
          <w:tcPr>
            <w:tcW w:w="0" w:type="auto"/>
            <w:vMerge w:val="restart"/>
            <w:tcMar>
              <w:left w:w="57" w:type="dxa"/>
              <w:right w:w="57" w:type="dxa"/>
            </w:tcMar>
            <w:vAlign w:val="center"/>
          </w:tcPr>
          <w:p w14:paraId="0F80E6E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其它类</w:t>
            </w:r>
          </w:p>
        </w:tc>
      </w:tr>
      <w:tr w14:paraId="7A7C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0" w:type="auto"/>
            <w:vMerge w:val="continue"/>
            <w:tcMar>
              <w:left w:w="57" w:type="dxa"/>
              <w:right w:w="57" w:type="dxa"/>
            </w:tcMar>
            <w:vAlign w:val="center"/>
          </w:tcPr>
          <w:p w14:paraId="06E0A24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p>
        </w:tc>
        <w:tc>
          <w:tcPr>
            <w:tcW w:w="0" w:type="auto"/>
            <w:tcMar>
              <w:left w:w="57" w:type="dxa"/>
              <w:right w:w="57" w:type="dxa"/>
            </w:tcMar>
            <w:vAlign w:val="center"/>
          </w:tcPr>
          <w:p w14:paraId="07B29AA2">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一级</w:t>
            </w:r>
          </w:p>
        </w:tc>
        <w:tc>
          <w:tcPr>
            <w:tcW w:w="0" w:type="auto"/>
            <w:tcMar>
              <w:left w:w="57" w:type="dxa"/>
              <w:right w:w="57" w:type="dxa"/>
            </w:tcMar>
            <w:vAlign w:val="center"/>
          </w:tcPr>
          <w:p w14:paraId="6503154F">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二级</w:t>
            </w:r>
          </w:p>
        </w:tc>
        <w:tc>
          <w:tcPr>
            <w:tcW w:w="0" w:type="auto"/>
            <w:tcMar>
              <w:left w:w="57" w:type="dxa"/>
              <w:right w:w="57" w:type="dxa"/>
            </w:tcMar>
            <w:vAlign w:val="center"/>
          </w:tcPr>
          <w:p w14:paraId="4FBA9454">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三级</w:t>
            </w:r>
          </w:p>
        </w:tc>
        <w:tc>
          <w:tcPr>
            <w:tcW w:w="0" w:type="auto"/>
            <w:vMerge w:val="continue"/>
            <w:tcMar>
              <w:left w:w="57" w:type="dxa"/>
              <w:right w:w="57" w:type="dxa"/>
            </w:tcMar>
            <w:vAlign w:val="center"/>
          </w:tcPr>
          <w:p w14:paraId="28B49002">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p>
        </w:tc>
        <w:tc>
          <w:tcPr>
            <w:tcW w:w="0" w:type="auto"/>
            <w:vMerge w:val="continue"/>
            <w:tcMar>
              <w:left w:w="57" w:type="dxa"/>
              <w:right w:w="57" w:type="dxa"/>
            </w:tcMar>
            <w:vAlign w:val="center"/>
          </w:tcPr>
          <w:p w14:paraId="30643A13">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p>
        </w:tc>
        <w:tc>
          <w:tcPr>
            <w:tcW w:w="0" w:type="auto"/>
            <w:vMerge w:val="continue"/>
            <w:tcMar>
              <w:left w:w="57" w:type="dxa"/>
              <w:right w:w="57" w:type="dxa"/>
            </w:tcMar>
            <w:vAlign w:val="center"/>
          </w:tcPr>
          <w:p w14:paraId="19EF2F1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p>
        </w:tc>
        <w:tc>
          <w:tcPr>
            <w:tcW w:w="0" w:type="auto"/>
            <w:vMerge w:val="continue"/>
            <w:tcMar>
              <w:left w:w="57" w:type="dxa"/>
              <w:right w:w="57" w:type="dxa"/>
            </w:tcMar>
            <w:vAlign w:val="center"/>
          </w:tcPr>
          <w:p w14:paraId="6AA4084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p>
        </w:tc>
      </w:tr>
      <w:tr w14:paraId="6DDB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0" w:type="auto"/>
            <w:tcMar>
              <w:left w:w="57" w:type="dxa"/>
              <w:right w:w="57" w:type="dxa"/>
            </w:tcMar>
            <w:vAlign w:val="center"/>
          </w:tcPr>
          <w:p w14:paraId="08BFAC23">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地面坡度°</w:t>
            </w:r>
          </w:p>
        </w:tc>
        <w:tc>
          <w:tcPr>
            <w:tcW w:w="0" w:type="auto"/>
            <w:tcMar>
              <w:left w:w="57" w:type="dxa"/>
              <w:right w:w="57" w:type="dxa"/>
            </w:tcMar>
            <w:vAlign w:val="center"/>
          </w:tcPr>
          <w:p w14:paraId="3FF9DC4B">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&lt;6</w:t>
            </w:r>
          </w:p>
        </w:tc>
        <w:tc>
          <w:tcPr>
            <w:tcW w:w="0" w:type="auto"/>
            <w:tcMar>
              <w:left w:w="57" w:type="dxa"/>
              <w:right w:w="57" w:type="dxa"/>
            </w:tcMar>
            <w:vAlign w:val="center"/>
          </w:tcPr>
          <w:p w14:paraId="61BF1CC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6～15</w:t>
            </w:r>
          </w:p>
        </w:tc>
        <w:tc>
          <w:tcPr>
            <w:tcW w:w="0" w:type="auto"/>
            <w:tcMar>
              <w:left w:w="57" w:type="dxa"/>
              <w:right w:w="57" w:type="dxa"/>
            </w:tcMar>
            <w:vAlign w:val="center"/>
          </w:tcPr>
          <w:p w14:paraId="2441F9F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15～25</w:t>
            </w:r>
          </w:p>
        </w:tc>
        <w:tc>
          <w:tcPr>
            <w:tcW w:w="0" w:type="auto"/>
            <w:tcMar>
              <w:left w:w="57" w:type="dxa"/>
              <w:right w:w="57" w:type="dxa"/>
            </w:tcMar>
            <w:vAlign w:val="center"/>
          </w:tcPr>
          <w:p w14:paraId="0EEB4E9C">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6～25</w:t>
            </w:r>
          </w:p>
        </w:tc>
        <w:tc>
          <w:tcPr>
            <w:tcW w:w="0" w:type="auto"/>
            <w:tcMar>
              <w:left w:w="57" w:type="dxa"/>
              <w:right w:w="57" w:type="dxa"/>
            </w:tcMar>
            <w:vAlign w:val="center"/>
          </w:tcPr>
          <w:p w14:paraId="6DD8112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&gt;25</w:t>
            </w:r>
          </w:p>
        </w:tc>
        <w:tc>
          <w:tcPr>
            <w:tcW w:w="0" w:type="auto"/>
            <w:tcMar>
              <w:left w:w="57" w:type="dxa"/>
              <w:right w:w="57" w:type="dxa"/>
            </w:tcMar>
            <w:vAlign w:val="center"/>
          </w:tcPr>
          <w:p w14:paraId="6532C73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20～35</w:t>
            </w:r>
          </w:p>
        </w:tc>
        <w:tc>
          <w:tcPr>
            <w:tcW w:w="0" w:type="auto"/>
            <w:tcMar>
              <w:left w:w="57" w:type="dxa"/>
              <w:right w:w="57" w:type="dxa"/>
            </w:tcMar>
            <w:vAlign w:val="center"/>
          </w:tcPr>
          <w:p w14:paraId="4E27B8DC">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w:t>
            </w:r>
          </w:p>
        </w:tc>
      </w:tr>
      <w:tr w14:paraId="4F30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0" w:type="auto"/>
            <w:tcMar>
              <w:left w:w="57" w:type="dxa"/>
              <w:right w:w="57" w:type="dxa"/>
            </w:tcMar>
            <w:vAlign w:val="center"/>
          </w:tcPr>
          <w:p w14:paraId="345C51A3">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土壤侵蚀性</w:t>
            </w:r>
          </w:p>
        </w:tc>
        <w:tc>
          <w:tcPr>
            <w:tcW w:w="0" w:type="auto"/>
            <w:tcMar>
              <w:left w:w="57" w:type="dxa"/>
              <w:right w:w="57" w:type="dxa"/>
            </w:tcMar>
            <w:vAlign w:val="center"/>
          </w:tcPr>
          <w:p w14:paraId="784EB5CE">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无</w:t>
            </w:r>
          </w:p>
        </w:tc>
        <w:tc>
          <w:tcPr>
            <w:tcW w:w="0" w:type="auto"/>
            <w:tcMar>
              <w:left w:w="57" w:type="dxa"/>
              <w:right w:w="57" w:type="dxa"/>
            </w:tcMar>
            <w:vAlign w:val="center"/>
          </w:tcPr>
          <w:p w14:paraId="53FF83F7">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≤10</w:t>
            </w:r>
          </w:p>
        </w:tc>
        <w:tc>
          <w:tcPr>
            <w:tcW w:w="0" w:type="auto"/>
            <w:tcMar>
              <w:left w:w="57" w:type="dxa"/>
              <w:right w:w="57" w:type="dxa"/>
            </w:tcMar>
            <w:vAlign w:val="center"/>
          </w:tcPr>
          <w:p w14:paraId="0B709F4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11～30</w:t>
            </w:r>
          </w:p>
        </w:tc>
        <w:tc>
          <w:tcPr>
            <w:tcW w:w="0" w:type="auto"/>
            <w:tcMar>
              <w:left w:w="57" w:type="dxa"/>
              <w:right w:w="57" w:type="dxa"/>
            </w:tcMar>
            <w:vAlign w:val="center"/>
          </w:tcPr>
          <w:p w14:paraId="56D07DC8">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30～50</w:t>
            </w:r>
          </w:p>
        </w:tc>
        <w:tc>
          <w:tcPr>
            <w:tcW w:w="0" w:type="auto"/>
            <w:tcMar>
              <w:left w:w="57" w:type="dxa"/>
              <w:right w:w="57" w:type="dxa"/>
            </w:tcMar>
            <w:vAlign w:val="center"/>
          </w:tcPr>
          <w:p w14:paraId="33D1DAB4">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30～50</w:t>
            </w:r>
          </w:p>
        </w:tc>
        <w:tc>
          <w:tcPr>
            <w:tcW w:w="0" w:type="auto"/>
            <w:tcMar>
              <w:left w:w="57" w:type="dxa"/>
              <w:right w:w="57" w:type="dxa"/>
            </w:tcMar>
            <w:vAlign w:val="center"/>
          </w:tcPr>
          <w:p w14:paraId="396463E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＞50</w:t>
            </w:r>
          </w:p>
        </w:tc>
        <w:tc>
          <w:tcPr>
            <w:tcW w:w="0" w:type="auto"/>
            <w:tcMar>
              <w:left w:w="57" w:type="dxa"/>
              <w:right w:w="57" w:type="dxa"/>
            </w:tcMar>
            <w:vAlign w:val="center"/>
          </w:tcPr>
          <w:p w14:paraId="05F8B4B2">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w:t>
            </w:r>
          </w:p>
        </w:tc>
      </w:tr>
      <w:tr w14:paraId="4C75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0" w:type="auto"/>
            <w:tcMar>
              <w:left w:w="57" w:type="dxa"/>
              <w:right w:w="57" w:type="dxa"/>
            </w:tcMar>
            <w:vAlign w:val="center"/>
          </w:tcPr>
          <w:p w14:paraId="1B44382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有效土层厚度（mm）</w:t>
            </w:r>
          </w:p>
        </w:tc>
        <w:tc>
          <w:tcPr>
            <w:tcW w:w="0" w:type="auto"/>
            <w:tcMar>
              <w:left w:w="57" w:type="dxa"/>
              <w:right w:w="57" w:type="dxa"/>
            </w:tcMar>
            <w:vAlign w:val="center"/>
          </w:tcPr>
          <w:p w14:paraId="104FB2B2">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&gt;100</w:t>
            </w:r>
          </w:p>
        </w:tc>
        <w:tc>
          <w:tcPr>
            <w:tcW w:w="0" w:type="auto"/>
            <w:tcMar>
              <w:left w:w="57" w:type="dxa"/>
              <w:right w:w="57" w:type="dxa"/>
            </w:tcMar>
            <w:vAlign w:val="center"/>
          </w:tcPr>
          <w:p w14:paraId="034194A6">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50～100</w:t>
            </w:r>
          </w:p>
        </w:tc>
        <w:tc>
          <w:tcPr>
            <w:tcW w:w="0" w:type="auto"/>
            <w:tcMar>
              <w:left w:w="57" w:type="dxa"/>
              <w:right w:w="57" w:type="dxa"/>
            </w:tcMar>
            <w:vAlign w:val="center"/>
          </w:tcPr>
          <w:p w14:paraId="3429D1BE">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30～50</w:t>
            </w:r>
          </w:p>
        </w:tc>
        <w:tc>
          <w:tcPr>
            <w:tcW w:w="0" w:type="auto"/>
            <w:tcMar>
              <w:left w:w="57" w:type="dxa"/>
              <w:right w:w="57" w:type="dxa"/>
            </w:tcMar>
            <w:vAlign w:val="center"/>
          </w:tcPr>
          <w:p w14:paraId="723D93B0">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50～100</w:t>
            </w:r>
          </w:p>
        </w:tc>
        <w:tc>
          <w:tcPr>
            <w:tcW w:w="0" w:type="auto"/>
            <w:tcMar>
              <w:left w:w="57" w:type="dxa"/>
              <w:right w:w="57" w:type="dxa"/>
            </w:tcMar>
            <w:vAlign w:val="center"/>
          </w:tcPr>
          <w:p w14:paraId="6E8C5C27">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50～100</w:t>
            </w:r>
          </w:p>
        </w:tc>
        <w:tc>
          <w:tcPr>
            <w:tcW w:w="0" w:type="auto"/>
            <w:tcMar>
              <w:left w:w="57" w:type="dxa"/>
              <w:right w:w="57" w:type="dxa"/>
            </w:tcMar>
            <w:vAlign w:val="center"/>
          </w:tcPr>
          <w:p w14:paraId="701218D8">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10～50</w:t>
            </w:r>
          </w:p>
        </w:tc>
        <w:tc>
          <w:tcPr>
            <w:tcW w:w="0" w:type="auto"/>
            <w:tcMar>
              <w:left w:w="57" w:type="dxa"/>
              <w:right w:w="57" w:type="dxa"/>
            </w:tcMar>
            <w:vAlign w:val="center"/>
          </w:tcPr>
          <w:p w14:paraId="385A0C2E">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&lt;10</w:t>
            </w:r>
          </w:p>
        </w:tc>
      </w:tr>
      <w:tr w14:paraId="3A1D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0" w:type="auto"/>
            <w:tcMar>
              <w:left w:w="57" w:type="dxa"/>
              <w:right w:w="57" w:type="dxa"/>
            </w:tcMar>
            <w:vAlign w:val="center"/>
          </w:tcPr>
          <w:p w14:paraId="6734592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土壤质地</w:t>
            </w:r>
          </w:p>
        </w:tc>
        <w:tc>
          <w:tcPr>
            <w:tcW w:w="0" w:type="auto"/>
            <w:tcMar>
              <w:left w:w="57" w:type="dxa"/>
              <w:right w:w="57" w:type="dxa"/>
            </w:tcMar>
            <w:vAlign w:val="center"/>
          </w:tcPr>
          <w:p w14:paraId="636CD66D">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轻壤中壤</w:t>
            </w:r>
          </w:p>
        </w:tc>
        <w:tc>
          <w:tcPr>
            <w:tcW w:w="0" w:type="auto"/>
            <w:tcMar>
              <w:left w:w="57" w:type="dxa"/>
              <w:right w:w="57" w:type="dxa"/>
            </w:tcMar>
            <w:vAlign w:val="center"/>
          </w:tcPr>
          <w:p w14:paraId="043500CB">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砂壤重壤</w:t>
            </w:r>
          </w:p>
        </w:tc>
        <w:tc>
          <w:tcPr>
            <w:tcW w:w="0" w:type="auto"/>
            <w:tcMar>
              <w:left w:w="57" w:type="dxa"/>
              <w:right w:w="57" w:type="dxa"/>
            </w:tcMar>
            <w:vAlign w:val="center"/>
          </w:tcPr>
          <w:p w14:paraId="0DF33E9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砂土粘土</w:t>
            </w:r>
          </w:p>
        </w:tc>
        <w:tc>
          <w:tcPr>
            <w:tcW w:w="0" w:type="auto"/>
            <w:tcMar>
              <w:left w:w="57" w:type="dxa"/>
              <w:right w:w="57" w:type="dxa"/>
            </w:tcMar>
            <w:vAlign w:val="center"/>
          </w:tcPr>
          <w:p w14:paraId="08208FF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砂壤砂土</w:t>
            </w:r>
          </w:p>
        </w:tc>
        <w:tc>
          <w:tcPr>
            <w:tcW w:w="0" w:type="auto"/>
            <w:tcMar>
              <w:left w:w="57" w:type="dxa"/>
              <w:right w:w="57" w:type="dxa"/>
            </w:tcMar>
            <w:vAlign w:val="center"/>
          </w:tcPr>
          <w:p w14:paraId="6E5A0844">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砂土</w:t>
            </w:r>
          </w:p>
        </w:tc>
        <w:tc>
          <w:tcPr>
            <w:tcW w:w="0" w:type="auto"/>
            <w:tcMar>
              <w:left w:w="57" w:type="dxa"/>
              <w:right w:w="57" w:type="dxa"/>
            </w:tcMar>
            <w:vAlign w:val="center"/>
          </w:tcPr>
          <w:p w14:paraId="1C8F7A3D">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砂土</w:t>
            </w:r>
          </w:p>
        </w:tc>
        <w:tc>
          <w:tcPr>
            <w:tcW w:w="0" w:type="auto"/>
            <w:tcMar>
              <w:left w:w="57" w:type="dxa"/>
              <w:right w:w="57" w:type="dxa"/>
            </w:tcMar>
            <w:vAlign w:val="center"/>
          </w:tcPr>
          <w:p w14:paraId="23609B4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流沙裸岩</w:t>
            </w:r>
          </w:p>
        </w:tc>
      </w:tr>
      <w:tr w14:paraId="42AA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0" w:type="auto"/>
            <w:tcMar>
              <w:left w:w="57" w:type="dxa"/>
              <w:right w:w="57" w:type="dxa"/>
            </w:tcMar>
            <w:vAlign w:val="center"/>
          </w:tcPr>
          <w:p w14:paraId="3BE13D8E">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排水条件</w:t>
            </w:r>
          </w:p>
        </w:tc>
        <w:tc>
          <w:tcPr>
            <w:tcW w:w="0" w:type="auto"/>
            <w:tcMar>
              <w:left w:w="57" w:type="dxa"/>
              <w:right w:w="57" w:type="dxa"/>
            </w:tcMar>
            <w:vAlign w:val="center"/>
          </w:tcPr>
          <w:p w14:paraId="4E94C097">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不淹没或偶然淹没，排水条件好</w:t>
            </w:r>
          </w:p>
        </w:tc>
        <w:tc>
          <w:tcPr>
            <w:tcW w:w="0" w:type="auto"/>
            <w:tcMar>
              <w:left w:w="57" w:type="dxa"/>
              <w:right w:w="57" w:type="dxa"/>
            </w:tcMar>
            <w:vAlign w:val="center"/>
          </w:tcPr>
          <w:p w14:paraId="25473ED4">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不淹没或偶然淹没，排水条件好</w:t>
            </w:r>
          </w:p>
        </w:tc>
        <w:tc>
          <w:tcPr>
            <w:tcW w:w="0" w:type="auto"/>
            <w:tcMar>
              <w:left w:w="57" w:type="dxa"/>
              <w:right w:w="57" w:type="dxa"/>
            </w:tcMar>
            <w:vAlign w:val="center"/>
          </w:tcPr>
          <w:p w14:paraId="5179F5DF">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季节性短期淹没，排水较好</w:t>
            </w:r>
          </w:p>
        </w:tc>
        <w:tc>
          <w:tcPr>
            <w:tcW w:w="0" w:type="auto"/>
            <w:tcMar>
              <w:left w:w="57" w:type="dxa"/>
              <w:right w:w="57" w:type="dxa"/>
            </w:tcMar>
            <w:vAlign w:val="center"/>
          </w:tcPr>
          <w:p w14:paraId="4FC71AAD">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季节性短期淹没，排水较好</w:t>
            </w:r>
          </w:p>
        </w:tc>
        <w:tc>
          <w:tcPr>
            <w:tcW w:w="0" w:type="auto"/>
            <w:tcMar>
              <w:left w:w="57" w:type="dxa"/>
              <w:right w:w="57" w:type="dxa"/>
            </w:tcMar>
            <w:vAlign w:val="center"/>
          </w:tcPr>
          <w:p w14:paraId="122A018F">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季节性短期淹没，排水条件较好</w:t>
            </w:r>
          </w:p>
        </w:tc>
        <w:tc>
          <w:tcPr>
            <w:tcW w:w="0" w:type="auto"/>
            <w:tcMar>
              <w:left w:w="57" w:type="dxa"/>
              <w:right w:w="57" w:type="dxa"/>
            </w:tcMar>
            <w:vAlign w:val="center"/>
          </w:tcPr>
          <w:p w14:paraId="097D084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季节性较长期淹没，排水条件较差</w:t>
            </w:r>
          </w:p>
        </w:tc>
        <w:tc>
          <w:tcPr>
            <w:tcW w:w="0" w:type="auto"/>
            <w:tcMar>
              <w:left w:w="57" w:type="dxa"/>
              <w:right w:w="57" w:type="dxa"/>
            </w:tcMar>
            <w:vAlign w:val="center"/>
          </w:tcPr>
          <w:p w14:paraId="6F3C662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长期淹没，排水条件很差</w:t>
            </w:r>
          </w:p>
        </w:tc>
      </w:tr>
      <w:tr w14:paraId="4971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0" w:type="auto"/>
            <w:tcMar>
              <w:left w:w="57" w:type="dxa"/>
              <w:right w:w="57" w:type="dxa"/>
            </w:tcMar>
            <w:vAlign w:val="center"/>
          </w:tcPr>
          <w:p w14:paraId="50A8C522">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水源保证</w:t>
            </w:r>
          </w:p>
          <w:p w14:paraId="3BFB4C20">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情况</w:t>
            </w:r>
          </w:p>
        </w:tc>
        <w:tc>
          <w:tcPr>
            <w:tcW w:w="0" w:type="auto"/>
            <w:tcMar>
              <w:left w:w="57" w:type="dxa"/>
              <w:right w:w="57" w:type="dxa"/>
            </w:tcMar>
            <w:vAlign w:val="center"/>
          </w:tcPr>
          <w:p w14:paraId="2528DEB3">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旱作较稳定的有灌溉的干旱、半干旱土地</w:t>
            </w:r>
          </w:p>
        </w:tc>
        <w:tc>
          <w:tcPr>
            <w:tcW w:w="0" w:type="auto"/>
            <w:tcMar>
              <w:left w:w="57" w:type="dxa"/>
              <w:right w:w="57" w:type="dxa"/>
            </w:tcMar>
            <w:vAlign w:val="center"/>
          </w:tcPr>
          <w:p w14:paraId="66FAEE7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旱作较稳定的有灌溉的干旱、半干旱土地</w:t>
            </w:r>
          </w:p>
        </w:tc>
        <w:tc>
          <w:tcPr>
            <w:tcW w:w="0" w:type="auto"/>
            <w:tcMar>
              <w:left w:w="57" w:type="dxa"/>
              <w:right w:w="57" w:type="dxa"/>
            </w:tcMar>
            <w:vAlign w:val="center"/>
          </w:tcPr>
          <w:p w14:paraId="073A769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灌溉水源保证差的干旱、半干旱土地</w:t>
            </w:r>
          </w:p>
        </w:tc>
        <w:tc>
          <w:tcPr>
            <w:tcW w:w="0" w:type="auto"/>
            <w:tcMar>
              <w:left w:w="57" w:type="dxa"/>
              <w:right w:w="57" w:type="dxa"/>
            </w:tcMar>
            <w:vAlign w:val="center"/>
          </w:tcPr>
          <w:p w14:paraId="36FD152B">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无灌溉水源保证，旱作不稳定的半干旱土地</w:t>
            </w:r>
          </w:p>
        </w:tc>
        <w:tc>
          <w:tcPr>
            <w:tcW w:w="0" w:type="auto"/>
            <w:tcMar>
              <w:left w:w="57" w:type="dxa"/>
              <w:right w:w="57" w:type="dxa"/>
            </w:tcMar>
            <w:vAlign w:val="center"/>
          </w:tcPr>
          <w:p w14:paraId="68144C1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无灌溉水源保证，旱作不稳定的半干旱土地</w:t>
            </w:r>
          </w:p>
        </w:tc>
        <w:tc>
          <w:tcPr>
            <w:tcW w:w="0" w:type="auto"/>
            <w:tcMar>
              <w:left w:w="57" w:type="dxa"/>
              <w:right w:w="57" w:type="dxa"/>
            </w:tcMar>
            <w:vAlign w:val="center"/>
          </w:tcPr>
          <w:p w14:paraId="5E0D048E">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无灌溉水源保证，旱作不稳定的半干旱土地</w:t>
            </w:r>
          </w:p>
        </w:tc>
        <w:tc>
          <w:tcPr>
            <w:tcW w:w="0" w:type="auto"/>
            <w:tcMar>
              <w:left w:w="57" w:type="dxa"/>
              <w:right w:w="57" w:type="dxa"/>
            </w:tcMar>
            <w:vAlign w:val="center"/>
          </w:tcPr>
          <w:p w14:paraId="3EB354C8">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无灌溉源保证，不能旱作的干旱地区</w:t>
            </w:r>
          </w:p>
        </w:tc>
      </w:tr>
      <w:tr w14:paraId="7FE1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0" w:type="auto"/>
            <w:tcMar>
              <w:left w:w="57" w:type="dxa"/>
              <w:right w:w="57" w:type="dxa"/>
            </w:tcMar>
            <w:vAlign w:val="center"/>
          </w:tcPr>
          <w:p w14:paraId="63F67DA8">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土壤污染</w:t>
            </w:r>
          </w:p>
        </w:tc>
        <w:tc>
          <w:tcPr>
            <w:tcW w:w="0" w:type="auto"/>
            <w:gridSpan w:val="4"/>
            <w:tcMar>
              <w:left w:w="57" w:type="dxa"/>
              <w:right w:w="57" w:type="dxa"/>
            </w:tcMar>
            <w:vAlign w:val="center"/>
          </w:tcPr>
          <w:p w14:paraId="56199FD6">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无</w:t>
            </w:r>
          </w:p>
        </w:tc>
        <w:tc>
          <w:tcPr>
            <w:tcW w:w="0" w:type="auto"/>
            <w:tcMar>
              <w:left w:w="57" w:type="dxa"/>
              <w:right w:w="57" w:type="dxa"/>
            </w:tcMar>
            <w:vAlign w:val="center"/>
          </w:tcPr>
          <w:p w14:paraId="2744A0A7">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轻度</w:t>
            </w:r>
          </w:p>
        </w:tc>
        <w:tc>
          <w:tcPr>
            <w:tcW w:w="0" w:type="auto"/>
            <w:tcMar>
              <w:left w:w="57" w:type="dxa"/>
              <w:right w:w="57" w:type="dxa"/>
            </w:tcMar>
            <w:vAlign w:val="center"/>
          </w:tcPr>
          <w:p w14:paraId="755E816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中度</w:t>
            </w:r>
          </w:p>
        </w:tc>
        <w:tc>
          <w:tcPr>
            <w:tcW w:w="0" w:type="auto"/>
            <w:tcMar>
              <w:left w:w="57" w:type="dxa"/>
              <w:right w:w="57" w:type="dxa"/>
            </w:tcMar>
            <w:vAlign w:val="center"/>
          </w:tcPr>
          <w:p w14:paraId="54CD0E2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highlight w:val="none"/>
              </w:rPr>
            </w:pPr>
            <w:r>
              <w:rPr>
                <w:sz w:val="24"/>
                <w:szCs w:val="24"/>
                <w:highlight w:val="none"/>
              </w:rPr>
              <w:t>重度</w:t>
            </w:r>
          </w:p>
        </w:tc>
      </w:tr>
      <w:tr w14:paraId="4A04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0" w:type="auto"/>
            <w:gridSpan w:val="8"/>
            <w:tcMar>
              <w:left w:w="57" w:type="dxa"/>
              <w:right w:w="57" w:type="dxa"/>
            </w:tcMar>
            <w:vAlign w:val="center"/>
          </w:tcPr>
          <w:p w14:paraId="53AD5C2B">
            <w:pPr>
              <w:pStyle w:val="76"/>
              <w:keepNext w:val="0"/>
              <w:keepLines w:val="0"/>
              <w:pageBreakBefore w:val="0"/>
              <w:widowControl w:val="0"/>
              <w:kinsoku/>
              <w:wordWrap/>
              <w:overflowPunct/>
              <w:topLinePunct w:val="0"/>
              <w:autoSpaceDE/>
              <w:autoSpaceDN/>
              <w:bidi w:val="0"/>
              <w:adjustRightInd/>
              <w:snapToGrid/>
              <w:spacing w:line="240" w:lineRule="auto"/>
              <w:jc w:val="left"/>
              <w:textAlignment w:val="auto"/>
              <w:rPr>
                <w:sz w:val="24"/>
                <w:szCs w:val="24"/>
                <w:highlight w:val="none"/>
              </w:rPr>
            </w:pPr>
            <w:r>
              <w:rPr>
                <w:sz w:val="24"/>
                <w:szCs w:val="24"/>
                <w:highlight w:val="none"/>
              </w:rPr>
              <w:t>注：土壤侵蚀性为侵蚀性沟谷占地的比例，单位为%</w:t>
            </w:r>
          </w:p>
        </w:tc>
      </w:tr>
    </w:tbl>
    <w:p w14:paraId="1099DC8E">
      <w:pPr>
        <w:numPr>
          <w:ilvl w:val="0"/>
          <w:numId w:val="0"/>
        </w:numPr>
        <w:spacing w:line="360" w:lineRule="auto"/>
        <w:ind w:leftChars="200"/>
        <w:rPr>
          <w:sz w:val="28"/>
          <w:szCs w:val="28"/>
          <w:highlight w:val="none"/>
        </w:rPr>
      </w:pPr>
      <w:r>
        <w:rPr>
          <w:rFonts w:hint="eastAsia"/>
          <w:sz w:val="28"/>
          <w:szCs w:val="28"/>
          <w:highlight w:val="none"/>
        </w:rPr>
        <w:t>④</w:t>
      </w:r>
      <w:r>
        <w:rPr>
          <w:sz w:val="28"/>
          <w:szCs w:val="28"/>
          <w:highlight w:val="none"/>
        </w:rPr>
        <w:t>参评</w:t>
      </w:r>
      <w:r>
        <w:rPr>
          <w:rFonts w:ascii="Times New Roman" w:hAnsi="Times New Roman" w:eastAsia="宋体" w:cs="Times New Roman"/>
          <w:sz w:val="28"/>
          <w:szCs w:val="28"/>
          <w:highlight w:val="none"/>
        </w:rPr>
        <w:t>单元</w:t>
      </w:r>
      <w:r>
        <w:rPr>
          <w:sz w:val="28"/>
          <w:szCs w:val="28"/>
          <w:highlight w:val="none"/>
        </w:rPr>
        <w:t>土地质量指标预测</w:t>
      </w:r>
    </w:p>
    <w:p w14:paraId="3BD909A4">
      <w:pPr>
        <w:spacing w:line="360" w:lineRule="auto"/>
        <w:rPr>
          <w:sz w:val="28"/>
          <w:szCs w:val="28"/>
          <w:highlight w:val="none"/>
        </w:rPr>
      </w:pPr>
      <w:r>
        <w:rPr>
          <w:sz w:val="28"/>
          <w:szCs w:val="28"/>
          <w:highlight w:val="none"/>
        </w:rPr>
        <w:t>参评单元的土地质量是通过多个土地性状值来表达的，根据“</w:t>
      </w:r>
      <w:r>
        <w:rPr>
          <w:rFonts w:hint="eastAsia"/>
          <w:sz w:val="28"/>
          <w:szCs w:val="28"/>
          <w:highlight w:val="none"/>
          <w:lang w:val="en-US" w:eastAsia="zh-CN"/>
        </w:rPr>
        <w:t>开采方案</w:t>
      </w:r>
      <w:r>
        <w:rPr>
          <w:sz w:val="28"/>
          <w:szCs w:val="28"/>
          <w:highlight w:val="none"/>
        </w:rPr>
        <w:t>”和矿区已损毁土地的实际调查情况，分别将矿区参评单元的土地质量列于表</w:t>
      </w:r>
      <w:r>
        <w:rPr>
          <w:rFonts w:hint="eastAsia"/>
          <w:sz w:val="28"/>
          <w:szCs w:val="28"/>
          <w:highlight w:val="none"/>
          <w:lang w:val="en-US" w:eastAsia="zh-CN"/>
        </w:rPr>
        <w:t>3-15</w:t>
      </w:r>
      <w:r>
        <w:rPr>
          <w:sz w:val="28"/>
          <w:szCs w:val="28"/>
          <w:highlight w:val="none"/>
        </w:rPr>
        <w:t>中。</w:t>
      </w:r>
    </w:p>
    <w:p w14:paraId="6A0143CA">
      <w:pPr>
        <w:pStyle w:val="45"/>
        <w:keepNext w:val="0"/>
        <w:keepLines w:val="0"/>
        <w:pageBreakBefore w:val="0"/>
        <w:widowControl w:val="0"/>
        <w:kinsoku/>
        <w:wordWrap/>
        <w:overflowPunct w:val="0"/>
        <w:topLinePunct w:val="0"/>
        <w:autoSpaceDE/>
        <w:autoSpaceDN/>
        <w:bidi w:val="0"/>
        <w:adjustRightInd/>
        <w:snapToGrid/>
        <w:ind w:firstLine="0" w:firstLineChars="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表</w:t>
      </w:r>
      <w:r>
        <w:rPr>
          <w:rFonts w:hint="eastAsia" w:ascii="宋体" w:hAnsi="宋体" w:eastAsia="宋体" w:cs="宋体"/>
          <w:b/>
          <w:bCs/>
          <w:sz w:val="24"/>
          <w:szCs w:val="24"/>
          <w:highlight w:val="none"/>
          <w:lang w:val="en-US" w:eastAsia="zh-CN"/>
        </w:rPr>
        <w:t>3-15</w:t>
      </w:r>
      <w:r>
        <w:rPr>
          <w:rFonts w:hint="eastAsia" w:ascii="宋体" w:hAnsi="宋体" w:eastAsia="宋体" w:cs="宋体"/>
          <w:b/>
          <w:bCs/>
          <w:sz w:val="24"/>
          <w:szCs w:val="24"/>
          <w:highlight w:val="none"/>
        </w:rPr>
        <w:t xml:space="preserve">       待复垦土地参评性质</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1"/>
        <w:gridCol w:w="2718"/>
        <w:gridCol w:w="2720"/>
      </w:tblGrid>
      <w:tr w14:paraId="7325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78" w:type="pct"/>
            <w:vMerge w:val="restart"/>
            <w:tcBorders>
              <w:tl2br w:val="single" w:color="auto" w:sz="4" w:space="0"/>
            </w:tcBorders>
            <w:vAlign w:val="center"/>
          </w:tcPr>
          <w:p w14:paraId="60C45E94">
            <w:pPr>
              <w:pStyle w:val="76"/>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评价单元</w:t>
            </w:r>
          </w:p>
          <w:p w14:paraId="7A389C9B">
            <w:pPr>
              <w:pStyle w:val="76"/>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评价指标</w:t>
            </w:r>
          </w:p>
        </w:tc>
        <w:tc>
          <w:tcPr>
            <w:tcW w:w="3021" w:type="pct"/>
            <w:gridSpan w:val="2"/>
            <w:vAlign w:val="center"/>
          </w:tcPr>
          <w:p w14:paraId="033B8C1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参评单元</w:t>
            </w:r>
          </w:p>
        </w:tc>
      </w:tr>
      <w:tr w14:paraId="062C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vMerge w:val="continue"/>
            <w:tcBorders>
              <w:top w:val="single" w:color="auto" w:sz="4" w:space="0"/>
              <w:bottom w:val="single" w:color="auto" w:sz="4" w:space="0"/>
              <w:right w:val="single" w:color="auto" w:sz="4" w:space="0"/>
              <w:tl2br w:val="single" w:color="auto" w:sz="4" w:space="0"/>
            </w:tcBorders>
            <w:vAlign w:val="center"/>
          </w:tcPr>
          <w:p w14:paraId="26E66D01">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4CAFB86D">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露天采场</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74D85188">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工业场地及附属设施</w:t>
            </w:r>
          </w:p>
        </w:tc>
      </w:tr>
      <w:tr w14:paraId="3803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tcBorders>
              <w:top w:val="single" w:color="auto" w:sz="4" w:space="0"/>
              <w:bottom w:val="single" w:color="auto" w:sz="4" w:space="0"/>
              <w:right w:val="single" w:color="auto" w:sz="4" w:space="0"/>
            </w:tcBorders>
            <w:vAlign w:val="center"/>
          </w:tcPr>
          <w:p w14:paraId="3139F454">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地形坡度（°）</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570A854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&gt;25</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124BD2FF">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&lt;6</w:t>
            </w:r>
          </w:p>
        </w:tc>
      </w:tr>
      <w:tr w14:paraId="3B17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tcBorders>
              <w:top w:val="single" w:color="auto" w:sz="4" w:space="0"/>
              <w:bottom w:val="single" w:color="auto" w:sz="4" w:space="0"/>
              <w:right w:val="single" w:color="auto" w:sz="4" w:space="0"/>
            </w:tcBorders>
            <w:vAlign w:val="center"/>
          </w:tcPr>
          <w:p w14:paraId="01BA652C">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土壤侵蚀</w:t>
            </w:r>
            <w:r>
              <w:rPr>
                <w:rFonts w:hint="eastAsia" w:ascii="宋体" w:hAnsi="宋体" w:cs="宋体"/>
                <w:sz w:val="24"/>
                <w:szCs w:val="24"/>
                <w:highlight w:val="none"/>
                <w:lang w:val="en-US" w:eastAsia="zh-CN"/>
              </w:rPr>
              <w:t>性</w:t>
            </w:r>
            <w:r>
              <w:rPr>
                <w:rFonts w:hint="eastAsia" w:ascii="宋体" w:hAnsi="宋体" w:eastAsia="宋体" w:cs="宋体"/>
                <w:sz w:val="24"/>
                <w:szCs w:val="24"/>
                <w:highlight w:val="none"/>
              </w:rPr>
              <w:t>（%）</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bottom"/>
          </w:tcPr>
          <w:p w14:paraId="7D9AA715">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30～50</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5CF7F4E1">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≤10</w:t>
            </w:r>
          </w:p>
        </w:tc>
      </w:tr>
      <w:tr w14:paraId="7BA3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trPr>
        <w:tc>
          <w:tcPr>
            <w:tcW w:w="1978" w:type="pct"/>
            <w:tcBorders>
              <w:top w:val="single" w:color="auto" w:sz="4" w:space="0"/>
              <w:bottom w:val="single" w:color="auto" w:sz="4" w:space="0"/>
              <w:right w:val="single" w:color="auto" w:sz="4" w:space="0"/>
            </w:tcBorders>
            <w:vAlign w:val="center"/>
          </w:tcPr>
          <w:p w14:paraId="43F2AA1D">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有效土层厚度（mm）</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bottom"/>
          </w:tcPr>
          <w:p w14:paraId="2ECF45C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&lt;10</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1E56244A">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50～100</w:t>
            </w:r>
          </w:p>
        </w:tc>
      </w:tr>
      <w:tr w14:paraId="2665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tcBorders>
              <w:top w:val="single" w:color="auto" w:sz="4" w:space="0"/>
              <w:bottom w:val="single" w:color="auto" w:sz="4" w:space="0"/>
              <w:right w:val="single" w:color="auto" w:sz="4" w:space="0"/>
            </w:tcBorders>
            <w:vAlign w:val="center"/>
          </w:tcPr>
          <w:p w14:paraId="4EC49E47">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土壤质地</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bottom"/>
          </w:tcPr>
          <w:p w14:paraId="36FBDB0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流沙裸岩</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top"/>
          </w:tcPr>
          <w:p w14:paraId="3AA9C088">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砂土</w:t>
            </w:r>
          </w:p>
        </w:tc>
      </w:tr>
      <w:tr w14:paraId="6B1E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tcBorders>
              <w:top w:val="single" w:color="auto" w:sz="4" w:space="0"/>
              <w:bottom w:val="single" w:color="auto" w:sz="4" w:space="0"/>
              <w:right w:val="single" w:color="auto" w:sz="4" w:space="0"/>
            </w:tcBorders>
            <w:vAlign w:val="center"/>
          </w:tcPr>
          <w:p w14:paraId="7D0A7AE6">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排水条件</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4FBBE1F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长期淹没，排水条件很差</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096AF299">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排水条件较好</w:t>
            </w:r>
          </w:p>
        </w:tc>
      </w:tr>
      <w:tr w14:paraId="5F8D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tcBorders>
              <w:top w:val="single" w:color="auto" w:sz="4" w:space="0"/>
              <w:bottom w:val="single" w:color="auto" w:sz="4" w:space="0"/>
              <w:right w:val="single" w:color="auto" w:sz="4" w:space="0"/>
            </w:tcBorders>
            <w:vAlign w:val="center"/>
          </w:tcPr>
          <w:p w14:paraId="3CE1BE53">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水源保证情况</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2142C7C3">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无灌溉源保证</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5A1F7D58">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无灌溉水源保证</w:t>
            </w:r>
          </w:p>
        </w:tc>
      </w:tr>
      <w:tr w14:paraId="44D7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978" w:type="pct"/>
            <w:tcBorders>
              <w:top w:val="single" w:color="auto" w:sz="4" w:space="0"/>
              <w:bottom w:val="single" w:color="auto" w:sz="4" w:space="0"/>
              <w:right w:val="single" w:color="auto" w:sz="4" w:space="0"/>
            </w:tcBorders>
            <w:vAlign w:val="center"/>
          </w:tcPr>
          <w:p w14:paraId="0A5631CA">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土壤污染</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0E064C39">
            <w:pPr>
              <w:pStyle w:val="7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sz w:val="24"/>
                <w:szCs w:val="24"/>
                <w:highlight w:val="none"/>
              </w:rPr>
              <w:t>无</w:t>
            </w:r>
          </w:p>
        </w:tc>
        <w:tc>
          <w:tcPr>
            <w:tcW w:w="1510" w:type="pct"/>
            <w:tcBorders>
              <w:top w:val="single" w:color="auto" w:sz="4" w:space="0"/>
              <w:left w:val="single" w:color="auto" w:sz="4" w:space="0"/>
              <w:bottom w:val="single" w:color="auto" w:sz="4" w:space="0"/>
              <w:right w:val="single" w:color="auto" w:sz="4" w:space="0"/>
            </w:tcBorders>
            <w:shd w:val="clear" w:color="auto" w:fill="auto"/>
            <w:vAlign w:val="center"/>
          </w:tcPr>
          <w:p w14:paraId="2FB272AB">
            <w:pPr>
              <w:pStyle w:val="7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4"/>
                <w:szCs w:val="24"/>
                <w:highlight w:val="none"/>
                <w:lang w:val="en-US" w:eastAsia="zh-CN" w:bidi="ar-SA"/>
              </w:rPr>
            </w:pPr>
            <w:r>
              <w:rPr>
                <w:sz w:val="24"/>
                <w:szCs w:val="24"/>
                <w:highlight w:val="none"/>
              </w:rPr>
              <w:t>无</w:t>
            </w:r>
          </w:p>
        </w:tc>
      </w:tr>
    </w:tbl>
    <w:p w14:paraId="03AD0AF7">
      <w:pPr>
        <w:spacing w:line="360" w:lineRule="auto"/>
        <w:rPr>
          <w:sz w:val="28"/>
          <w:szCs w:val="28"/>
          <w:highlight w:val="none"/>
        </w:rPr>
      </w:pPr>
      <w:r>
        <w:rPr>
          <w:rFonts w:hint="eastAsia"/>
          <w:sz w:val="28"/>
          <w:szCs w:val="28"/>
          <w:lang w:val="en-US" w:eastAsia="zh-CN"/>
        </w:rPr>
        <w:t>（4）</w:t>
      </w:r>
      <w:r>
        <w:rPr>
          <w:sz w:val="28"/>
          <w:szCs w:val="28"/>
          <w:highlight w:val="none"/>
        </w:rPr>
        <w:t>待复垦土地适宜性评价结果</w:t>
      </w:r>
    </w:p>
    <w:p w14:paraId="22628B6B">
      <w:pPr>
        <w:spacing w:line="360" w:lineRule="auto"/>
        <w:rPr>
          <w:sz w:val="28"/>
          <w:szCs w:val="28"/>
          <w:highlight w:val="none"/>
        </w:rPr>
      </w:pPr>
      <w:r>
        <w:rPr>
          <w:sz w:val="28"/>
          <w:szCs w:val="28"/>
          <w:highlight w:val="none"/>
        </w:rPr>
        <w:t>根据参评单元土地性质，对照拟定的待复垦土地主要影响因素农、林、牧评价等级标准进行逐项比配，采用极限条件法，首先确定各参评单元农、林、牧不同等级的适宜性。其次根据评价单元土地质量指标及各因素农、林、牧不同等级的评价标准确定评价单元土地复垦农、林、牧业的适宜性</w:t>
      </w:r>
      <w:r>
        <w:rPr>
          <w:rFonts w:hint="eastAsia"/>
          <w:sz w:val="28"/>
          <w:szCs w:val="28"/>
          <w:highlight w:val="none"/>
          <w:lang w:eastAsia="zh-CN"/>
        </w:rPr>
        <w:t>（</w:t>
      </w:r>
      <w:r>
        <w:rPr>
          <w:rFonts w:hint="eastAsia"/>
          <w:sz w:val="28"/>
          <w:szCs w:val="28"/>
          <w:highlight w:val="none"/>
          <w:lang w:val="en-US" w:eastAsia="zh-CN"/>
        </w:rPr>
        <w:t>表3-16</w:t>
      </w:r>
      <w:r>
        <w:rPr>
          <w:rFonts w:hint="eastAsia"/>
          <w:sz w:val="28"/>
          <w:szCs w:val="28"/>
          <w:highlight w:val="none"/>
          <w:lang w:eastAsia="zh-CN"/>
        </w:rPr>
        <w:t>）</w:t>
      </w:r>
      <w:r>
        <w:rPr>
          <w:sz w:val="28"/>
          <w:szCs w:val="28"/>
          <w:highlight w:val="none"/>
        </w:rPr>
        <w:t>。</w:t>
      </w:r>
    </w:p>
    <w:p w14:paraId="1AEE67F0">
      <w:pPr>
        <w:pStyle w:val="45"/>
        <w:rPr>
          <w:rFonts w:hint="eastAsia" w:ascii="宋体" w:hAnsi="宋体" w:eastAsia="宋体" w:cs="宋体"/>
          <w:b/>
          <w:bCs/>
          <w:highlight w:val="none"/>
        </w:rPr>
      </w:pPr>
      <w:r>
        <w:rPr>
          <w:rFonts w:hint="eastAsia" w:ascii="宋体" w:hAnsi="宋体" w:eastAsia="宋体" w:cs="宋体"/>
          <w:b/>
          <w:bCs/>
          <w:highlight w:val="none"/>
        </w:rPr>
        <w:t>表</w:t>
      </w:r>
      <w:r>
        <w:rPr>
          <w:rFonts w:hint="eastAsia" w:ascii="宋体" w:hAnsi="宋体" w:eastAsia="宋体" w:cs="宋体"/>
          <w:b/>
          <w:bCs/>
          <w:highlight w:val="none"/>
          <w:lang w:val="en-US" w:eastAsia="zh-CN"/>
        </w:rPr>
        <w:t>3-16</w:t>
      </w:r>
      <w:r>
        <w:rPr>
          <w:rFonts w:hint="eastAsia" w:ascii="宋体" w:hAnsi="宋体" w:eastAsia="宋体" w:cs="宋体"/>
          <w:b/>
          <w:bCs/>
          <w:highlight w:val="none"/>
        </w:rPr>
        <w:t xml:space="preserve">                 待复垦土地复垦方向一览表</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3"/>
        <w:gridCol w:w="2337"/>
        <w:gridCol w:w="2496"/>
        <w:gridCol w:w="1973"/>
      </w:tblGrid>
      <w:tr w14:paraId="1640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8" w:type="pct"/>
            <w:vAlign w:val="center"/>
          </w:tcPr>
          <w:p w14:paraId="2B58310A">
            <w:pPr>
              <w:pStyle w:val="76"/>
              <w:spacing w:line="240" w:lineRule="auto"/>
              <w:rPr>
                <w:sz w:val="24"/>
                <w:szCs w:val="24"/>
                <w:highlight w:val="none"/>
              </w:rPr>
            </w:pPr>
            <w:r>
              <w:rPr>
                <w:sz w:val="24"/>
                <w:szCs w:val="24"/>
                <w:highlight w:val="none"/>
              </w:rPr>
              <w:t>场地</w:t>
            </w:r>
          </w:p>
        </w:tc>
        <w:tc>
          <w:tcPr>
            <w:tcW w:w="1298" w:type="pct"/>
            <w:vAlign w:val="center"/>
          </w:tcPr>
          <w:p w14:paraId="57F6A00D">
            <w:pPr>
              <w:pStyle w:val="76"/>
              <w:spacing w:line="240" w:lineRule="auto"/>
              <w:rPr>
                <w:sz w:val="24"/>
                <w:szCs w:val="24"/>
                <w:highlight w:val="none"/>
              </w:rPr>
            </w:pPr>
            <w:r>
              <w:rPr>
                <w:sz w:val="24"/>
                <w:szCs w:val="24"/>
                <w:highlight w:val="none"/>
              </w:rPr>
              <w:t>主要限制因子</w:t>
            </w:r>
          </w:p>
        </w:tc>
        <w:tc>
          <w:tcPr>
            <w:tcW w:w="1386" w:type="pct"/>
            <w:vAlign w:val="center"/>
          </w:tcPr>
          <w:p w14:paraId="2AEDA550">
            <w:pPr>
              <w:pStyle w:val="76"/>
              <w:spacing w:line="240" w:lineRule="auto"/>
              <w:rPr>
                <w:sz w:val="24"/>
                <w:szCs w:val="24"/>
                <w:highlight w:val="none"/>
              </w:rPr>
            </w:pPr>
            <w:r>
              <w:rPr>
                <w:sz w:val="24"/>
                <w:szCs w:val="24"/>
                <w:highlight w:val="none"/>
              </w:rPr>
              <w:t>整治改良措施建议</w:t>
            </w:r>
          </w:p>
        </w:tc>
        <w:tc>
          <w:tcPr>
            <w:tcW w:w="1096" w:type="pct"/>
            <w:vAlign w:val="center"/>
          </w:tcPr>
          <w:p w14:paraId="579E860A">
            <w:pPr>
              <w:pStyle w:val="76"/>
              <w:spacing w:line="240" w:lineRule="auto"/>
              <w:rPr>
                <w:sz w:val="24"/>
                <w:szCs w:val="24"/>
                <w:highlight w:val="none"/>
              </w:rPr>
            </w:pPr>
            <w:r>
              <w:rPr>
                <w:sz w:val="24"/>
                <w:szCs w:val="24"/>
                <w:highlight w:val="none"/>
              </w:rPr>
              <w:t>适宜用途</w:t>
            </w:r>
          </w:p>
        </w:tc>
      </w:tr>
      <w:tr w14:paraId="20A7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shd w:val="clear" w:color="auto" w:fill="auto"/>
            <w:vAlign w:val="center"/>
          </w:tcPr>
          <w:p w14:paraId="2822D1AD">
            <w:pPr>
              <w:pStyle w:val="76"/>
              <w:spacing w:line="240" w:lineRule="auto"/>
              <w:rPr>
                <w:sz w:val="24"/>
                <w:szCs w:val="24"/>
                <w:highlight w:val="none"/>
              </w:rPr>
            </w:pPr>
            <w:r>
              <w:rPr>
                <w:rFonts w:hint="eastAsia" w:ascii="宋体" w:hAnsi="宋体" w:eastAsia="宋体" w:cs="宋体"/>
                <w:sz w:val="24"/>
                <w:szCs w:val="24"/>
                <w:highlight w:val="none"/>
                <w:lang w:val="en-US" w:eastAsia="zh-CN"/>
              </w:rPr>
              <w:t>露天采场</w:t>
            </w:r>
          </w:p>
        </w:tc>
        <w:tc>
          <w:tcPr>
            <w:tcW w:w="1298" w:type="pct"/>
            <w:vAlign w:val="center"/>
          </w:tcPr>
          <w:p w14:paraId="236E1ED7">
            <w:pPr>
              <w:pStyle w:val="76"/>
              <w:spacing w:line="240" w:lineRule="auto"/>
              <w:jc w:val="left"/>
              <w:rPr>
                <w:rFonts w:hint="eastAsia" w:eastAsia="宋体"/>
                <w:sz w:val="24"/>
                <w:szCs w:val="24"/>
                <w:highlight w:val="none"/>
                <w:lang w:val="en-US" w:eastAsia="zh-CN"/>
              </w:rPr>
            </w:pPr>
            <w:r>
              <w:rPr>
                <w:rFonts w:hint="eastAsia"/>
                <w:sz w:val="24"/>
                <w:szCs w:val="24"/>
                <w:highlight w:val="none"/>
              </w:rPr>
              <w:t>排水条件</w:t>
            </w:r>
            <w:r>
              <w:rPr>
                <w:rFonts w:hint="eastAsia"/>
                <w:sz w:val="24"/>
                <w:szCs w:val="24"/>
                <w:highlight w:val="none"/>
                <w:lang w:eastAsia="zh-CN"/>
              </w:rPr>
              <w:t>、</w:t>
            </w:r>
            <w:r>
              <w:rPr>
                <w:sz w:val="24"/>
                <w:szCs w:val="24"/>
                <w:highlight w:val="none"/>
              </w:rPr>
              <w:t>有效土层厚度</w:t>
            </w:r>
            <w:r>
              <w:rPr>
                <w:rFonts w:hint="eastAsia"/>
                <w:sz w:val="24"/>
                <w:szCs w:val="24"/>
                <w:highlight w:val="none"/>
                <w:lang w:eastAsia="zh-CN"/>
              </w:rPr>
              <w:t>、</w:t>
            </w:r>
            <w:r>
              <w:rPr>
                <w:rFonts w:hint="eastAsia"/>
                <w:sz w:val="24"/>
                <w:szCs w:val="24"/>
                <w:highlight w:val="none"/>
              </w:rPr>
              <w:t>土壤质地</w:t>
            </w:r>
          </w:p>
        </w:tc>
        <w:tc>
          <w:tcPr>
            <w:tcW w:w="1386" w:type="pct"/>
            <w:vAlign w:val="center"/>
          </w:tcPr>
          <w:p w14:paraId="5204DC94">
            <w:pPr>
              <w:pStyle w:val="76"/>
              <w:spacing w:line="240" w:lineRule="auto"/>
              <w:jc w:val="left"/>
              <w:rPr>
                <w:rFonts w:hint="default" w:eastAsia="宋体"/>
                <w:sz w:val="24"/>
                <w:szCs w:val="24"/>
                <w:highlight w:val="none"/>
                <w:lang w:val="en-US" w:eastAsia="zh-CN"/>
              </w:rPr>
            </w:pPr>
            <w:r>
              <w:rPr>
                <w:rFonts w:hint="eastAsia" w:ascii="宋体" w:hAnsi="宋体" w:eastAsia="宋体" w:cs="宋体"/>
                <w:sz w:val="24"/>
                <w:szCs w:val="24"/>
                <w:highlight w:val="none"/>
              </w:rPr>
              <w:t>+5</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m</w:t>
            </w:r>
            <w:r>
              <w:rPr>
                <w:rFonts w:hint="eastAsia" w:ascii="宋体" w:hAnsi="宋体" w:cs="宋体"/>
                <w:sz w:val="24"/>
                <w:szCs w:val="24"/>
                <w:highlight w:val="none"/>
                <w:lang w:val="en-US" w:eastAsia="zh-CN"/>
              </w:rPr>
              <w:t>标高平台以上植树，</w:t>
            </w:r>
            <w:r>
              <w:rPr>
                <w:rFonts w:hint="eastAsia" w:ascii="宋体" w:hAnsi="宋体" w:eastAsia="宋体" w:cs="宋体"/>
                <w:sz w:val="24"/>
                <w:szCs w:val="24"/>
                <w:highlight w:val="none"/>
              </w:rPr>
              <w:t>+5</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m</w:t>
            </w:r>
            <w:r>
              <w:rPr>
                <w:rFonts w:hint="eastAsia" w:ascii="宋体" w:hAnsi="宋体" w:cs="宋体"/>
                <w:sz w:val="24"/>
                <w:szCs w:val="24"/>
                <w:highlight w:val="none"/>
                <w:lang w:val="en-US" w:eastAsia="zh-CN"/>
              </w:rPr>
              <w:t>标高平台以下恢复为坑塘水面</w:t>
            </w:r>
          </w:p>
        </w:tc>
        <w:tc>
          <w:tcPr>
            <w:tcW w:w="1096" w:type="pct"/>
            <w:vAlign w:val="center"/>
          </w:tcPr>
          <w:p w14:paraId="2E321A16">
            <w:pPr>
              <w:pStyle w:val="76"/>
              <w:spacing w:line="240" w:lineRule="auto"/>
              <w:rPr>
                <w:rFonts w:hint="eastAsia" w:eastAsia="宋体"/>
                <w:sz w:val="24"/>
                <w:szCs w:val="24"/>
                <w:highlight w:val="none"/>
                <w:lang w:val="en-US" w:eastAsia="zh-CN"/>
              </w:rPr>
            </w:pPr>
            <w:r>
              <w:rPr>
                <w:sz w:val="24"/>
                <w:szCs w:val="24"/>
                <w:highlight w:val="none"/>
              </w:rPr>
              <w:t>宜</w:t>
            </w:r>
            <w:r>
              <w:rPr>
                <w:rFonts w:hint="eastAsia"/>
                <w:sz w:val="24"/>
                <w:szCs w:val="24"/>
                <w:highlight w:val="none"/>
              </w:rPr>
              <w:t>林</w:t>
            </w:r>
            <w:r>
              <w:rPr>
                <w:sz w:val="24"/>
                <w:szCs w:val="24"/>
                <w:highlight w:val="none"/>
              </w:rPr>
              <w:t>类</w:t>
            </w:r>
            <w:r>
              <w:rPr>
                <w:rFonts w:hint="eastAsia"/>
                <w:sz w:val="24"/>
                <w:szCs w:val="24"/>
                <w:highlight w:val="none"/>
                <w:lang w:eastAsia="zh-CN"/>
              </w:rPr>
              <w:t>、</w:t>
            </w:r>
            <w:r>
              <w:rPr>
                <w:sz w:val="24"/>
                <w:szCs w:val="24"/>
                <w:highlight w:val="none"/>
              </w:rPr>
              <w:t>其它类</w:t>
            </w:r>
          </w:p>
        </w:tc>
      </w:tr>
      <w:tr w14:paraId="48CE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pct"/>
            <w:shd w:val="clear" w:color="auto" w:fill="auto"/>
            <w:vAlign w:val="center"/>
          </w:tcPr>
          <w:p w14:paraId="46EBEEAA">
            <w:pPr>
              <w:pStyle w:val="76"/>
              <w:spacing w:line="240" w:lineRule="auto"/>
              <w:rPr>
                <w:sz w:val="24"/>
                <w:szCs w:val="24"/>
                <w:highlight w:val="none"/>
              </w:rPr>
            </w:pPr>
            <w:r>
              <w:rPr>
                <w:rFonts w:hint="eastAsia" w:ascii="宋体" w:hAnsi="宋体" w:eastAsia="宋体" w:cs="宋体"/>
                <w:sz w:val="24"/>
                <w:szCs w:val="24"/>
                <w:highlight w:val="none"/>
                <w:lang w:val="en-US" w:eastAsia="zh-CN"/>
              </w:rPr>
              <w:t>工业场地及附属设施</w:t>
            </w:r>
          </w:p>
        </w:tc>
        <w:tc>
          <w:tcPr>
            <w:tcW w:w="1298" w:type="pct"/>
            <w:vAlign w:val="center"/>
          </w:tcPr>
          <w:p w14:paraId="572332F6">
            <w:pPr>
              <w:pStyle w:val="76"/>
              <w:spacing w:line="240" w:lineRule="auto"/>
              <w:jc w:val="left"/>
              <w:rPr>
                <w:rFonts w:hint="eastAsia" w:eastAsia="宋体"/>
                <w:sz w:val="24"/>
                <w:szCs w:val="24"/>
                <w:highlight w:val="none"/>
                <w:lang w:val="en-US" w:eastAsia="zh-CN"/>
              </w:rPr>
            </w:pPr>
            <w:r>
              <w:rPr>
                <w:rFonts w:hint="eastAsia" w:ascii="宋体" w:hAnsi="宋体" w:eastAsia="宋体" w:cs="宋体"/>
                <w:sz w:val="24"/>
                <w:szCs w:val="24"/>
                <w:highlight w:val="none"/>
              </w:rPr>
              <w:t>有效土层厚度</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土壤质地</w:t>
            </w:r>
          </w:p>
        </w:tc>
        <w:tc>
          <w:tcPr>
            <w:tcW w:w="1386" w:type="pct"/>
            <w:vAlign w:val="center"/>
          </w:tcPr>
          <w:p w14:paraId="6AD3FC50">
            <w:pPr>
              <w:pStyle w:val="76"/>
              <w:spacing w:line="240" w:lineRule="auto"/>
              <w:rPr>
                <w:rFonts w:hint="eastAsia" w:eastAsia="宋体"/>
                <w:sz w:val="24"/>
                <w:szCs w:val="24"/>
                <w:highlight w:val="none"/>
                <w:lang w:val="en-US" w:eastAsia="zh-CN"/>
              </w:rPr>
            </w:pPr>
            <w:r>
              <w:rPr>
                <w:rFonts w:hint="eastAsia"/>
                <w:sz w:val="24"/>
                <w:szCs w:val="24"/>
                <w:highlight w:val="none"/>
              </w:rPr>
              <w:t>覆土植树</w:t>
            </w:r>
            <w:r>
              <w:rPr>
                <w:rFonts w:hint="eastAsia"/>
                <w:sz w:val="24"/>
                <w:szCs w:val="24"/>
                <w:highlight w:val="none"/>
                <w:lang w:val="en-US" w:eastAsia="zh-CN"/>
              </w:rPr>
              <w:t>植草</w:t>
            </w:r>
          </w:p>
        </w:tc>
        <w:tc>
          <w:tcPr>
            <w:tcW w:w="1096" w:type="pct"/>
            <w:vAlign w:val="center"/>
          </w:tcPr>
          <w:p w14:paraId="25A78992">
            <w:pPr>
              <w:pStyle w:val="76"/>
              <w:spacing w:line="240" w:lineRule="auto"/>
              <w:rPr>
                <w:sz w:val="24"/>
                <w:szCs w:val="24"/>
                <w:highlight w:val="none"/>
              </w:rPr>
            </w:pPr>
            <w:r>
              <w:rPr>
                <w:sz w:val="24"/>
                <w:szCs w:val="24"/>
                <w:highlight w:val="none"/>
              </w:rPr>
              <w:t>宜</w:t>
            </w:r>
            <w:r>
              <w:rPr>
                <w:rFonts w:hint="eastAsia"/>
                <w:sz w:val="24"/>
                <w:szCs w:val="24"/>
                <w:highlight w:val="none"/>
              </w:rPr>
              <w:t>林</w:t>
            </w:r>
            <w:r>
              <w:rPr>
                <w:sz w:val="24"/>
                <w:szCs w:val="24"/>
                <w:highlight w:val="none"/>
              </w:rPr>
              <w:t>类</w:t>
            </w:r>
          </w:p>
        </w:tc>
      </w:tr>
    </w:tbl>
    <w:p w14:paraId="51863613">
      <w:pPr>
        <w:spacing w:line="360" w:lineRule="auto"/>
        <w:rPr>
          <w:sz w:val="28"/>
          <w:szCs w:val="28"/>
          <w:highlight w:val="none"/>
        </w:rPr>
      </w:pPr>
      <w:r>
        <w:rPr>
          <w:rFonts w:hint="eastAsia"/>
          <w:sz w:val="28"/>
          <w:szCs w:val="28"/>
          <w:highlight w:val="none"/>
          <w:lang w:eastAsia="zh-CN"/>
        </w:rPr>
        <w:t>（</w:t>
      </w:r>
      <w:r>
        <w:rPr>
          <w:rFonts w:hint="eastAsia"/>
          <w:sz w:val="28"/>
          <w:szCs w:val="28"/>
          <w:highlight w:val="none"/>
          <w:lang w:val="en-US" w:eastAsia="zh-CN"/>
        </w:rPr>
        <w:t>5）</w:t>
      </w:r>
      <w:r>
        <w:rPr>
          <w:sz w:val="28"/>
          <w:szCs w:val="28"/>
          <w:highlight w:val="none"/>
        </w:rPr>
        <w:t>土地复垦方向分析</w:t>
      </w:r>
    </w:p>
    <w:p w14:paraId="163A7A04">
      <w:pPr>
        <w:spacing w:line="360" w:lineRule="auto"/>
        <w:rPr>
          <w:sz w:val="28"/>
          <w:szCs w:val="28"/>
          <w:highlight w:val="none"/>
        </w:rPr>
      </w:pPr>
      <w:r>
        <w:rPr>
          <w:sz w:val="28"/>
          <w:szCs w:val="28"/>
          <w:highlight w:val="none"/>
        </w:rPr>
        <w:t>拟复垦土地的复垦方向应在土地适宜性评价的基础上，其基本原则为：宜农则农、宜林则林、宜牧则牧，努力提高土地复垦面积和土地复垦率，对难以利用土地，也应采取有效工程措施，使复垦后的土地与周围环境保持一致。</w:t>
      </w:r>
    </w:p>
    <w:p w14:paraId="7B5506E5">
      <w:pPr>
        <w:spacing w:line="360" w:lineRule="auto"/>
        <w:rPr>
          <w:sz w:val="28"/>
          <w:szCs w:val="28"/>
          <w:highlight w:val="none"/>
        </w:rPr>
      </w:pPr>
      <w:r>
        <w:rPr>
          <w:sz w:val="28"/>
          <w:szCs w:val="28"/>
          <w:highlight w:val="none"/>
        </w:rPr>
        <w:t>根据以上原则，按评价单元确定土地复垦方向结果如下：</w:t>
      </w:r>
    </w:p>
    <w:p w14:paraId="5CAD4D55">
      <w:pPr>
        <w:numPr>
          <w:ilvl w:val="0"/>
          <w:numId w:val="5"/>
        </w:numPr>
        <w:spacing w:line="360" w:lineRule="auto"/>
        <w:rPr>
          <w:rFonts w:hint="eastAsia"/>
          <w:sz w:val="28"/>
          <w:szCs w:val="28"/>
          <w:highlight w:val="none"/>
          <w:lang w:val="en-US" w:eastAsia="zh-CN"/>
        </w:rPr>
      </w:pPr>
      <w:r>
        <w:rPr>
          <w:rFonts w:hint="eastAsia"/>
          <w:sz w:val="28"/>
          <w:szCs w:val="28"/>
          <w:highlight w:val="none"/>
          <w:lang w:val="en-US" w:eastAsia="zh-CN"/>
        </w:rPr>
        <w:t>露天采场：露天采场开采后为一个负地形凹陷采坑，现状历史采坑形成水塘水面标高+53.87m。闭坑后会常年积水，水下凹陷坑不宜复垦为耕地、林地或草地，故露天采场+55m标高平台以下复垦为坑塘水面，可为周围农用地提供灌溉水源，也体现其复垦的价值。露天采场+55m标高平台以上复垦为乔木林地，平台覆土种植乔木灌木和草，坡面种植爬山虎绿化，同时可以起到对边坡的防护作用。</w:t>
      </w:r>
    </w:p>
    <w:p w14:paraId="6116FA11">
      <w:pPr>
        <w:numPr>
          <w:ilvl w:val="0"/>
          <w:numId w:val="5"/>
        </w:numPr>
        <w:spacing w:line="360" w:lineRule="auto"/>
        <w:rPr>
          <w:rFonts w:hint="default"/>
          <w:sz w:val="28"/>
          <w:szCs w:val="28"/>
          <w:highlight w:val="none"/>
          <w:lang w:val="en-US" w:eastAsia="zh-CN"/>
        </w:rPr>
      </w:pPr>
      <w:r>
        <w:rPr>
          <w:rFonts w:hint="eastAsia"/>
          <w:sz w:val="28"/>
          <w:szCs w:val="28"/>
          <w:highlight w:val="none"/>
          <w:lang w:val="en-US" w:eastAsia="zh-CN"/>
        </w:rPr>
        <w:t>工业场地及附属设施，矿山闭坑后拆除设备、构筑物，覆土翻耕，复垦为乔木林地，种植乔木灌木和草</w:t>
      </w:r>
      <w:r>
        <w:rPr>
          <w:rFonts w:hint="eastAsia"/>
          <w:sz w:val="28"/>
          <w:szCs w:val="28"/>
          <w:highlight w:val="none"/>
        </w:rPr>
        <w:t>。</w:t>
      </w:r>
    </w:p>
    <w:p w14:paraId="54D53BA6">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（三）边开采、边修复可行性分析</w:t>
      </w:r>
    </w:p>
    <w:p w14:paraId="53F21A7B">
      <w:pPr>
        <w:spacing w:line="360" w:lineRule="auto"/>
        <w:rPr>
          <w:rFonts w:hint="default"/>
          <w:sz w:val="28"/>
          <w:szCs w:val="28"/>
          <w:lang w:val="en-US" w:eastAsia="zh-CN"/>
        </w:rPr>
      </w:pPr>
      <w:r>
        <w:rPr>
          <w:rFonts w:hint="eastAsia"/>
          <w:sz w:val="28"/>
          <w:szCs w:val="28"/>
          <w:lang w:val="en-US" w:eastAsia="zh-CN"/>
        </w:rPr>
        <w:t>根据开采方案，矿山采用自上而下水平分层开采，形成4级台阶，自上而下台阶标高分别为+55m、+50m、+42m和+30m。开采后形成凹陷采坑，依据矿区水文地质特征及现状调查，矿区水位标高44.8-53.87m，在凹陷开采时需用</w:t>
      </w:r>
      <w:r>
        <w:rPr>
          <w:snapToGrid w:val="0"/>
          <w:sz w:val="28"/>
          <w:szCs w:val="28"/>
        </w:rPr>
        <w:t>用水泵抽排。</w:t>
      </w:r>
      <w:r>
        <w:rPr>
          <w:rFonts w:hint="eastAsia"/>
          <w:snapToGrid w:val="0"/>
          <w:sz w:val="28"/>
          <w:szCs w:val="28"/>
          <w:lang w:val="en-US" w:eastAsia="zh-CN"/>
        </w:rPr>
        <w:t>在开采时</w:t>
      </w:r>
      <w:r>
        <w:rPr>
          <w:rFonts w:hint="eastAsia"/>
          <w:snapToGrid w:val="0"/>
          <w:sz w:val="28"/>
          <w:szCs w:val="28"/>
        </w:rPr>
        <w:t>分层开采、分层覆土复绿</w:t>
      </w:r>
      <w:r>
        <w:rPr>
          <w:rFonts w:hint="eastAsia"/>
          <w:sz w:val="28"/>
          <w:szCs w:val="28"/>
          <w:lang w:val="en-US" w:eastAsia="zh-CN"/>
        </w:rPr>
        <w:t>。</w:t>
      </w:r>
    </w:p>
    <w:p w14:paraId="0D198D99">
      <w:pPr>
        <w:pStyle w:val="5"/>
        <w:spacing w:before="263" w:after="263"/>
        <w:rPr>
          <w:rFonts w:hint="eastAsia" w:ascii="宋体" w:hAnsi="宋体" w:eastAsia="宋体" w:cs="宋体"/>
          <w:b/>
          <w:bCs w:val="0"/>
        </w:rPr>
      </w:pPr>
      <w:bookmarkStart w:id="304" w:name="_Toc514858668"/>
      <w:bookmarkStart w:id="305" w:name="_Toc28164_WPSOffice_Level2"/>
      <w:bookmarkStart w:id="306" w:name="_Toc665_WPSOffice_Level2"/>
      <w:bookmarkStart w:id="307" w:name="_Toc509344829"/>
      <w:bookmarkStart w:id="308" w:name="_Toc509345117"/>
      <w:bookmarkStart w:id="309" w:name="_Toc509345013"/>
      <w:bookmarkStart w:id="310" w:name="_Toc10816_WPSOffice_Level2"/>
      <w:bookmarkStart w:id="311" w:name="_Toc46047447"/>
      <w:bookmarkStart w:id="312" w:name="_Toc510594070"/>
      <w:bookmarkStart w:id="313" w:name="_Toc1610"/>
      <w:r>
        <w:rPr>
          <w:rFonts w:hint="eastAsia" w:ascii="宋体" w:hAnsi="宋体" w:eastAsia="宋体" w:cs="宋体"/>
          <w:b/>
          <w:bCs w:val="0"/>
        </w:rPr>
        <w:t>三、</w:t>
      </w:r>
      <w:bookmarkEnd w:id="304"/>
      <w:bookmarkEnd w:id="305"/>
      <w:bookmarkEnd w:id="306"/>
      <w:bookmarkEnd w:id="307"/>
      <w:bookmarkEnd w:id="308"/>
      <w:bookmarkEnd w:id="309"/>
      <w:bookmarkEnd w:id="310"/>
      <w:bookmarkEnd w:id="311"/>
      <w:bookmarkEnd w:id="312"/>
      <w:r>
        <w:rPr>
          <w:rFonts w:hint="eastAsia" w:ascii="宋体" w:hAnsi="宋体" w:eastAsia="宋体" w:cs="宋体"/>
          <w:b/>
          <w:bCs w:val="0"/>
        </w:rPr>
        <w:t>生态修复分区及修复时序安排</w:t>
      </w:r>
      <w:bookmarkEnd w:id="313"/>
    </w:p>
    <w:p w14:paraId="149F02EC">
      <w:pPr>
        <w:pStyle w:val="6"/>
        <w:spacing w:before="131" w:after="131"/>
        <w:rPr>
          <w:rFonts w:hint="default" w:ascii="宋体" w:hAnsi="宋体" w:eastAsia="宋体" w:cs="宋体"/>
          <w:b/>
          <w:bCs/>
          <w:lang w:val="en-US" w:eastAsia="zh-CN"/>
        </w:rPr>
      </w:pPr>
      <w:r>
        <w:rPr>
          <w:rFonts w:hint="eastAsia" w:ascii="宋体" w:hAnsi="宋体" w:eastAsia="宋体" w:cs="宋体"/>
          <w:b/>
          <w:bCs/>
          <w:lang w:val="en-US" w:eastAsia="zh-CN"/>
        </w:rPr>
        <w:t>（一）生态修复分区</w:t>
      </w:r>
    </w:p>
    <w:p w14:paraId="2859D6C3">
      <w:pPr>
        <w:spacing w:line="360" w:lineRule="auto"/>
        <w:rPr>
          <w:sz w:val="28"/>
          <w:szCs w:val="28"/>
          <w:highlight w:val="none"/>
        </w:rPr>
      </w:pPr>
      <w:r>
        <w:rPr>
          <w:sz w:val="28"/>
          <w:szCs w:val="28"/>
          <w:highlight w:val="none"/>
        </w:rPr>
        <w:t>1</w:t>
      </w:r>
      <w:r>
        <w:rPr>
          <w:rFonts w:hint="eastAsia"/>
          <w:sz w:val="28"/>
          <w:szCs w:val="28"/>
          <w:highlight w:val="none"/>
          <w:lang w:val="en-US" w:eastAsia="zh-CN"/>
        </w:rPr>
        <w:t>.</w:t>
      </w:r>
      <w:r>
        <w:rPr>
          <w:sz w:val="28"/>
          <w:szCs w:val="28"/>
          <w:highlight w:val="none"/>
        </w:rPr>
        <w:t>分区原则</w:t>
      </w:r>
    </w:p>
    <w:p w14:paraId="1990C8D0">
      <w:pPr>
        <w:spacing w:line="360" w:lineRule="auto"/>
        <w:rPr>
          <w:sz w:val="28"/>
          <w:szCs w:val="28"/>
          <w:highlight w:val="none"/>
        </w:rPr>
      </w:pPr>
      <w:r>
        <w:rPr>
          <w:sz w:val="28"/>
          <w:szCs w:val="28"/>
          <w:highlight w:val="none"/>
        </w:rPr>
        <w:t>（1）遵循综合评估的原则</w:t>
      </w:r>
    </w:p>
    <w:p w14:paraId="6274A276">
      <w:pPr>
        <w:spacing w:line="360" w:lineRule="auto"/>
        <w:rPr>
          <w:sz w:val="28"/>
          <w:szCs w:val="28"/>
          <w:highlight w:val="none"/>
        </w:rPr>
      </w:pPr>
      <w:r>
        <w:rPr>
          <w:sz w:val="28"/>
          <w:szCs w:val="28"/>
          <w:highlight w:val="none"/>
        </w:rPr>
        <w:t>在详细调查矿山</w:t>
      </w:r>
      <w:r>
        <w:rPr>
          <w:rFonts w:hint="eastAsia"/>
          <w:sz w:val="28"/>
          <w:szCs w:val="28"/>
          <w:highlight w:val="none"/>
          <w:lang w:val="en-US" w:eastAsia="zh-CN"/>
        </w:rPr>
        <w:t>生态环境问题</w:t>
      </w:r>
      <w:r>
        <w:rPr>
          <w:sz w:val="28"/>
          <w:szCs w:val="28"/>
          <w:highlight w:val="none"/>
        </w:rPr>
        <w:t>的基础上，</w:t>
      </w:r>
      <w:r>
        <w:rPr>
          <w:rFonts w:hint="eastAsia"/>
          <w:sz w:val="28"/>
          <w:szCs w:val="28"/>
          <w:highlight w:val="none"/>
          <w:lang w:val="en-US" w:eastAsia="zh-CN"/>
        </w:rPr>
        <w:t>根据生态修复可行性分析结果、开采设计进度</w:t>
      </w:r>
      <w:r>
        <w:rPr>
          <w:sz w:val="28"/>
          <w:szCs w:val="28"/>
          <w:highlight w:val="none"/>
        </w:rPr>
        <w:t>，进行综合划定</w:t>
      </w:r>
      <w:r>
        <w:rPr>
          <w:rFonts w:hint="eastAsia"/>
          <w:sz w:val="28"/>
          <w:szCs w:val="28"/>
          <w:highlight w:val="none"/>
          <w:lang w:val="en-US" w:eastAsia="zh-CN"/>
        </w:rPr>
        <w:t>矿山生态修复分</w:t>
      </w:r>
      <w:r>
        <w:rPr>
          <w:sz w:val="28"/>
          <w:szCs w:val="28"/>
          <w:highlight w:val="none"/>
        </w:rPr>
        <w:t>区。</w:t>
      </w:r>
    </w:p>
    <w:p w14:paraId="2F896CF9">
      <w:pPr>
        <w:spacing w:line="360" w:lineRule="auto"/>
        <w:rPr>
          <w:sz w:val="28"/>
          <w:szCs w:val="28"/>
          <w:highlight w:val="none"/>
        </w:rPr>
      </w:pPr>
      <w:r>
        <w:rPr>
          <w:sz w:val="28"/>
          <w:szCs w:val="28"/>
          <w:highlight w:val="none"/>
        </w:rPr>
        <w:t>（2）与当地社会经济发展规划紧密结合的原则</w:t>
      </w:r>
    </w:p>
    <w:p w14:paraId="462659B5">
      <w:pPr>
        <w:spacing w:line="360" w:lineRule="auto"/>
        <w:rPr>
          <w:sz w:val="28"/>
          <w:szCs w:val="28"/>
          <w:highlight w:val="none"/>
        </w:rPr>
      </w:pPr>
      <w:r>
        <w:rPr>
          <w:sz w:val="28"/>
          <w:szCs w:val="28"/>
          <w:highlight w:val="none"/>
        </w:rPr>
        <w:t>充分考虑矿山</w:t>
      </w:r>
      <w:r>
        <w:rPr>
          <w:rFonts w:hint="eastAsia"/>
          <w:sz w:val="28"/>
          <w:szCs w:val="28"/>
          <w:highlight w:val="none"/>
          <w:lang w:val="en-US" w:eastAsia="zh-CN"/>
        </w:rPr>
        <w:t>生态</w:t>
      </w:r>
      <w:r>
        <w:rPr>
          <w:sz w:val="28"/>
          <w:szCs w:val="28"/>
          <w:highlight w:val="none"/>
        </w:rPr>
        <w:t>环境问题对当地居民、生产生活的影响，紧密结合当地社会经济发展规划，划定矿山</w:t>
      </w:r>
      <w:r>
        <w:rPr>
          <w:rFonts w:hint="eastAsia"/>
          <w:sz w:val="28"/>
          <w:szCs w:val="28"/>
          <w:highlight w:val="none"/>
          <w:lang w:val="en-US" w:eastAsia="zh-CN"/>
        </w:rPr>
        <w:t>生态修复分区</w:t>
      </w:r>
      <w:r>
        <w:rPr>
          <w:sz w:val="28"/>
          <w:szCs w:val="28"/>
          <w:highlight w:val="none"/>
        </w:rPr>
        <w:t>。</w:t>
      </w:r>
    </w:p>
    <w:p w14:paraId="484C5902">
      <w:pPr>
        <w:spacing w:line="360" w:lineRule="auto"/>
        <w:rPr>
          <w:sz w:val="28"/>
          <w:szCs w:val="28"/>
          <w:highlight w:val="none"/>
        </w:rPr>
      </w:pPr>
      <w:r>
        <w:rPr>
          <w:sz w:val="28"/>
          <w:szCs w:val="28"/>
          <w:highlight w:val="none"/>
        </w:rPr>
        <w:t>2</w:t>
      </w:r>
      <w:r>
        <w:rPr>
          <w:rFonts w:hint="eastAsia"/>
          <w:sz w:val="28"/>
          <w:szCs w:val="28"/>
          <w:highlight w:val="none"/>
          <w:lang w:val="en-US" w:eastAsia="zh-CN"/>
        </w:rPr>
        <w:t>.</w:t>
      </w:r>
      <w:r>
        <w:rPr>
          <w:sz w:val="28"/>
          <w:szCs w:val="28"/>
          <w:highlight w:val="none"/>
        </w:rPr>
        <w:t>分区方法</w:t>
      </w:r>
    </w:p>
    <w:p w14:paraId="4D5430ED">
      <w:pPr>
        <w:spacing w:line="360" w:lineRule="auto"/>
        <w:rPr>
          <w:sz w:val="28"/>
          <w:szCs w:val="28"/>
        </w:rPr>
      </w:pPr>
      <w:r>
        <w:rPr>
          <w:sz w:val="28"/>
          <w:szCs w:val="28"/>
        </w:rPr>
        <w:t>根据《</w:t>
      </w:r>
      <w:r>
        <w:rPr>
          <w:rFonts w:hint="eastAsia"/>
          <w:sz w:val="28"/>
          <w:szCs w:val="28"/>
        </w:rPr>
        <w:t>开采</w:t>
      </w:r>
      <w:r>
        <w:rPr>
          <w:sz w:val="28"/>
          <w:szCs w:val="28"/>
        </w:rPr>
        <w:t>方案》、矿山</w:t>
      </w:r>
      <w:r>
        <w:rPr>
          <w:rFonts w:hint="eastAsia"/>
          <w:sz w:val="28"/>
          <w:szCs w:val="28"/>
          <w:lang w:val="en-US" w:eastAsia="zh-CN"/>
        </w:rPr>
        <w:t>生态</w:t>
      </w:r>
      <w:r>
        <w:rPr>
          <w:sz w:val="28"/>
          <w:szCs w:val="28"/>
        </w:rPr>
        <w:t>环境问题评估结果，以矿山</w:t>
      </w:r>
      <w:r>
        <w:rPr>
          <w:rFonts w:hint="eastAsia"/>
          <w:sz w:val="28"/>
          <w:szCs w:val="28"/>
        </w:rPr>
        <w:t>生态环境问题</w:t>
      </w:r>
      <w:r>
        <w:rPr>
          <w:sz w:val="28"/>
          <w:szCs w:val="28"/>
        </w:rPr>
        <w:t>评估为基础，分析预测矿山环境发展趋势，充分考虑矿山</w:t>
      </w:r>
      <w:r>
        <w:rPr>
          <w:rFonts w:hint="eastAsia"/>
          <w:sz w:val="28"/>
          <w:szCs w:val="28"/>
          <w:lang w:val="en-US" w:eastAsia="zh-CN"/>
        </w:rPr>
        <w:t>矿山地质环境</w:t>
      </w:r>
      <w:r>
        <w:rPr>
          <w:rFonts w:hint="eastAsia"/>
          <w:sz w:val="28"/>
          <w:szCs w:val="28"/>
        </w:rPr>
        <w:t>问题</w:t>
      </w:r>
      <w:r>
        <w:rPr>
          <w:rFonts w:hint="eastAsia"/>
          <w:sz w:val="28"/>
          <w:szCs w:val="28"/>
          <w:lang w:eastAsia="zh-CN"/>
        </w:rPr>
        <w:t>、</w:t>
      </w:r>
      <w:r>
        <w:rPr>
          <w:rFonts w:hint="eastAsia"/>
          <w:sz w:val="28"/>
          <w:szCs w:val="28"/>
          <w:lang w:val="en-US" w:eastAsia="zh-CN"/>
        </w:rPr>
        <w:t>土地损毁问题、生态受损与退化问题对矿区生态环境的</w:t>
      </w:r>
      <w:r>
        <w:rPr>
          <w:sz w:val="28"/>
          <w:szCs w:val="28"/>
        </w:rPr>
        <w:t>影响，以定性分析为主、定量分析为辅的方法分区。</w:t>
      </w:r>
    </w:p>
    <w:p w14:paraId="0002D948">
      <w:pPr>
        <w:spacing w:line="360" w:lineRule="auto"/>
        <w:rPr>
          <w:sz w:val="28"/>
          <w:szCs w:val="28"/>
        </w:rPr>
      </w:pPr>
      <w:r>
        <w:rPr>
          <w:sz w:val="28"/>
          <w:szCs w:val="28"/>
        </w:rPr>
        <w:t>3</w:t>
      </w:r>
      <w:r>
        <w:rPr>
          <w:rFonts w:hint="eastAsia"/>
          <w:sz w:val="28"/>
          <w:szCs w:val="28"/>
          <w:lang w:val="en-US" w:eastAsia="zh-CN"/>
        </w:rPr>
        <w:t>.</w:t>
      </w:r>
      <w:r>
        <w:rPr>
          <w:sz w:val="28"/>
          <w:szCs w:val="28"/>
        </w:rPr>
        <w:t>分区评述</w:t>
      </w:r>
    </w:p>
    <w:p w14:paraId="085644DA">
      <w:pPr>
        <w:spacing w:line="360" w:lineRule="auto"/>
        <w:rPr>
          <w:sz w:val="28"/>
          <w:szCs w:val="28"/>
        </w:rPr>
      </w:pPr>
      <w:r>
        <w:rPr>
          <w:sz w:val="28"/>
          <w:szCs w:val="28"/>
        </w:rPr>
        <w:t>评估区内不同区域内的矿业活动内容和矿业活动强度不同，</w:t>
      </w:r>
      <w:r>
        <w:rPr>
          <w:rFonts w:hint="eastAsia"/>
          <w:sz w:val="28"/>
          <w:szCs w:val="28"/>
          <w:lang w:val="en-US" w:eastAsia="zh-CN"/>
        </w:rPr>
        <w:t>损毁时序不同，</w:t>
      </w:r>
      <w:r>
        <w:rPr>
          <w:sz w:val="28"/>
          <w:szCs w:val="28"/>
        </w:rPr>
        <w:t>所造成</w:t>
      </w:r>
      <w:r>
        <w:rPr>
          <w:rFonts w:hint="eastAsia"/>
          <w:sz w:val="28"/>
          <w:szCs w:val="28"/>
          <w:lang w:val="en-US" w:eastAsia="zh-CN"/>
        </w:rPr>
        <w:t>生态环境问题</w:t>
      </w:r>
      <w:r>
        <w:rPr>
          <w:sz w:val="28"/>
          <w:szCs w:val="28"/>
        </w:rPr>
        <w:t>种类和影响程度也不同。所以对评估区进行</w:t>
      </w:r>
      <w:r>
        <w:rPr>
          <w:rFonts w:hint="eastAsia"/>
          <w:sz w:val="28"/>
          <w:szCs w:val="28"/>
          <w:lang w:val="en-US" w:eastAsia="zh-CN"/>
        </w:rPr>
        <w:t>生态修复</w:t>
      </w:r>
      <w:r>
        <w:rPr>
          <w:sz w:val="28"/>
          <w:szCs w:val="28"/>
        </w:rPr>
        <w:t>分区，为下一步的</w:t>
      </w:r>
      <w:r>
        <w:rPr>
          <w:rFonts w:hint="eastAsia"/>
          <w:sz w:val="28"/>
          <w:szCs w:val="28"/>
          <w:lang w:val="en-US" w:eastAsia="zh-CN"/>
        </w:rPr>
        <w:t>生态修复</w:t>
      </w:r>
      <w:r>
        <w:rPr>
          <w:sz w:val="28"/>
          <w:szCs w:val="28"/>
        </w:rPr>
        <w:t>工作提供依据。</w:t>
      </w:r>
    </w:p>
    <w:p w14:paraId="709C05D1">
      <w:pPr>
        <w:spacing w:line="360" w:lineRule="auto"/>
        <w:rPr>
          <w:color w:val="000000"/>
          <w:sz w:val="28"/>
          <w:szCs w:val="28"/>
        </w:rPr>
        <w:sectPr>
          <w:pgSz w:w="11906" w:h="16838"/>
          <w:pgMar w:top="1701" w:right="1417" w:bottom="1417" w:left="1701" w:header="1134" w:footer="992" w:gutter="0"/>
          <w:pgBorders>
            <w:top w:val="none" w:sz="0" w:space="0"/>
            <w:left w:val="none" w:sz="0" w:space="0"/>
            <w:bottom w:val="none" w:sz="0" w:space="0"/>
            <w:right w:val="none" w:sz="0" w:space="0"/>
          </w:pgBorders>
          <w:pgNumType w:fmt="decimal"/>
          <w:cols w:space="0" w:num="1"/>
          <w:rtlGutter w:val="0"/>
          <w:docGrid w:type="lines" w:linePitch="404" w:charSpace="0"/>
        </w:sectPr>
      </w:pPr>
      <w:r>
        <w:rPr>
          <w:sz w:val="28"/>
          <w:szCs w:val="28"/>
        </w:rPr>
        <w:t>根据评估区区域内可能出现的地质环境问题</w:t>
      </w:r>
      <w:r>
        <w:rPr>
          <w:rFonts w:hint="eastAsia"/>
          <w:sz w:val="28"/>
          <w:szCs w:val="28"/>
          <w:lang w:eastAsia="zh-CN"/>
        </w:rPr>
        <w:t>、</w:t>
      </w:r>
      <w:r>
        <w:rPr>
          <w:rFonts w:hint="eastAsia"/>
          <w:sz w:val="28"/>
          <w:szCs w:val="28"/>
          <w:lang w:val="en-US" w:eastAsia="zh-CN"/>
        </w:rPr>
        <w:t>土地损毁问题、生态受损与退化问题</w:t>
      </w:r>
      <w:r>
        <w:rPr>
          <w:sz w:val="28"/>
          <w:szCs w:val="28"/>
        </w:rPr>
        <w:t>的种类、规模</w:t>
      </w:r>
      <w:r>
        <w:rPr>
          <w:rFonts w:hint="eastAsia"/>
          <w:sz w:val="28"/>
          <w:szCs w:val="28"/>
          <w:lang w:eastAsia="zh-CN"/>
        </w:rPr>
        <w:t>、</w:t>
      </w:r>
      <w:r>
        <w:rPr>
          <w:rFonts w:hint="eastAsia"/>
          <w:sz w:val="28"/>
          <w:szCs w:val="28"/>
          <w:lang w:val="en-US" w:eastAsia="zh-CN"/>
        </w:rPr>
        <w:t>时序，同时结合矿区地下水位</w:t>
      </w:r>
      <w:r>
        <w:rPr>
          <w:rFonts w:hint="eastAsia"/>
          <w:color w:val="000000"/>
          <w:sz w:val="28"/>
          <w:szCs w:val="28"/>
        </w:rPr>
        <w:t>标高</w:t>
      </w:r>
      <w:r>
        <w:rPr>
          <w:rFonts w:hint="eastAsia"/>
          <w:color w:val="000000"/>
          <w:sz w:val="28"/>
          <w:szCs w:val="28"/>
          <w:lang w:eastAsia="zh-CN"/>
        </w:rPr>
        <w:t>（</w:t>
      </w:r>
      <w:r>
        <w:rPr>
          <w:rFonts w:hint="eastAsia"/>
          <w:color w:val="000000"/>
          <w:sz w:val="28"/>
          <w:szCs w:val="28"/>
          <w:lang w:val="en-US" w:eastAsia="zh-CN"/>
        </w:rPr>
        <w:t>地下水水位标高</w:t>
      </w:r>
      <w:r>
        <w:rPr>
          <w:rFonts w:hint="eastAsia"/>
          <w:color w:val="000000"/>
          <w:sz w:val="28"/>
          <w:szCs w:val="28"/>
        </w:rPr>
        <w:t>约为＋</w:t>
      </w:r>
      <w:r>
        <w:rPr>
          <w:rFonts w:hint="eastAsia"/>
          <w:color w:val="000000"/>
          <w:sz w:val="28"/>
          <w:szCs w:val="28"/>
          <w:lang w:val="en-US" w:eastAsia="zh-CN"/>
        </w:rPr>
        <w:t>44.8－50.4</w:t>
      </w:r>
      <w:r>
        <w:rPr>
          <w:rFonts w:hint="eastAsia"/>
          <w:color w:val="000000"/>
          <w:sz w:val="28"/>
          <w:szCs w:val="28"/>
        </w:rPr>
        <w:t>米</w:t>
      </w:r>
      <w:r>
        <w:rPr>
          <w:rFonts w:hint="eastAsia"/>
          <w:color w:val="000000"/>
          <w:sz w:val="28"/>
          <w:szCs w:val="28"/>
          <w:lang w:eastAsia="zh-CN"/>
        </w:rPr>
        <w:t>）</w:t>
      </w:r>
      <w:r>
        <w:rPr>
          <w:color w:val="000000"/>
          <w:sz w:val="28"/>
          <w:szCs w:val="28"/>
        </w:rPr>
        <w:t>。</w:t>
      </w:r>
      <w:r>
        <w:rPr>
          <w:rFonts w:hint="eastAsia"/>
          <w:color w:val="000000"/>
          <w:sz w:val="28"/>
          <w:szCs w:val="28"/>
          <w:lang w:val="en-US" w:eastAsia="zh-CN"/>
        </w:rPr>
        <w:t>将各评价单元划分为1</w:t>
      </w:r>
      <w:r>
        <w:rPr>
          <w:rFonts w:hint="eastAsia"/>
          <w:color w:val="000000"/>
          <w:sz w:val="28"/>
          <w:szCs w:val="28"/>
        </w:rPr>
        <w:t>个重点防治区</w:t>
      </w:r>
      <w:r>
        <w:rPr>
          <w:rFonts w:hint="eastAsia"/>
          <w:color w:val="000000"/>
          <w:sz w:val="28"/>
          <w:szCs w:val="28"/>
          <w:lang w:val="en-US" w:eastAsia="zh-CN"/>
        </w:rPr>
        <w:t>A</w:t>
      </w:r>
      <w:r>
        <w:rPr>
          <w:rFonts w:hint="eastAsia"/>
          <w:color w:val="000000"/>
          <w:sz w:val="28"/>
          <w:szCs w:val="28"/>
        </w:rPr>
        <w:t>（</w:t>
      </w:r>
      <w:r>
        <w:rPr>
          <w:rFonts w:hint="eastAsia"/>
          <w:color w:val="000000"/>
          <w:sz w:val="28"/>
          <w:szCs w:val="28"/>
          <w:lang w:val="en-US" w:eastAsia="zh-CN"/>
        </w:rPr>
        <w:t>包含3个重度受损亚区</w:t>
      </w:r>
      <w:r>
        <w:rPr>
          <w:rFonts w:hint="eastAsia"/>
          <w:color w:val="000000"/>
          <w:sz w:val="28"/>
          <w:szCs w:val="28"/>
        </w:rPr>
        <w:t>A</w:t>
      </w:r>
      <w:r>
        <w:rPr>
          <w:rFonts w:hint="eastAsia"/>
          <w:color w:val="000000"/>
          <w:sz w:val="28"/>
          <w:szCs w:val="28"/>
          <w:vertAlign w:val="subscript"/>
          <w:lang w:val="en-US" w:eastAsia="zh-CN"/>
        </w:rPr>
        <w:t>1</w:t>
      </w:r>
      <w:r>
        <w:rPr>
          <w:rFonts w:hint="eastAsia"/>
          <w:color w:val="000000"/>
          <w:sz w:val="28"/>
          <w:szCs w:val="28"/>
          <w:lang w:val="en-US" w:eastAsia="zh-CN"/>
        </w:rPr>
        <w:t>、A</w:t>
      </w:r>
      <w:r>
        <w:rPr>
          <w:rFonts w:hint="eastAsia"/>
          <w:color w:val="000000"/>
          <w:sz w:val="28"/>
          <w:szCs w:val="28"/>
          <w:vertAlign w:val="subscript"/>
          <w:lang w:val="en-US" w:eastAsia="zh-CN"/>
        </w:rPr>
        <w:t>2</w:t>
      </w:r>
      <w:r>
        <w:rPr>
          <w:rFonts w:hint="eastAsia"/>
          <w:color w:val="000000"/>
          <w:sz w:val="28"/>
          <w:szCs w:val="28"/>
          <w:lang w:val="en-US" w:eastAsia="zh-CN"/>
        </w:rPr>
        <w:t>、A</w:t>
      </w:r>
      <w:r>
        <w:rPr>
          <w:rFonts w:hint="eastAsia"/>
          <w:color w:val="000000"/>
          <w:sz w:val="28"/>
          <w:szCs w:val="28"/>
          <w:vertAlign w:val="subscript"/>
          <w:lang w:val="en-US" w:eastAsia="zh-CN"/>
        </w:rPr>
        <w:t>3</w:t>
      </w:r>
      <w:r>
        <w:rPr>
          <w:rFonts w:hint="eastAsia"/>
          <w:color w:val="000000"/>
          <w:sz w:val="28"/>
          <w:szCs w:val="28"/>
        </w:rPr>
        <w:t>）、</w:t>
      </w:r>
      <w:r>
        <w:rPr>
          <w:rFonts w:hint="eastAsia"/>
          <w:color w:val="000000"/>
          <w:sz w:val="28"/>
          <w:szCs w:val="28"/>
          <w:lang w:val="en-US" w:eastAsia="zh-CN"/>
        </w:rPr>
        <w:t>1</w:t>
      </w:r>
      <w:r>
        <w:rPr>
          <w:rFonts w:hint="eastAsia"/>
          <w:color w:val="000000"/>
          <w:sz w:val="28"/>
          <w:szCs w:val="28"/>
        </w:rPr>
        <w:t>个次重点防治区（</w:t>
      </w:r>
      <w:r>
        <w:rPr>
          <w:rFonts w:hint="eastAsia"/>
          <w:color w:val="000000"/>
          <w:sz w:val="28"/>
          <w:szCs w:val="28"/>
          <w:lang w:val="en-US" w:eastAsia="zh-CN"/>
        </w:rPr>
        <w:t>包含5个中度受损亚区</w:t>
      </w:r>
      <w:r>
        <w:rPr>
          <w:rFonts w:hint="eastAsia"/>
          <w:color w:val="000000"/>
          <w:sz w:val="28"/>
          <w:szCs w:val="28"/>
        </w:rPr>
        <w:t>B</w:t>
      </w:r>
      <w:r>
        <w:rPr>
          <w:rFonts w:hint="eastAsia"/>
          <w:color w:val="000000"/>
          <w:sz w:val="28"/>
          <w:szCs w:val="28"/>
          <w:vertAlign w:val="subscript"/>
          <w:lang w:val="en-US" w:eastAsia="zh-CN"/>
        </w:rPr>
        <w:t>1</w:t>
      </w:r>
      <w:r>
        <w:rPr>
          <w:rFonts w:hint="eastAsia"/>
          <w:color w:val="000000"/>
          <w:sz w:val="28"/>
          <w:szCs w:val="28"/>
          <w:lang w:val="en-US" w:eastAsia="zh-CN"/>
        </w:rPr>
        <w:t>、B</w:t>
      </w:r>
      <w:r>
        <w:rPr>
          <w:rFonts w:hint="eastAsia"/>
          <w:color w:val="000000"/>
          <w:sz w:val="28"/>
          <w:szCs w:val="28"/>
          <w:vertAlign w:val="subscript"/>
          <w:lang w:val="en-US" w:eastAsia="zh-CN"/>
        </w:rPr>
        <w:t>2</w:t>
      </w:r>
      <w:r>
        <w:rPr>
          <w:rFonts w:hint="eastAsia"/>
          <w:color w:val="000000"/>
          <w:sz w:val="28"/>
          <w:szCs w:val="28"/>
          <w:lang w:val="en-US" w:eastAsia="zh-CN"/>
        </w:rPr>
        <w:t>、B</w:t>
      </w:r>
      <w:r>
        <w:rPr>
          <w:rFonts w:hint="eastAsia"/>
          <w:color w:val="000000"/>
          <w:sz w:val="28"/>
          <w:szCs w:val="28"/>
          <w:vertAlign w:val="subscript"/>
          <w:lang w:val="en-US" w:eastAsia="zh-CN"/>
        </w:rPr>
        <w:t>3</w:t>
      </w:r>
      <w:r>
        <w:rPr>
          <w:rFonts w:hint="eastAsia"/>
          <w:color w:val="000000"/>
          <w:sz w:val="28"/>
          <w:szCs w:val="28"/>
          <w:lang w:val="en-US" w:eastAsia="zh-CN"/>
        </w:rPr>
        <w:t>、B</w:t>
      </w:r>
      <w:r>
        <w:rPr>
          <w:rFonts w:hint="eastAsia"/>
          <w:color w:val="000000"/>
          <w:sz w:val="28"/>
          <w:szCs w:val="28"/>
          <w:vertAlign w:val="subscript"/>
          <w:lang w:val="en-US" w:eastAsia="zh-CN"/>
        </w:rPr>
        <w:t>4</w:t>
      </w:r>
      <w:r>
        <w:rPr>
          <w:rFonts w:hint="eastAsia"/>
          <w:color w:val="000000"/>
          <w:sz w:val="28"/>
          <w:szCs w:val="28"/>
          <w:lang w:val="en-US" w:eastAsia="zh-CN"/>
        </w:rPr>
        <w:t>、B</w:t>
      </w:r>
      <w:r>
        <w:rPr>
          <w:rFonts w:hint="eastAsia"/>
          <w:color w:val="000000"/>
          <w:sz w:val="28"/>
          <w:szCs w:val="28"/>
          <w:vertAlign w:val="subscript"/>
          <w:lang w:val="en-US" w:eastAsia="zh-CN"/>
        </w:rPr>
        <w:t>5</w:t>
      </w:r>
      <w:r>
        <w:rPr>
          <w:rFonts w:hint="eastAsia"/>
          <w:color w:val="000000"/>
          <w:sz w:val="28"/>
          <w:szCs w:val="28"/>
        </w:rPr>
        <w:t>）、1个一般防治区</w:t>
      </w:r>
      <w:r>
        <w:rPr>
          <w:rFonts w:hint="eastAsia"/>
          <w:color w:val="000000"/>
          <w:sz w:val="28"/>
          <w:szCs w:val="28"/>
          <w:lang w:val="en-US" w:eastAsia="zh-CN"/>
        </w:rPr>
        <w:t>C</w:t>
      </w:r>
      <w:r>
        <w:rPr>
          <w:rFonts w:hint="eastAsia"/>
          <w:color w:val="000000"/>
          <w:sz w:val="28"/>
          <w:szCs w:val="28"/>
        </w:rPr>
        <w:t>（</w:t>
      </w:r>
      <w:r>
        <w:rPr>
          <w:rFonts w:hint="eastAsia"/>
          <w:color w:val="000000"/>
          <w:sz w:val="28"/>
          <w:szCs w:val="28"/>
          <w:lang w:val="en-US" w:eastAsia="zh-CN"/>
        </w:rPr>
        <w:t>包含1个轻度受损区</w:t>
      </w:r>
      <w:r>
        <w:rPr>
          <w:rFonts w:hint="eastAsia"/>
          <w:color w:val="000000"/>
          <w:sz w:val="28"/>
          <w:szCs w:val="28"/>
        </w:rPr>
        <w:t>C）</w:t>
      </w:r>
      <w:r>
        <w:rPr>
          <w:rFonts w:hint="eastAsia"/>
          <w:color w:val="000000"/>
          <w:sz w:val="28"/>
          <w:szCs w:val="28"/>
          <w:lang w:val="en-US" w:eastAsia="zh-CN"/>
        </w:rPr>
        <w:t>、详见下表</w:t>
      </w:r>
      <w:r>
        <w:rPr>
          <w:rFonts w:hint="eastAsia"/>
          <w:color w:val="000000"/>
          <w:sz w:val="28"/>
          <w:szCs w:val="28"/>
        </w:rPr>
        <w:t>（表3-</w:t>
      </w:r>
      <w:r>
        <w:rPr>
          <w:rFonts w:hint="eastAsia"/>
          <w:color w:val="000000"/>
          <w:sz w:val="28"/>
          <w:szCs w:val="28"/>
          <w:lang w:val="en-US" w:eastAsia="zh-CN"/>
        </w:rPr>
        <w:t>17</w:t>
      </w:r>
      <w:r>
        <w:rPr>
          <w:color w:val="000000"/>
          <w:sz w:val="28"/>
          <w:szCs w:val="28"/>
        </w:rPr>
        <w:t>）。</w:t>
      </w:r>
    </w:p>
    <w:p w14:paraId="361178A0">
      <w:pPr>
        <w:adjustRightInd w:val="0"/>
        <w:snapToGrid w:val="0"/>
        <w:ind w:firstLine="472" w:firstLineChars="200"/>
        <w:jc w:val="center"/>
        <w:rPr>
          <w:rFonts w:hint="eastAsia" w:ascii="黑体" w:hAnsi="黑体" w:eastAsia="黑体"/>
          <w:spacing w:val="-2"/>
          <w:sz w:val="24"/>
        </w:rPr>
      </w:pPr>
      <w:r>
        <w:rPr>
          <w:rFonts w:ascii="黑体" w:hAnsi="黑体" w:eastAsia="黑体"/>
          <w:spacing w:val="-2"/>
          <w:sz w:val="24"/>
        </w:rPr>
        <w:t>表3-</w:t>
      </w:r>
      <w:r>
        <w:rPr>
          <w:rFonts w:hint="eastAsia" w:ascii="黑体" w:hAnsi="黑体" w:eastAsia="黑体"/>
          <w:spacing w:val="-2"/>
          <w:sz w:val="24"/>
        </w:rPr>
        <w:t>1</w:t>
      </w:r>
      <w:r>
        <w:rPr>
          <w:rFonts w:hint="eastAsia" w:ascii="黑体" w:hAnsi="黑体" w:eastAsia="黑体"/>
          <w:spacing w:val="-2"/>
          <w:sz w:val="24"/>
          <w:lang w:val="en-US" w:eastAsia="zh-CN"/>
        </w:rPr>
        <w:t>7</w:t>
      </w:r>
      <w:r>
        <w:rPr>
          <w:rFonts w:ascii="黑体" w:hAnsi="黑体" w:eastAsia="黑体"/>
          <w:spacing w:val="-2"/>
          <w:sz w:val="24"/>
        </w:rPr>
        <w:t xml:space="preserve">  矿山</w:t>
      </w:r>
      <w:r>
        <w:rPr>
          <w:rFonts w:hint="eastAsia" w:ascii="黑体" w:hAnsi="黑体" w:eastAsia="黑体"/>
          <w:spacing w:val="-2"/>
          <w:sz w:val="24"/>
        </w:rPr>
        <w:t>生态修复片区</w:t>
      </w:r>
      <w:r>
        <w:rPr>
          <w:rFonts w:ascii="黑体" w:hAnsi="黑体" w:eastAsia="黑体"/>
          <w:spacing w:val="-2"/>
          <w:sz w:val="24"/>
        </w:rPr>
        <w:t>分区</w:t>
      </w:r>
      <w:r>
        <w:rPr>
          <w:rFonts w:hint="eastAsia" w:ascii="黑体" w:hAnsi="黑体" w:eastAsia="黑体"/>
          <w:spacing w:val="-2"/>
          <w:sz w:val="24"/>
        </w:rPr>
        <w:t>说明</w:t>
      </w:r>
      <w:r>
        <w:rPr>
          <w:rFonts w:ascii="黑体" w:hAnsi="黑体" w:eastAsia="黑体"/>
          <w:spacing w:val="-2"/>
          <w:sz w:val="24"/>
        </w:rPr>
        <w:t>表</w:t>
      </w:r>
    </w:p>
    <w:tbl>
      <w:tblPr>
        <w:tblStyle w:val="33"/>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81"/>
        <w:gridCol w:w="1481"/>
        <w:gridCol w:w="1333"/>
        <w:gridCol w:w="1025"/>
        <w:gridCol w:w="997"/>
        <w:gridCol w:w="1169"/>
        <w:gridCol w:w="931"/>
        <w:gridCol w:w="1356"/>
        <w:gridCol w:w="889"/>
        <w:gridCol w:w="911"/>
        <w:gridCol w:w="3044"/>
      </w:tblGrid>
      <w:tr w14:paraId="0DA3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70" w:type="pct"/>
            <w:gridSpan w:val="2"/>
            <w:vMerge w:val="restart"/>
            <w:vAlign w:val="center"/>
          </w:tcPr>
          <w:p w14:paraId="54B05E0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防治分区</w:t>
            </w:r>
          </w:p>
        </w:tc>
        <w:tc>
          <w:tcPr>
            <w:tcW w:w="533" w:type="pct"/>
            <w:vAlign w:val="center"/>
          </w:tcPr>
          <w:p w14:paraId="26C13E46">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分区</w:t>
            </w:r>
          </w:p>
        </w:tc>
        <w:tc>
          <w:tcPr>
            <w:tcW w:w="1208" w:type="pct"/>
            <w:gridSpan w:val="3"/>
            <w:vAlign w:val="center"/>
          </w:tcPr>
          <w:p w14:paraId="06F3A66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重点防治区A</w:t>
            </w:r>
          </w:p>
        </w:tc>
        <w:tc>
          <w:tcPr>
            <w:tcW w:w="1892" w:type="pct"/>
            <w:gridSpan w:val="5"/>
            <w:vAlign w:val="center"/>
          </w:tcPr>
          <w:p w14:paraId="3D342198">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次重点防治区B</w:t>
            </w:r>
          </w:p>
        </w:tc>
        <w:tc>
          <w:tcPr>
            <w:tcW w:w="1094" w:type="pct"/>
            <w:vAlign w:val="center"/>
          </w:tcPr>
          <w:p w14:paraId="16C6776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一般防治区C</w:t>
            </w:r>
          </w:p>
        </w:tc>
      </w:tr>
      <w:tr w14:paraId="70C2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270" w:type="pct"/>
            <w:gridSpan w:val="2"/>
            <w:vMerge w:val="continue"/>
            <w:vAlign w:val="center"/>
          </w:tcPr>
          <w:p w14:paraId="370908FE">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p>
        </w:tc>
        <w:tc>
          <w:tcPr>
            <w:tcW w:w="533" w:type="pct"/>
            <w:vAlign w:val="center"/>
          </w:tcPr>
          <w:p w14:paraId="405E3606">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亚区</w:t>
            </w:r>
          </w:p>
        </w:tc>
        <w:tc>
          <w:tcPr>
            <w:tcW w:w="480" w:type="pct"/>
            <w:vAlign w:val="center"/>
          </w:tcPr>
          <w:p w14:paraId="76D13DC8">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color w:val="000000"/>
                <w:spacing w:val="0"/>
                <w:w w:val="100"/>
                <w:sz w:val="21"/>
                <w:szCs w:val="21"/>
                <w:highlight w:val="none"/>
              </w:rPr>
              <w:t>A</w:t>
            </w:r>
            <w:r>
              <w:rPr>
                <w:rFonts w:hint="default" w:ascii="Times New Roman" w:hAnsi="Times New Roman" w:eastAsia="宋体" w:cs="Times New Roman"/>
                <w:color w:val="000000"/>
                <w:spacing w:val="0"/>
                <w:w w:val="100"/>
                <w:sz w:val="21"/>
                <w:szCs w:val="21"/>
                <w:highlight w:val="none"/>
                <w:vertAlign w:val="subscript"/>
                <w:lang w:val="en-US" w:eastAsia="zh-CN"/>
              </w:rPr>
              <w:t>1</w:t>
            </w:r>
          </w:p>
        </w:tc>
        <w:tc>
          <w:tcPr>
            <w:tcW w:w="369" w:type="pct"/>
            <w:vAlign w:val="center"/>
          </w:tcPr>
          <w:p w14:paraId="3CCBB3E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lang w:val="en-US" w:eastAsia="zh-CN"/>
              </w:rPr>
              <w:t>A</w:t>
            </w:r>
            <w:r>
              <w:rPr>
                <w:rFonts w:hint="default" w:ascii="Times New Roman" w:hAnsi="Times New Roman" w:eastAsia="宋体" w:cs="Times New Roman"/>
                <w:color w:val="000000"/>
                <w:spacing w:val="0"/>
                <w:w w:val="100"/>
                <w:sz w:val="21"/>
                <w:szCs w:val="21"/>
                <w:highlight w:val="none"/>
                <w:vertAlign w:val="subscript"/>
                <w:lang w:val="en-US" w:eastAsia="zh-CN"/>
              </w:rPr>
              <w:t>2</w:t>
            </w:r>
          </w:p>
        </w:tc>
        <w:tc>
          <w:tcPr>
            <w:tcW w:w="359" w:type="pct"/>
            <w:vAlign w:val="center"/>
          </w:tcPr>
          <w:p w14:paraId="3167F2D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lang w:val="en-US" w:eastAsia="zh-CN"/>
              </w:rPr>
              <w:t>A</w:t>
            </w:r>
            <w:r>
              <w:rPr>
                <w:rFonts w:hint="default" w:ascii="Times New Roman" w:hAnsi="Times New Roman" w:eastAsia="宋体" w:cs="Times New Roman"/>
                <w:color w:val="000000"/>
                <w:spacing w:val="0"/>
                <w:w w:val="100"/>
                <w:sz w:val="21"/>
                <w:szCs w:val="21"/>
                <w:highlight w:val="none"/>
                <w:vertAlign w:val="subscript"/>
                <w:lang w:val="en-US" w:eastAsia="zh-CN"/>
              </w:rPr>
              <w:t>3</w:t>
            </w:r>
          </w:p>
        </w:tc>
        <w:tc>
          <w:tcPr>
            <w:tcW w:w="421" w:type="pct"/>
            <w:vAlign w:val="center"/>
          </w:tcPr>
          <w:p w14:paraId="196FF60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rPr>
              <w:t>B</w:t>
            </w:r>
            <w:r>
              <w:rPr>
                <w:rFonts w:hint="default" w:ascii="Times New Roman" w:hAnsi="Times New Roman" w:eastAsia="宋体" w:cs="Times New Roman"/>
                <w:color w:val="000000"/>
                <w:spacing w:val="0"/>
                <w:w w:val="100"/>
                <w:sz w:val="21"/>
                <w:szCs w:val="21"/>
                <w:highlight w:val="none"/>
                <w:vertAlign w:val="subscript"/>
                <w:lang w:val="en-US" w:eastAsia="zh-CN"/>
              </w:rPr>
              <w:t>1</w:t>
            </w:r>
          </w:p>
        </w:tc>
        <w:tc>
          <w:tcPr>
            <w:tcW w:w="335" w:type="pct"/>
            <w:vAlign w:val="center"/>
          </w:tcPr>
          <w:p w14:paraId="77674D8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lang w:val="en-US" w:eastAsia="zh-CN"/>
              </w:rPr>
              <w:t>B</w:t>
            </w:r>
            <w:r>
              <w:rPr>
                <w:rFonts w:hint="default" w:ascii="Times New Roman" w:hAnsi="Times New Roman" w:eastAsia="宋体" w:cs="Times New Roman"/>
                <w:color w:val="000000"/>
                <w:spacing w:val="0"/>
                <w:w w:val="100"/>
                <w:sz w:val="21"/>
                <w:szCs w:val="21"/>
                <w:highlight w:val="none"/>
                <w:vertAlign w:val="subscript"/>
                <w:lang w:val="en-US" w:eastAsia="zh-CN"/>
              </w:rPr>
              <w:t>2</w:t>
            </w:r>
          </w:p>
        </w:tc>
        <w:tc>
          <w:tcPr>
            <w:tcW w:w="488" w:type="pct"/>
            <w:vAlign w:val="center"/>
          </w:tcPr>
          <w:p w14:paraId="32DFB21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lang w:val="en-US" w:eastAsia="zh-CN"/>
              </w:rPr>
              <w:t>B</w:t>
            </w:r>
            <w:r>
              <w:rPr>
                <w:rFonts w:hint="default" w:ascii="Times New Roman" w:hAnsi="Times New Roman" w:eastAsia="宋体" w:cs="Times New Roman"/>
                <w:color w:val="000000"/>
                <w:spacing w:val="0"/>
                <w:w w:val="100"/>
                <w:sz w:val="21"/>
                <w:szCs w:val="21"/>
                <w:highlight w:val="none"/>
                <w:vertAlign w:val="subscript"/>
                <w:lang w:val="en-US" w:eastAsia="zh-CN"/>
              </w:rPr>
              <w:t>3</w:t>
            </w:r>
          </w:p>
        </w:tc>
        <w:tc>
          <w:tcPr>
            <w:tcW w:w="320" w:type="pct"/>
            <w:vAlign w:val="center"/>
          </w:tcPr>
          <w:p w14:paraId="2378744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lang w:val="en-US" w:eastAsia="zh-CN"/>
              </w:rPr>
              <w:t>B</w:t>
            </w:r>
            <w:r>
              <w:rPr>
                <w:rFonts w:hint="default" w:ascii="Times New Roman" w:hAnsi="Times New Roman" w:eastAsia="宋体" w:cs="Times New Roman"/>
                <w:color w:val="000000"/>
                <w:spacing w:val="0"/>
                <w:w w:val="100"/>
                <w:sz w:val="21"/>
                <w:szCs w:val="21"/>
                <w:highlight w:val="none"/>
                <w:vertAlign w:val="subscript"/>
                <w:lang w:val="en-US" w:eastAsia="zh-CN"/>
              </w:rPr>
              <w:t>4</w:t>
            </w:r>
          </w:p>
        </w:tc>
        <w:tc>
          <w:tcPr>
            <w:tcW w:w="328" w:type="pct"/>
            <w:vAlign w:val="center"/>
          </w:tcPr>
          <w:p w14:paraId="2C27AD9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sz w:val="21"/>
                <w:szCs w:val="21"/>
                <w:highlight w:val="none"/>
              </w:rPr>
            </w:pPr>
            <w:r>
              <w:rPr>
                <w:rFonts w:hint="default" w:ascii="Times New Roman" w:hAnsi="Times New Roman" w:eastAsia="宋体" w:cs="Times New Roman"/>
                <w:color w:val="000000"/>
                <w:spacing w:val="0"/>
                <w:w w:val="100"/>
                <w:sz w:val="21"/>
                <w:szCs w:val="21"/>
                <w:highlight w:val="none"/>
                <w:lang w:val="en-US" w:eastAsia="zh-CN"/>
              </w:rPr>
              <w:t>B</w:t>
            </w:r>
            <w:r>
              <w:rPr>
                <w:rFonts w:hint="default" w:ascii="Times New Roman" w:hAnsi="Times New Roman" w:eastAsia="宋体" w:cs="Times New Roman"/>
                <w:color w:val="000000"/>
                <w:spacing w:val="0"/>
                <w:w w:val="100"/>
                <w:sz w:val="21"/>
                <w:szCs w:val="21"/>
                <w:highlight w:val="none"/>
                <w:vertAlign w:val="subscript"/>
                <w:lang w:val="en-US" w:eastAsia="zh-CN"/>
              </w:rPr>
              <w:t>5</w:t>
            </w:r>
          </w:p>
        </w:tc>
        <w:tc>
          <w:tcPr>
            <w:tcW w:w="1094" w:type="pct"/>
            <w:vAlign w:val="center"/>
          </w:tcPr>
          <w:p w14:paraId="313468F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C</w:t>
            </w:r>
          </w:p>
        </w:tc>
      </w:tr>
      <w:tr w14:paraId="1F66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70" w:type="pct"/>
            <w:gridSpan w:val="2"/>
            <w:vMerge w:val="restart"/>
            <w:vAlign w:val="center"/>
          </w:tcPr>
          <w:p w14:paraId="7AB4FF4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分布</w:t>
            </w:r>
          </w:p>
          <w:p w14:paraId="25F28E3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情况</w:t>
            </w:r>
          </w:p>
        </w:tc>
        <w:tc>
          <w:tcPr>
            <w:tcW w:w="533" w:type="pct"/>
            <w:vAlign w:val="center"/>
          </w:tcPr>
          <w:p w14:paraId="586215A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位置</w:t>
            </w:r>
          </w:p>
        </w:tc>
        <w:tc>
          <w:tcPr>
            <w:tcW w:w="480" w:type="pct"/>
            <w:vAlign w:val="center"/>
          </w:tcPr>
          <w:p w14:paraId="475B72EB">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露天采场</w:t>
            </w:r>
          </w:p>
        </w:tc>
        <w:tc>
          <w:tcPr>
            <w:tcW w:w="369" w:type="pct"/>
            <w:vAlign w:val="center"/>
          </w:tcPr>
          <w:p w14:paraId="47B5CBB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历史采坑一</w:t>
            </w:r>
          </w:p>
        </w:tc>
        <w:tc>
          <w:tcPr>
            <w:tcW w:w="359" w:type="pct"/>
            <w:vAlign w:val="center"/>
          </w:tcPr>
          <w:p w14:paraId="41C3AF1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排土场</w:t>
            </w:r>
          </w:p>
        </w:tc>
        <w:tc>
          <w:tcPr>
            <w:tcW w:w="421" w:type="pct"/>
            <w:vAlign w:val="center"/>
          </w:tcPr>
          <w:p w14:paraId="3346697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复垦用土临时堆场</w:t>
            </w:r>
          </w:p>
        </w:tc>
        <w:tc>
          <w:tcPr>
            <w:tcW w:w="335" w:type="pct"/>
            <w:vAlign w:val="center"/>
          </w:tcPr>
          <w:p w14:paraId="2C5077E4">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破碎站</w:t>
            </w:r>
          </w:p>
        </w:tc>
        <w:tc>
          <w:tcPr>
            <w:tcW w:w="488" w:type="pct"/>
            <w:vAlign w:val="center"/>
          </w:tcPr>
          <w:p w14:paraId="527B4AD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原破碎站及废石堆场</w:t>
            </w:r>
          </w:p>
        </w:tc>
        <w:tc>
          <w:tcPr>
            <w:tcW w:w="320" w:type="pct"/>
            <w:vAlign w:val="center"/>
          </w:tcPr>
          <w:p w14:paraId="3B2C87AE">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办公生活区</w:t>
            </w:r>
          </w:p>
        </w:tc>
        <w:tc>
          <w:tcPr>
            <w:tcW w:w="328" w:type="pct"/>
            <w:vAlign w:val="center"/>
          </w:tcPr>
          <w:p w14:paraId="0D5900C8">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sz w:val="21"/>
                <w:szCs w:val="21"/>
                <w:highlight w:val="none"/>
                <w:lang w:val="en-US" w:eastAsia="zh-CN"/>
              </w:rPr>
              <w:t>原综合服务区</w:t>
            </w:r>
          </w:p>
        </w:tc>
        <w:tc>
          <w:tcPr>
            <w:tcW w:w="1094" w:type="pct"/>
            <w:vAlign w:val="center"/>
          </w:tcPr>
          <w:p w14:paraId="76B02B16">
            <w:pPr>
              <w:keepNext w:val="0"/>
              <w:keepLines w:val="0"/>
              <w:pageBreakBefore w:val="0"/>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lang w:val="en-US" w:eastAsia="zh-CN"/>
              </w:rPr>
            </w:pPr>
            <w:r>
              <w:rPr>
                <w:rFonts w:hint="default" w:ascii="Times New Roman" w:hAnsi="Times New Roman" w:eastAsia="宋体" w:cs="Times New Roman"/>
                <w:spacing w:val="0"/>
                <w:w w:val="100"/>
                <w:kern w:val="0"/>
                <w:sz w:val="21"/>
                <w:szCs w:val="21"/>
                <w:highlight w:val="none"/>
                <w:lang w:val="en-US" w:eastAsia="zh-CN"/>
              </w:rPr>
              <w:t>其他</w:t>
            </w:r>
            <w:r>
              <w:rPr>
                <w:rFonts w:hint="default" w:ascii="Times New Roman" w:hAnsi="Times New Roman" w:eastAsia="宋体" w:cs="Times New Roman"/>
                <w:spacing w:val="0"/>
                <w:w w:val="100"/>
                <w:kern w:val="0"/>
                <w:sz w:val="21"/>
                <w:szCs w:val="21"/>
                <w:highlight w:val="none"/>
              </w:rPr>
              <w:t>外围区</w:t>
            </w:r>
            <w:r>
              <w:rPr>
                <w:rFonts w:hint="default" w:ascii="Times New Roman" w:hAnsi="Times New Roman" w:eastAsia="宋体" w:cs="Times New Roman"/>
                <w:spacing w:val="0"/>
                <w:w w:val="100"/>
                <w:kern w:val="0"/>
                <w:sz w:val="21"/>
                <w:szCs w:val="21"/>
                <w:highlight w:val="none"/>
                <w:lang w:val="en-US" w:eastAsia="zh-CN"/>
              </w:rPr>
              <w:t>域</w:t>
            </w:r>
          </w:p>
        </w:tc>
      </w:tr>
      <w:tr w14:paraId="224C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70" w:type="pct"/>
            <w:gridSpan w:val="2"/>
            <w:vMerge w:val="continue"/>
            <w:vAlign w:val="center"/>
          </w:tcPr>
          <w:p w14:paraId="6A2B7C1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p>
        </w:tc>
        <w:tc>
          <w:tcPr>
            <w:tcW w:w="533" w:type="pct"/>
            <w:vAlign w:val="center"/>
          </w:tcPr>
          <w:p w14:paraId="350D947B">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面积(hm</w:t>
            </w:r>
            <w:r>
              <w:rPr>
                <w:rFonts w:hint="default" w:ascii="Times New Roman" w:hAnsi="Times New Roman" w:eastAsia="宋体" w:cs="Times New Roman"/>
                <w:spacing w:val="0"/>
                <w:w w:val="100"/>
                <w:kern w:val="0"/>
                <w:sz w:val="21"/>
                <w:szCs w:val="21"/>
                <w:highlight w:val="none"/>
                <w:vertAlign w:val="superscript"/>
              </w:rPr>
              <w:t>2</w:t>
            </w:r>
            <w:r>
              <w:rPr>
                <w:rFonts w:hint="default" w:ascii="Times New Roman" w:hAnsi="Times New Roman" w:eastAsia="宋体" w:cs="Times New Roman"/>
                <w:spacing w:val="0"/>
                <w:w w:val="100"/>
                <w:kern w:val="0"/>
                <w:sz w:val="21"/>
                <w:szCs w:val="21"/>
                <w:highlight w:val="none"/>
              </w:rPr>
              <w:t>)</w:t>
            </w:r>
          </w:p>
        </w:tc>
        <w:tc>
          <w:tcPr>
            <w:tcW w:w="480" w:type="pct"/>
            <w:shd w:val="clear" w:color="auto" w:fill="auto"/>
            <w:noWrap/>
            <w:vAlign w:val="center"/>
          </w:tcPr>
          <w:p w14:paraId="498031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8.3331</w:t>
            </w:r>
          </w:p>
        </w:tc>
        <w:tc>
          <w:tcPr>
            <w:tcW w:w="369" w:type="pct"/>
            <w:shd w:val="clear" w:color="auto" w:fill="auto"/>
            <w:vAlign w:val="center"/>
          </w:tcPr>
          <w:p w14:paraId="692183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1.4921</w:t>
            </w:r>
          </w:p>
        </w:tc>
        <w:tc>
          <w:tcPr>
            <w:tcW w:w="359" w:type="pct"/>
            <w:shd w:val="clear" w:color="auto" w:fill="auto"/>
            <w:vAlign w:val="center"/>
          </w:tcPr>
          <w:p w14:paraId="6F1BF6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0.6052</w:t>
            </w:r>
          </w:p>
        </w:tc>
        <w:tc>
          <w:tcPr>
            <w:tcW w:w="421" w:type="pct"/>
            <w:shd w:val="clear" w:color="auto" w:fill="auto"/>
            <w:vAlign w:val="center"/>
          </w:tcPr>
          <w:p w14:paraId="2BD1DF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2.0378</w:t>
            </w:r>
          </w:p>
        </w:tc>
        <w:tc>
          <w:tcPr>
            <w:tcW w:w="335" w:type="pct"/>
            <w:shd w:val="clear" w:color="auto" w:fill="auto"/>
            <w:vAlign w:val="center"/>
          </w:tcPr>
          <w:p w14:paraId="65D8B60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2.4635</w:t>
            </w:r>
          </w:p>
        </w:tc>
        <w:tc>
          <w:tcPr>
            <w:tcW w:w="488" w:type="pct"/>
            <w:shd w:val="clear" w:color="auto" w:fill="auto"/>
            <w:vAlign w:val="center"/>
          </w:tcPr>
          <w:p w14:paraId="3830871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2.288</w:t>
            </w:r>
          </w:p>
        </w:tc>
        <w:tc>
          <w:tcPr>
            <w:tcW w:w="320" w:type="pct"/>
            <w:shd w:val="clear" w:color="auto" w:fill="auto"/>
            <w:vAlign w:val="center"/>
          </w:tcPr>
          <w:p w14:paraId="700E96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0.3463</w:t>
            </w:r>
          </w:p>
        </w:tc>
        <w:tc>
          <w:tcPr>
            <w:tcW w:w="328" w:type="pct"/>
            <w:shd w:val="clear" w:color="auto" w:fill="auto"/>
            <w:vAlign w:val="center"/>
          </w:tcPr>
          <w:p w14:paraId="17FD41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0.3711</w:t>
            </w:r>
          </w:p>
        </w:tc>
        <w:tc>
          <w:tcPr>
            <w:tcW w:w="1094" w:type="pct"/>
            <w:shd w:val="clear" w:color="auto" w:fill="auto"/>
            <w:vAlign w:val="center"/>
          </w:tcPr>
          <w:p w14:paraId="514EE4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6.9269</w:t>
            </w:r>
          </w:p>
        </w:tc>
      </w:tr>
      <w:tr w14:paraId="6539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70" w:type="pct"/>
            <w:gridSpan w:val="2"/>
            <w:vMerge w:val="continue"/>
            <w:vAlign w:val="center"/>
          </w:tcPr>
          <w:p w14:paraId="233967E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p>
        </w:tc>
        <w:tc>
          <w:tcPr>
            <w:tcW w:w="533" w:type="pct"/>
            <w:vAlign w:val="center"/>
          </w:tcPr>
          <w:p w14:paraId="0AF0384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比例(%)</w:t>
            </w:r>
          </w:p>
        </w:tc>
        <w:tc>
          <w:tcPr>
            <w:tcW w:w="480" w:type="pct"/>
            <w:shd w:val="clear" w:color="auto" w:fill="auto"/>
            <w:vAlign w:val="center"/>
          </w:tcPr>
          <w:p w14:paraId="5CCB5BE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33.51%</w:t>
            </w:r>
          </w:p>
        </w:tc>
        <w:tc>
          <w:tcPr>
            <w:tcW w:w="369" w:type="pct"/>
            <w:shd w:val="clear" w:color="auto" w:fill="auto"/>
            <w:vAlign w:val="center"/>
          </w:tcPr>
          <w:p w14:paraId="6ABF0D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6.00%</w:t>
            </w:r>
          </w:p>
        </w:tc>
        <w:tc>
          <w:tcPr>
            <w:tcW w:w="359" w:type="pct"/>
            <w:shd w:val="clear" w:color="auto" w:fill="auto"/>
            <w:vAlign w:val="center"/>
          </w:tcPr>
          <w:p w14:paraId="3EBD69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2.43%</w:t>
            </w:r>
          </w:p>
        </w:tc>
        <w:tc>
          <w:tcPr>
            <w:tcW w:w="421" w:type="pct"/>
            <w:shd w:val="clear" w:color="auto" w:fill="auto"/>
            <w:vAlign w:val="center"/>
          </w:tcPr>
          <w:p w14:paraId="0ABFCB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8.20%</w:t>
            </w:r>
          </w:p>
        </w:tc>
        <w:tc>
          <w:tcPr>
            <w:tcW w:w="335" w:type="pct"/>
            <w:shd w:val="clear" w:color="auto" w:fill="auto"/>
            <w:vAlign w:val="center"/>
          </w:tcPr>
          <w:p w14:paraId="39C991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9.91%</w:t>
            </w:r>
          </w:p>
        </w:tc>
        <w:tc>
          <w:tcPr>
            <w:tcW w:w="488" w:type="pct"/>
            <w:shd w:val="clear" w:color="auto" w:fill="auto"/>
            <w:vAlign w:val="center"/>
          </w:tcPr>
          <w:p w14:paraId="3100EB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9.20%</w:t>
            </w:r>
          </w:p>
        </w:tc>
        <w:tc>
          <w:tcPr>
            <w:tcW w:w="320" w:type="pct"/>
            <w:shd w:val="clear" w:color="auto" w:fill="auto"/>
            <w:vAlign w:val="center"/>
          </w:tcPr>
          <w:p w14:paraId="4D947F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1.39%</w:t>
            </w:r>
          </w:p>
        </w:tc>
        <w:tc>
          <w:tcPr>
            <w:tcW w:w="328" w:type="pct"/>
            <w:shd w:val="clear" w:color="auto" w:fill="auto"/>
            <w:vAlign w:val="center"/>
          </w:tcPr>
          <w:p w14:paraId="20B332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1.49%</w:t>
            </w:r>
          </w:p>
        </w:tc>
        <w:tc>
          <w:tcPr>
            <w:tcW w:w="1094" w:type="pct"/>
            <w:shd w:val="clear" w:color="auto" w:fill="auto"/>
            <w:vAlign w:val="center"/>
          </w:tcPr>
          <w:p w14:paraId="3E5667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pacing w:val="0"/>
                <w:w w:val="100"/>
                <w:sz w:val="21"/>
                <w:szCs w:val="21"/>
                <w:highlight w:val="none"/>
                <w:u w:val="none"/>
                <w:lang w:val="en-US" w:eastAsia="zh-CN" w:bidi="ar-SA"/>
              </w:rPr>
            </w:pPr>
            <w:r>
              <w:rPr>
                <w:rFonts w:hint="default" w:ascii="Times New Roman" w:hAnsi="Times New Roman" w:eastAsia="宋体" w:cs="Times New Roman"/>
                <w:i w:val="0"/>
                <w:iCs w:val="0"/>
                <w:color w:val="000000"/>
                <w:spacing w:val="0"/>
                <w:w w:val="100"/>
                <w:kern w:val="0"/>
                <w:sz w:val="21"/>
                <w:szCs w:val="21"/>
                <w:highlight w:val="none"/>
                <w:u w:val="none"/>
                <w:lang w:val="en-US" w:eastAsia="zh-CN" w:bidi="ar"/>
              </w:rPr>
              <w:t>27.86%</w:t>
            </w:r>
          </w:p>
        </w:tc>
      </w:tr>
      <w:tr w14:paraId="063D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803" w:type="pct"/>
            <w:gridSpan w:val="3"/>
            <w:vAlign w:val="center"/>
          </w:tcPr>
          <w:p w14:paraId="4EDD174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地质环境条件</w:t>
            </w:r>
          </w:p>
        </w:tc>
        <w:tc>
          <w:tcPr>
            <w:tcW w:w="1208" w:type="pct"/>
            <w:gridSpan w:val="3"/>
            <w:vAlign w:val="center"/>
          </w:tcPr>
          <w:p w14:paraId="07E49EA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left"/>
              <w:textAlignment w:val="auto"/>
              <w:rPr>
                <w:rFonts w:hint="default" w:ascii="Times New Roman" w:hAnsi="Times New Roman" w:eastAsia="宋体" w:cs="Times New Roman"/>
                <w:spacing w:val="0"/>
                <w:w w:val="100"/>
                <w:kern w:val="0"/>
                <w:sz w:val="21"/>
                <w:szCs w:val="21"/>
                <w:highlight w:val="none"/>
              </w:rPr>
            </w:pPr>
            <w:bookmarkStart w:id="314" w:name="OLE_LINK1"/>
            <w:r>
              <w:rPr>
                <w:rFonts w:hint="default" w:ascii="Times New Roman" w:hAnsi="Times New Roman" w:eastAsia="宋体" w:cs="Times New Roman"/>
                <w:spacing w:val="0"/>
                <w:w w:val="100"/>
                <w:kern w:val="0"/>
                <w:sz w:val="21"/>
                <w:szCs w:val="21"/>
                <w:highlight w:val="none"/>
              </w:rPr>
              <w:t>表层为残积粘性土，下伏为玄武岩。地下水富水性</w:t>
            </w:r>
            <w:r>
              <w:rPr>
                <w:rFonts w:hint="eastAsia" w:cs="Times New Roman"/>
                <w:spacing w:val="0"/>
                <w:w w:val="100"/>
                <w:kern w:val="0"/>
                <w:sz w:val="21"/>
                <w:szCs w:val="21"/>
                <w:highlight w:val="none"/>
                <w:lang w:val="en-US" w:eastAsia="zh-CN"/>
              </w:rPr>
              <w:t>弱</w:t>
            </w:r>
            <w:r>
              <w:rPr>
                <w:rFonts w:hint="default" w:ascii="Times New Roman" w:hAnsi="Times New Roman" w:eastAsia="宋体" w:cs="Times New Roman"/>
                <w:spacing w:val="0"/>
                <w:w w:val="100"/>
                <w:kern w:val="0"/>
                <w:sz w:val="21"/>
                <w:szCs w:val="21"/>
                <w:highlight w:val="none"/>
              </w:rPr>
              <w:t>，岩土体工程地质性质</w:t>
            </w:r>
            <w:r>
              <w:rPr>
                <w:rFonts w:hint="eastAsia" w:cs="Times New Roman"/>
                <w:spacing w:val="0"/>
                <w:w w:val="100"/>
                <w:kern w:val="0"/>
                <w:sz w:val="21"/>
                <w:szCs w:val="21"/>
                <w:highlight w:val="none"/>
                <w:lang w:val="en-US" w:eastAsia="zh-CN"/>
              </w:rPr>
              <w:t>中等</w:t>
            </w:r>
            <w:r>
              <w:rPr>
                <w:rFonts w:hint="default" w:ascii="Times New Roman" w:hAnsi="Times New Roman" w:eastAsia="宋体" w:cs="Times New Roman"/>
                <w:spacing w:val="0"/>
                <w:w w:val="100"/>
                <w:kern w:val="0"/>
                <w:sz w:val="21"/>
                <w:szCs w:val="21"/>
                <w:highlight w:val="none"/>
              </w:rPr>
              <w:t>，植被</w:t>
            </w:r>
            <w:r>
              <w:rPr>
                <w:rFonts w:hint="eastAsia" w:cs="Times New Roman"/>
                <w:spacing w:val="0"/>
                <w:w w:val="100"/>
                <w:kern w:val="0"/>
                <w:sz w:val="21"/>
                <w:szCs w:val="21"/>
                <w:highlight w:val="none"/>
                <w:lang w:val="en-US" w:eastAsia="zh-CN"/>
              </w:rPr>
              <w:t>损毁严重</w:t>
            </w:r>
            <w:r>
              <w:rPr>
                <w:rFonts w:hint="default" w:ascii="Times New Roman" w:hAnsi="Times New Roman" w:eastAsia="宋体" w:cs="Times New Roman"/>
                <w:spacing w:val="0"/>
                <w:w w:val="100"/>
                <w:kern w:val="0"/>
                <w:sz w:val="21"/>
                <w:szCs w:val="21"/>
                <w:highlight w:val="none"/>
              </w:rPr>
              <w:t>，人类工程活动</w:t>
            </w:r>
            <w:r>
              <w:rPr>
                <w:rFonts w:hint="eastAsia" w:cs="Times New Roman"/>
                <w:spacing w:val="0"/>
                <w:w w:val="100"/>
                <w:kern w:val="0"/>
                <w:sz w:val="21"/>
                <w:szCs w:val="21"/>
                <w:highlight w:val="none"/>
                <w:lang w:val="en-US" w:eastAsia="zh-CN"/>
              </w:rPr>
              <w:t>中等</w:t>
            </w:r>
            <w:r>
              <w:rPr>
                <w:rFonts w:hint="default" w:ascii="Times New Roman" w:hAnsi="Times New Roman" w:eastAsia="宋体" w:cs="Times New Roman"/>
                <w:spacing w:val="0"/>
                <w:w w:val="100"/>
                <w:kern w:val="0"/>
                <w:sz w:val="21"/>
                <w:szCs w:val="21"/>
                <w:highlight w:val="none"/>
              </w:rPr>
              <w:t>，土地类型</w:t>
            </w:r>
            <w:bookmarkEnd w:id="314"/>
            <w:r>
              <w:rPr>
                <w:rFonts w:hint="default" w:ascii="Times New Roman" w:hAnsi="Times New Roman" w:eastAsia="宋体" w:cs="Times New Roman"/>
                <w:spacing w:val="0"/>
                <w:w w:val="100"/>
                <w:kern w:val="0"/>
                <w:sz w:val="21"/>
                <w:szCs w:val="21"/>
                <w:highlight w:val="none"/>
              </w:rPr>
              <w:t>果园</w:t>
            </w:r>
            <w:r>
              <w:rPr>
                <w:rFonts w:hint="eastAsia" w:cs="Times New Roman"/>
                <w:spacing w:val="0"/>
                <w:w w:val="100"/>
                <w:kern w:val="0"/>
                <w:sz w:val="21"/>
                <w:szCs w:val="21"/>
                <w:highlight w:val="none"/>
                <w:lang w:eastAsia="zh-CN"/>
              </w:rPr>
              <w:t>、</w:t>
            </w:r>
            <w:r>
              <w:rPr>
                <w:rFonts w:hint="default" w:ascii="Times New Roman" w:hAnsi="Times New Roman" w:eastAsia="宋体" w:cs="Times New Roman"/>
                <w:spacing w:val="0"/>
                <w:w w:val="100"/>
                <w:kern w:val="0"/>
                <w:sz w:val="21"/>
                <w:szCs w:val="21"/>
                <w:highlight w:val="none"/>
              </w:rPr>
              <w:t>乔木林地</w:t>
            </w:r>
            <w:r>
              <w:rPr>
                <w:rFonts w:hint="eastAsia" w:cs="Times New Roman"/>
                <w:spacing w:val="0"/>
                <w:w w:val="100"/>
                <w:kern w:val="0"/>
                <w:sz w:val="21"/>
                <w:szCs w:val="21"/>
                <w:highlight w:val="none"/>
                <w:lang w:eastAsia="zh-CN"/>
              </w:rPr>
              <w:t>、</w:t>
            </w:r>
            <w:r>
              <w:rPr>
                <w:rFonts w:hint="default" w:ascii="Times New Roman" w:hAnsi="Times New Roman" w:eastAsia="宋体" w:cs="Times New Roman"/>
                <w:spacing w:val="0"/>
                <w:w w:val="100"/>
                <w:kern w:val="0"/>
                <w:sz w:val="21"/>
                <w:szCs w:val="21"/>
                <w:highlight w:val="none"/>
              </w:rPr>
              <w:t>灌木林地</w:t>
            </w:r>
            <w:r>
              <w:rPr>
                <w:rFonts w:hint="eastAsia" w:cs="Times New Roman"/>
                <w:spacing w:val="0"/>
                <w:w w:val="100"/>
                <w:kern w:val="0"/>
                <w:sz w:val="21"/>
                <w:szCs w:val="21"/>
                <w:highlight w:val="none"/>
                <w:lang w:eastAsia="zh-CN"/>
              </w:rPr>
              <w:t>、</w:t>
            </w:r>
            <w:r>
              <w:rPr>
                <w:rFonts w:hint="default" w:ascii="Times New Roman" w:hAnsi="Times New Roman" w:eastAsia="宋体" w:cs="Times New Roman"/>
                <w:spacing w:val="0"/>
                <w:w w:val="100"/>
                <w:kern w:val="0"/>
                <w:sz w:val="21"/>
                <w:szCs w:val="21"/>
                <w:highlight w:val="none"/>
              </w:rPr>
              <w:t>其他草地</w:t>
            </w:r>
            <w:r>
              <w:rPr>
                <w:rFonts w:hint="eastAsia" w:cs="Times New Roman"/>
                <w:spacing w:val="0"/>
                <w:w w:val="100"/>
                <w:kern w:val="0"/>
                <w:sz w:val="21"/>
                <w:szCs w:val="21"/>
                <w:highlight w:val="none"/>
                <w:lang w:eastAsia="zh-CN"/>
              </w:rPr>
              <w:t>、</w:t>
            </w:r>
            <w:r>
              <w:rPr>
                <w:rFonts w:hint="default" w:ascii="Times New Roman" w:hAnsi="Times New Roman" w:eastAsia="宋体" w:cs="Times New Roman"/>
                <w:spacing w:val="0"/>
                <w:w w:val="100"/>
                <w:kern w:val="0"/>
                <w:sz w:val="21"/>
                <w:szCs w:val="21"/>
                <w:highlight w:val="none"/>
              </w:rPr>
              <w:t>农村道路</w:t>
            </w:r>
            <w:r>
              <w:rPr>
                <w:rFonts w:hint="eastAsia" w:cs="Times New Roman"/>
                <w:spacing w:val="0"/>
                <w:w w:val="100"/>
                <w:kern w:val="0"/>
                <w:sz w:val="21"/>
                <w:szCs w:val="21"/>
                <w:highlight w:val="none"/>
                <w:lang w:eastAsia="zh-CN"/>
              </w:rPr>
              <w:t>、</w:t>
            </w:r>
            <w:r>
              <w:rPr>
                <w:rFonts w:hint="default" w:ascii="Times New Roman" w:hAnsi="Times New Roman" w:eastAsia="宋体" w:cs="Times New Roman"/>
                <w:spacing w:val="0"/>
                <w:w w:val="100"/>
                <w:kern w:val="0"/>
                <w:sz w:val="21"/>
                <w:szCs w:val="21"/>
                <w:highlight w:val="none"/>
              </w:rPr>
              <w:t>沟渠。</w:t>
            </w:r>
          </w:p>
        </w:tc>
        <w:tc>
          <w:tcPr>
            <w:tcW w:w="1892" w:type="pct"/>
            <w:gridSpan w:val="5"/>
            <w:vAlign w:val="center"/>
          </w:tcPr>
          <w:p w14:paraId="2B4D00A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left"/>
              <w:textAlignment w:val="auto"/>
              <w:rPr>
                <w:rFonts w:hint="default" w:ascii="Times New Roman" w:hAnsi="Times New Roman" w:eastAsia="宋体" w:cs="Times New Roman"/>
                <w:spacing w:val="0"/>
                <w:w w:val="100"/>
                <w:kern w:val="0"/>
                <w:sz w:val="21"/>
                <w:szCs w:val="21"/>
                <w:highlight w:val="none"/>
                <w:lang w:val="en-US"/>
              </w:rPr>
            </w:pPr>
            <w:r>
              <w:rPr>
                <w:rFonts w:hint="default" w:ascii="Times New Roman" w:hAnsi="Times New Roman" w:eastAsia="宋体" w:cs="Times New Roman"/>
                <w:spacing w:val="0"/>
                <w:w w:val="100"/>
                <w:kern w:val="0"/>
                <w:sz w:val="21"/>
                <w:szCs w:val="21"/>
                <w:highlight w:val="none"/>
              </w:rPr>
              <w:t>表层为残积粘性土，下伏为玄武岩。地下水富水性</w:t>
            </w:r>
            <w:r>
              <w:rPr>
                <w:rFonts w:hint="eastAsia" w:cs="Times New Roman"/>
                <w:spacing w:val="0"/>
                <w:w w:val="100"/>
                <w:kern w:val="0"/>
                <w:sz w:val="21"/>
                <w:szCs w:val="21"/>
                <w:highlight w:val="none"/>
                <w:lang w:val="en-US" w:eastAsia="zh-CN"/>
              </w:rPr>
              <w:t>弱</w:t>
            </w:r>
            <w:r>
              <w:rPr>
                <w:rFonts w:hint="default" w:ascii="Times New Roman" w:hAnsi="Times New Roman" w:eastAsia="宋体" w:cs="Times New Roman"/>
                <w:spacing w:val="0"/>
                <w:w w:val="100"/>
                <w:kern w:val="0"/>
                <w:sz w:val="21"/>
                <w:szCs w:val="21"/>
                <w:highlight w:val="none"/>
              </w:rPr>
              <w:t>，岩土体工程地质性质</w:t>
            </w:r>
            <w:r>
              <w:rPr>
                <w:rFonts w:hint="eastAsia" w:cs="Times New Roman"/>
                <w:spacing w:val="0"/>
                <w:w w:val="100"/>
                <w:kern w:val="0"/>
                <w:sz w:val="21"/>
                <w:szCs w:val="21"/>
                <w:highlight w:val="none"/>
                <w:lang w:val="en-US" w:eastAsia="zh-CN"/>
              </w:rPr>
              <w:t>中等，植被损毁中等，人类工程活动中等，土地类型为果园、乔木林地、灌木林地、其他草地、商业服务业设施用地、采矿用地、农村宅基地、农村道路、坑塘水面。</w:t>
            </w:r>
          </w:p>
        </w:tc>
        <w:tc>
          <w:tcPr>
            <w:tcW w:w="1094" w:type="pct"/>
            <w:vAlign w:val="center"/>
          </w:tcPr>
          <w:p w14:paraId="1EB81A8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left"/>
              <w:textAlignment w:val="auto"/>
              <w:rPr>
                <w:rFonts w:hint="default" w:ascii="Times New Roman" w:hAnsi="Times New Roman" w:eastAsia="宋体" w:cs="Times New Roman"/>
                <w:spacing w:val="0"/>
                <w:w w:val="100"/>
                <w:kern w:val="0"/>
                <w:sz w:val="21"/>
                <w:szCs w:val="21"/>
                <w:highlight w:val="none"/>
              </w:rPr>
            </w:pPr>
            <w:r>
              <w:rPr>
                <w:rFonts w:hint="default" w:ascii="Times New Roman" w:hAnsi="Times New Roman" w:eastAsia="宋体" w:cs="Times New Roman"/>
                <w:spacing w:val="0"/>
                <w:w w:val="100"/>
                <w:kern w:val="0"/>
                <w:sz w:val="21"/>
                <w:szCs w:val="21"/>
                <w:highlight w:val="none"/>
              </w:rPr>
              <w:t>表层为残积粘性土，下伏为玄武岩。地下水富水性</w:t>
            </w:r>
            <w:r>
              <w:rPr>
                <w:rFonts w:hint="eastAsia" w:cs="Times New Roman"/>
                <w:spacing w:val="0"/>
                <w:w w:val="100"/>
                <w:kern w:val="0"/>
                <w:sz w:val="21"/>
                <w:szCs w:val="21"/>
                <w:highlight w:val="none"/>
                <w:lang w:val="en-US" w:eastAsia="zh-CN"/>
              </w:rPr>
              <w:t>弱</w:t>
            </w:r>
            <w:r>
              <w:rPr>
                <w:rFonts w:hint="default" w:ascii="Times New Roman" w:hAnsi="Times New Roman" w:eastAsia="宋体" w:cs="Times New Roman"/>
                <w:spacing w:val="0"/>
                <w:w w:val="100"/>
                <w:kern w:val="0"/>
                <w:sz w:val="21"/>
                <w:szCs w:val="21"/>
                <w:highlight w:val="none"/>
              </w:rPr>
              <w:t>，岩土体工程地质性质</w:t>
            </w:r>
            <w:r>
              <w:rPr>
                <w:rFonts w:hint="eastAsia" w:cs="Times New Roman"/>
                <w:spacing w:val="0"/>
                <w:w w:val="100"/>
                <w:kern w:val="0"/>
                <w:sz w:val="21"/>
                <w:szCs w:val="21"/>
                <w:highlight w:val="none"/>
                <w:lang w:val="en-US" w:eastAsia="zh-CN"/>
              </w:rPr>
              <w:t>中等</w:t>
            </w:r>
            <w:r>
              <w:rPr>
                <w:rFonts w:hint="default" w:ascii="Times New Roman" w:hAnsi="Times New Roman" w:eastAsia="宋体" w:cs="Times New Roman"/>
                <w:spacing w:val="0"/>
                <w:w w:val="100"/>
                <w:kern w:val="0"/>
                <w:sz w:val="21"/>
                <w:szCs w:val="21"/>
                <w:highlight w:val="none"/>
              </w:rPr>
              <w:t>，植被发育，人类工程活动较剧烈，土地类型为乔木林地、其他草地、采矿用地</w:t>
            </w:r>
            <w:r>
              <w:rPr>
                <w:rFonts w:hint="eastAsia" w:cs="Times New Roman"/>
                <w:spacing w:val="0"/>
                <w:w w:val="100"/>
                <w:kern w:val="0"/>
                <w:sz w:val="21"/>
                <w:szCs w:val="21"/>
                <w:highlight w:val="none"/>
                <w:lang w:val="en-US" w:eastAsia="zh-CN"/>
              </w:rPr>
              <w:t>等</w:t>
            </w:r>
            <w:r>
              <w:rPr>
                <w:rFonts w:hint="default" w:ascii="Times New Roman" w:hAnsi="Times New Roman" w:eastAsia="宋体" w:cs="Times New Roman"/>
                <w:spacing w:val="0"/>
                <w:w w:val="100"/>
                <w:kern w:val="0"/>
                <w:sz w:val="21"/>
                <w:szCs w:val="21"/>
                <w:highlight w:val="none"/>
              </w:rPr>
              <w:t>。</w:t>
            </w:r>
          </w:p>
        </w:tc>
      </w:tr>
      <w:tr w14:paraId="08DE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restart"/>
            <w:vAlign w:val="center"/>
          </w:tcPr>
          <w:p w14:paraId="3168B93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矿山</w:t>
            </w:r>
          </w:p>
          <w:p w14:paraId="296DE1E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地质</w:t>
            </w:r>
          </w:p>
          <w:p w14:paraId="5FE1B814">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环境</w:t>
            </w:r>
          </w:p>
          <w:p w14:paraId="43624A7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现状</w:t>
            </w:r>
          </w:p>
          <w:p w14:paraId="74918C7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评估</w:t>
            </w:r>
          </w:p>
        </w:tc>
        <w:tc>
          <w:tcPr>
            <w:tcW w:w="562" w:type="pct"/>
            <w:gridSpan w:val="2"/>
            <w:vAlign w:val="center"/>
          </w:tcPr>
          <w:p w14:paraId="15045E64">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地质灾害影响</w:t>
            </w:r>
          </w:p>
        </w:tc>
        <w:tc>
          <w:tcPr>
            <w:tcW w:w="480" w:type="pct"/>
            <w:shd w:val="clear" w:color="auto" w:fill="auto"/>
            <w:vAlign w:val="center"/>
          </w:tcPr>
          <w:p w14:paraId="5873B8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69" w:type="pct"/>
            <w:shd w:val="clear" w:color="auto" w:fill="auto"/>
            <w:vAlign w:val="center"/>
          </w:tcPr>
          <w:p w14:paraId="79876A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359" w:type="pct"/>
            <w:shd w:val="clear" w:color="auto" w:fill="auto"/>
            <w:vAlign w:val="center"/>
          </w:tcPr>
          <w:p w14:paraId="22E510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421" w:type="pct"/>
            <w:shd w:val="clear" w:color="auto" w:fill="auto"/>
            <w:vAlign w:val="center"/>
          </w:tcPr>
          <w:p w14:paraId="5D4BF9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35" w:type="pct"/>
            <w:shd w:val="clear" w:color="auto" w:fill="auto"/>
            <w:vAlign w:val="center"/>
          </w:tcPr>
          <w:p w14:paraId="63AA4C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488" w:type="pct"/>
            <w:shd w:val="clear" w:color="auto" w:fill="auto"/>
            <w:vAlign w:val="center"/>
          </w:tcPr>
          <w:p w14:paraId="30F92D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320" w:type="pct"/>
            <w:shd w:val="clear" w:color="auto" w:fill="auto"/>
            <w:vAlign w:val="center"/>
          </w:tcPr>
          <w:p w14:paraId="1DC541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328" w:type="pct"/>
            <w:shd w:val="clear" w:color="auto" w:fill="auto"/>
            <w:vAlign w:val="center"/>
          </w:tcPr>
          <w:p w14:paraId="741E23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1094" w:type="pct"/>
            <w:shd w:val="clear" w:color="auto" w:fill="auto"/>
            <w:vAlign w:val="center"/>
          </w:tcPr>
          <w:p w14:paraId="09C696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r>
      <w:tr w14:paraId="1D5C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2A114FB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1BEFBC4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含水层影响</w:t>
            </w:r>
          </w:p>
        </w:tc>
        <w:tc>
          <w:tcPr>
            <w:tcW w:w="480" w:type="pct"/>
            <w:shd w:val="clear" w:color="auto" w:fill="auto"/>
            <w:vAlign w:val="center"/>
          </w:tcPr>
          <w:p w14:paraId="096F49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69" w:type="pct"/>
            <w:shd w:val="clear" w:color="auto" w:fill="auto"/>
            <w:vAlign w:val="center"/>
          </w:tcPr>
          <w:p w14:paraId="3177EF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359" w:type="pct"/>
            <w:shd w:val="clear" w:color="auto" w:fill="auto"/>
            <w:vAlign w:val="center"/>
          </w:tcPr>
          <w:p w14:paraId="2ED0D7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421" w:type="pct"/>
            <w:shd w:val="clear" w:color="auto" w:fill="auto"/>
            <w:vAlign w:val="center"/>
          </w:tcPr>
          <w:p w14:paraId="7C0AC7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35" w:type="pct"/>
            <w:shd w:val="clear" w:color="auto" w:fill="auto"/>
            <w:vAlign w:val="center"/>
          </w:tcPr>
          <w:p w14:paraId="6B9DAE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488" w:type="pct"/>
            <w:shd w:val="clear" w:color="auto" w:fill="auto"/>
            <w:vAlign w:val="center"/>
          </w:tcPr>
          <w:p w14:paraId="261B0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320" w:type="pct"/>
            <w:shd w:val="clear" w:color="auto" w:fill="auto"/>
            <w:vAlign w:val="center"/>
          </w:tcPr>
          <w:p w14:paraId="2E6CF5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328" w:type="pct"/>
            <w:shd w:val="clear" w:color="auto" w:fill="auto"/>
            <w:vAlign w:val="center"/>
          </w:tcPr>
          <w:p w14:paraId="7C4F8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rPr>
              <w:t>轻度</w:t>
            </w:r>
          </w:p>
        </w:tc>
        <w:tc>
          <w:tcPr>
            <w:tcW w:w="1094" w:type="pct"/>
            <w:shd w:val="clear" w:color="auto" w:fill="auto"/>
            <w:vAlign w:val="center"/>
          </w:tcPr>
          <w:p w14:paraId="12B0F0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r>
      <w:tr w14:paraId="7CDD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42AC59EB">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0231BC7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地形地貌影响</w:t>
            </w:r>
          </w:p>
        </w:tc>
        <w:tc>
          <w:tcPr>
            <w:tcW w:w="480" w:type="pct"/>
            <w:shd w:val="clear" w:color="auto" w:fill="auto"/>
            <w:vAlign w:val="center"/>
          </w:tcPr>
          <w:p w14:paraId="279F82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69" w:type="pct"/>
            <w:shd w:val="clear" w:color="auto" w:fill="auto"/>
            <w:vAlign w:val="center"/>
          </w:tcPr>
          <w:p w14:paraId="15D948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重度</w:t>
            </w:r>
          </w:p>
        </w:tc>
        <w:tc>
          <w:tcPr>
            <w:tcW w:w="359" w:type="pct"/>
            <w:shd w:val="clear" w:color="auto" w:fill="auto"/>
            <w:vAlign w:val="center"/>
          </w:tcPr>
          <w:p w14:paraId="59B76C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重度</w:t>
            </w:r>
          </w:p>
        </w:tc>
        <w:tc>
          <w:tcPr>
            <w:tcW w:w="421" w:type="pct"/>
            <w:shd w:val="clear" w:color="auto" w:fill="auto"/>
            <w:vAlign w:val="center"/>
          </w:tcPr>
          <w:p w14:paraId="4637D2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35" w:type="pct"/>
            <w:shd w:val="clear" w:color="auto" w:fill="auto"/>
            <w:vAlign w:val="center"/>
          </w:tcPr>
          <w:p w14:paraId="05D793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488" w:type="pct"/>
            <w:shd w:val="clear" w:color="auto" w:fill="auto"/>
            <w:vAlign w:val="center"/>
          </w:tcPr>
          <w:p w14:paraId="5E4436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20" w:type="pct"/>
            <w:shd w:val="clear" w:color="auto" w:fill="auto"/>
            <w:vAlign w:val="center"/>
          </w:tcPr>
          <w:p w14:paraId="0B8C8D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28" w:type="pct"/>
            <w:shd w:val="clear" w:color="auto" w:fill="auto"/>
            <w:vAlign w:val="center"/>
          </w:tcPr>
          <w:p w14:paraId="286E3B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1094" w:type="pct"/>
            <w:shd w:val="clear" w:color="auto" w:fill="auto"/>
            <w:vAlign w:val="center"/>
          </w:tcPr>
          <w:p w14:paraId="133A3A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r>
      <w:tr w14:paraId="6C07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67A3426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6110CA3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土地资源影响</w:t>
            </w:r>
          </w:p>
        </w:tc>
        <w:tc>
          <w:tcPr>
            <w:tcW w:w="480" w:type="pct"/>
            <w:shd w:val="clear" w:color="auto" w:fill="auto"/>
            <w:vAlign w:val="center"/>
          </w:tcPr>
          <w:p w14:paraId="1BF7E4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69" w:type="pct"/>
            <w:shd w:val="clear" w:color="auto" w:fill="auto"/>
            <w:vAlign w:val="center"/>
          </w:tcPr>
          <w:p w14:paraId="7587BB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重度</w:t>
            </w:r>
          </w:p>
        </w:tc>
        <w:tc>
          <w:tcPr>
            <w:tcW w:w="359" w:type="pct"/>
            <w:shd w:val="clear" w:color="auto" w:fill="auto"/>
            <w:vAlign w:val="center"/>
          </w:tcPr>
          <w:p w14:paraId="214FBD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重度</w:t>
            </w:r>
          </w:p>
        </w:tc>
        <w:tc>
          <w:tcPr>
            <w:tcW w:w="421" w:type="pct"/>
            <w:shd w:val="clear" w:color="auto" w:fill="auto"/>
            <w:vAlign w:val="center"/>
          </w:tcPr>
          <w:p w14:paraId="774AA2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35" w:type="pct"/>
            <w:shd w:val="clear" w:color="auto" w:fill="auto"/>
            <w:vAlign w:val="center"/>
          </w:tcPr>
          <w:p w14:paraId="4F5574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488" w:type="pct"/>
            <w:shd w:val="clear" w:color="auto" w:fill="auto"/>
            <w:vAlign w:val="center"/>
          </w:tcPr>
          <w:p w14:paraId="2377A4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20" w:type="pct"/>
            <w:shd w:val="clear" w:color="auto" w:fill="auto"/>
            <w:vAlign w:val="center"/>
          </w:tcPr>
          <w:p w14:paraId="5DCAC6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28" w:type="pct"/>
            <w:shd w:val="clear" w:color="auto" w:fill="auto"/>
            <w:vAlign w:val="center"/>
          </w:tcPr>
          <w:p w14:paraId="237F08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1094" w:type="pct"/>
            <w:shd w:val="clear" w:color="auto" w:fill="auto"/>
            <w:vAlign w:val="center"/>
          </w:tcPr>
          <w:p w14:paraId="36FEFE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r>
      <w:tr w14:paraId="1558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245E4E9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45BFB9B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综合影响程度分级</w:t>
            </w:r>
          </w:p>
        </w:tc>
        <w:tc>
          <w:tcPr>
            <w:tcW w:w="480" w:type="pct"/>
            <w:shd w:val="clear" w:color="auto" w:fill="auto"/>
            <w:vAlign w:val="center"/>
          </w:tcPr>
          <w:p w14:paraId="236A43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w:t>
            </w:r>
          </w:p>
        </w:tc>
        <w:tc>
          <w:tcPr>
            <w:tcW w:w="369" w:type="pct"/>
            <w:vAlign w:val="center"/>
          </w:tcPr>
          <w:p w14:paraId="440174C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eastAsia="宋体" w:cs="宋体"/>
                <w:spacing w:val="2"/>
                <w:sz w:val="21"/>
                <w:szCs w:val="21"/>
                <w:lang w:val="en-US" w:eastAsia="zh-CN"/>
              </w:rPr>
              <w:t>重度</w:t>
            </w:r>
          </w:p>
        </w:tc>
        <w:tc>
          <w:tcPr>
            <w:tcW w:w="359" w:type="pct"/>
            <w:vAlign w:val="center"/>
          </w:tcPr>
          <w:p w14:paraId="6B972D9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eastAsia="宋体" w:cs="宋体"/>
                <w:spacing w:val="2"/>
                <w:sz w:val="21"/>
                <w:szCs w:val="21"/>
                <w:lang w:val="en-US" w:eastAsia="zh-CN"/>
              </w:rPr>
              <w:t>重度</w:t>
            </w:r>
          </w:p>
        </w:tc>
        <w:tc>
          <w:tcPr>
            <w:tcW w:w="421" w:type="pct"/>
            <w:vAlign w:val="center"/>
          </w:tcPr>
          <w:p w14:paraId="7532C0E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eastAsia="宋体" w:cs="宋体"/>
                <w:spacing w:val="2"/>
                <w:sz w:val="21"/>
                <w:szCs w:val="21"/>
                <w:lang w:val="en-US" w:eastAsia="zh-CN"/>
              </w:rPr>
              <w:t>/</w:t>
            </w:r>
          </w:p>
        </w:tc>
        <w:tc>
          <w:tcPr>
            <w:tcW w:w="335" w:type="pct"/>
            <w:vAlign w:val="center"/>
          </w:tcPr>
          <w:p w14:paraId="6487DDB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eastAsia="宋体" w:cs="宋体"/>
                <w:spacing w:val="2"/>
                <w:sz w:val="21"/>
                <w:szCs w:val="21"/>
                <w:lang w:val="en-US" w:eastAsia="zh-CN"/>
              </w:rPr>
              <w:t>/</w:t>
            </w:r>
          </w:p>
        </w:tc>
        <w:tc>
          <w:tcPr>
            <w:tcW w:w="488" w:type="pct"/>
            <w:shd w:val="clear" w:color="auto" w:fill="auto"/>
            <w:vAlign w:val="center"/>
          </w:tcPr>
          <w:p w14:paraId="6C4490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20" w:type="pct"/>
            <w:shd w:val="clear" w:color="auto" w:fill="auto"/>
            <w:vAlign w:val="center"/>
          </w:tcPr>
          <w:p w14:paraId="302038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28" w:type="pct"/>
            <w:shd w:val="clear" w:color="auto" w:fill="auto"/>
            <w:vAlign w:val="center"/>
          </w:tcPr>
          <w:p w14:paraId="62C59A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1094" w:type="pct"/>
            <w:vAlign w:val="center"/>
          </w:tcPr>
          <w:p w14:paraId="3A80E385">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eastAsia="宋体" w:cs="宋体"/>
                <w:spacing w:val="2"/>
                <w:sz w:val="21"/>
                <w:szCs w:val="21"/>
                <w:lang w:val="en-US" w:eastAsia="zh-CN"/>
              </w:rPr>
              <w:t>/</w:t>
            </w:r>
          </w:p>
        </w:tc>
      </w:tr>
      <w:tr w14:paraId="775D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restart"/>
            <w:vAlign w:val="center"/>
          </w:tcPr>
          <w:p w14:paraId="3188771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矿山</w:t>
            </w:r>
          </w:p>
          <w:p w14:paraId="0820878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地质</w:t>
            </w:r>
          </w:p>
          <w:p w14:paraId="06DCDA1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环境</w:t>
            </w:r>
          </w:p>
          <w:p w14:paraId="53F9B97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预测</w:t>
            </w:r>
          </w:p>
          <w:p w14:paraId="0A1390E1">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评估</w:t>
            </w:r>
          </w:p>
        </w:tc>
        <w:tc>
          <w:tcPr>
            <w:tcW w:w="562" w:type="pct"/>
            <w:gridSpan w:val="2"/>
            <w:vAlign w:val="center"/>
          </w:tcPr>
          <w:p w14:paraId="36DD7A53">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地质灾害影响</w:t>
            </w:r>
          </w:p>
        </w:tc>
        <w:tc>
          <w:tcPr>
            <w:tcW w:w="480" w:type="pct"/>
            <w:shd w:val="clear" w:color="auto" w:fill="auto"/>
            <w:vAlign w:val="center"/>
          </w:tcPr>
          <w:p w14:paraId="4F169F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69" w:type="pct"/>
            <w:shd w:val="clear" w:color="auto" w:fill="auto"/>
            <w:vAlign w:val="center"/>
          </w:tcPr>
          <w:p w14:paraId="124F87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59" w:type="pct"/>
            <w:shd w:val="clear" w:color="auto" w:fill="auto"/>
            <w:vAlign w:val="center"/>
          </w:tcPr>
          <w:p w14:paraId="65662D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421" w:type="pct"/>
            <w:shd w:val="clear" w:color="auto" w:fill="auto"/>
            <w:vAlign w:val="center"/>
          </w:tcPr>
          <w:p w14:paraId="38F045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中度</w:t>
            </w:r>
          </w:p>
        </w:tc>
        <w:tc>
          <w:tcPr>
            <w:tcW w:w="335" w:type="pct"/>
            <w:shd w:val="clear" w:color="auto" w:fill="auto"/>
            <w:vAlign w:val="center"/>
          </w:tcPr>
          <w:p w14:paraId="5A886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488" w:type="pct"/>
            <w:shd w:val="clear" w:color="auto" w:fill="auto"/>
            <w:vAlign w:val="center"/>
          </w:tcPr>
          <w:p w14:paraId="3DAF9A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320" w:type="pct"/>
            <w:shd w:val="clear" w:color="auto" w:fill="auto"/>
            <w:vAlign w:val="center"/>
          </w:tcPr>
          <w:p w14:paraId="5AD16E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328" w:type="pct"/>
            <w:shd w:val="clear" w:color="auto" w:fill="auto"/>
            <w:vAlign w:val="center"/>
          </w:tcPr>
          <w:p w14:paraId="426A0B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bidi="ar-SA"/>
              </w:rPr>
              <w:t>轻度</w:t>
            </w:r>
          </w:p>
        </w:tc>
        <w:tc>
          <w:tcPr>
            <w:tcW w:w="1094" w:type="pct"/>
            <w:shd w:val="clear" w:color="auto" w:fill="auto"/>
            <w:vAlign w:val="center"/>
          </w:tcPr>
          <w:p w14:paraId="26D8F1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r>
      <w:tr w14:paraId="0CF2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0771BA99">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23E68B4A">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含水层影响</w:t>
            </w:r>
          </w:p>
        </w:tc>
        <w:tc>
          <w:tcPr>
            <w:tcW w:w="480" w:type="pct"/>
            <w:shd w:val="clear" w:color="auto" w:fill="auto"/>
            <w:vAlign w:val="center"/>
          </w:tcPr>
          <w:p w14:paraId="65BD4B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369" w:type="pct"/>
            <w:shd w:val="clear" w:color="auto" w:fill="auto"/>
            <w:vAlign w:val="center"/>
          </w:tcPr>
          <w:p w14:paraId="6647F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359" w:type="pct"/>
            <w:shd w:val="clear" w:color="auto" w:fill="auto"/>
            <w:vAlign w:val="center"/>
          </w:tcPr>
          <w:p w14:paraId="4D286F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421" w:type="pct"/>
            <w:shd w:val="clear" w:color="auto" w:fill="auto"/>
            <w:vAlign w:val="center"/>
          </w:tcPr>
          <w:p w14:paraId="233F1C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335" w:type="pct"/>
            <w:shd w:val="clear" w:color="auto" w:fill="auto"/>
            <w:vAlign w:val="center"/>
          </w:tcPr>
          <w:p w14:paraId="600275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488" w:type="pct"/>
            <w:shd w:val="clear" w:color="auto" w:fill="auto"/>
            <w:vAlign w:val="center"/>
          </w:tcPr>
          <w:p w14:paraId="57B56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320" w:type="pct"/>
            <w:shd w:val="clear" w:color="auto" w:fill="auto"/>
            <w:vAlign w:val="center"/>
          </w:tcPr>
          <w:p w14:paraId="34A188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328" w:type="pct"/>
            <w:shd w:val="clear" w:color="auto" w:fill="auto"/>
            <w:vAlign w:val="center"/>
          </w:tcPr>
          <w:p w14:paraId="62DD53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c>
          <w:tcPr>
            <w:tcW w:w="1094" w:type="pct"/>
            <w:shd w:val="clear" w:color="auto" w:fill="auto"/>
            <w:vAlign w:val="center"/>
          </w:tcPr>
          <w:p w14:paraId="3B6C82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r>
      <w:tr w14:paraId="5916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60553FD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3D823566">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地形地貌影响</w:t>
            </w:r>
          </w:p>
        </w:tc>
        <w:tc>
          <w:tcPr>
            <w:tcW w:w="480" w:type="pct"/>
            <w:shd w:val="clear" w:color="auto" w:fill="auto"/>
            <w:vAlign w:val="center"/>
          </w:tcPr>
          <w:p w14:paraId="7DD54F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369" w:type="pct"/>
            <w:shd w:val="clear" w:color="auto" w:fill="auto"/>
            <w:vAlign w:val="center"/>
          </w:tcPr>
          <w:p w14:paraId="72D7DF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359" w:type="pct"/>
            <w:shd w:val="clear" w:color="auto" w:fill="auto"/>
            <w:vAlign w:val="center"/>
          </w:tcPr>
          <w:p w14:paraId="3669B8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421" w:type="pct"/>
            <w:shd w:val="clear" w:color="auto" w:fill="auto"/>
            <w:vAlign w:val="center"/>
          </w:tcPr>
          <w:p w14:paraId="2D2F10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35" w:type="pct"/>
            <w:shd w:val="clear" w:color="auto" w:fill="auto"/>
            <w:vAlign w:val="center"/>
          </w:tcPr>
          <w:p w14:paraId="5A2F11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488" w:type="pct"/>
            <w:shd w:val="clear" w:color="auto" w:fill="auto"/>
            <w:vAlign w:val="center"/>
          </w:tcPr>
          <w:p w14:paraId="4EA63C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20" w:type="pct"/>
            <w:shd w:val="clear" w:color="auto" w:fill="auto"/>
            <w:vAlign w:val="center"/>
          </w:tcPr>
          <w:p w14:paraId="6A9A1C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28" w:type="pct"/>
            <w:shd w:val="clear" w:color="auto" w:fill="auto"/>
            <w:vAlign w:val="center"/>
          </w:tcPr>
          <w:p w14:paraId="70F979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1094" w:type="pct"/>
            <w:shd w:val="clear" w:color="auto" w:fill="auto"/>
            <w:vAlign w:val="center"/>
          </w:tcPr>
          <w:p w14:paraId="61EF26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轻度</w:t>
            </w:r>
          </w:p>
        </w:tc>
      </w:tr>
      <w:tr w14:paraId="0255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2A0CF47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438227DE">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土地资源影响</w:t>
            </w:r>
          </w:p>
        </w:tc>
        <w:tc>
          <w:tcPr>
            <w:tcW w:w="480" w:type="pct"/>
            <w:shd w:val="clear" w:color="auto" w:fill="auto"/>
            <w:vAlign w:val="center"/>
          </w:tcPr>
          <w:p w14:paraId="230375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369" w:type="pct"/>
            <w:shd w:val="clear" w:color="auto" w:fill="auto"/>
            <w:vAlign w:val="center"/>
          </w:tcPr>
          <w:p w14:paraId="1A470D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重度</w:t>
            </w:r>
          </w:p>
        </w:tc>
        <w:tc>
          <w:tcPr>
            <w:tcW w:w="359" w:type="pct"/>
            <w:shd w:val="clear" w:color="auto" w:fill="auto"/>
            <w:vAlign w:val="center"/>
          </w:tcPr>
          <w:p w14:paraId="06F600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421" w:type="pct"/>
            <w:shd w:val="clear" w:color="auto" w:fill="auto"/>
            <w:vAlign w:val="center"/>
          </w:tcPr>
          <w:p w14:paraId="1FB975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35" w:type="pct"/>
            <w:shd w:val="clear" w:color="auto" w:fill="auto"/>
            <w:vAlign w:val="center"/>
          </w:tcPr>
          <w:p w14:paraId="359349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488" w:type="pct"/>
            <w:shd w:val="clear" w:color="auto" w:fill="auto"/>
            <w:vAlign w:val="center"/>
          </w:tcPr>
          <w:p w14:paraId="6CBAC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20" w:type="pct"/>
            <w:shd w:val="clear" w:color="auto" w:fill="auto"/>
            <w:vAlign w:val="center"/>
          </w:tcPr>
          <w:p w14:paraId="74E64D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28" w:type="pct"/>
            <w:shd w:val="clear" w:color="auto" w:fill="auto"/>
            <w:vAlign w:val="center"/>
          </w:tcPr>
          <w:p w14:paraId="24E43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1094" w:type="pct"/>
            <w:shd w:val="clear" w:color="auto" w:fill="auto"/>
            <w:vAlign w:val="center"/>
          </w:tcPr>
          <w:p w14:paraId="72CBEA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w:t>
            </w:r>
          </w:p>
        </w:tc>
      </w:tr>
      <w:tr w14:paraId="77B0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52C3BC1B">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6CB1F69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综合影响程度分级</w:t>
            </w:r>
          </w:p>
        </w:tc>
        <w:tc>
          <w:tcPr>
            <w:tcW w:w="480" w:type="pct"/>
            <w:vAlign w:val="center"/>
          </w:tcPr>
          <w:p w14:paraId="5643981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cs="宋体"/>
                <w:spacing w:val="2"/>
                <w:sz w:val="21"/>
                <w:szCs w:val="21"/>
                <w:lang w:val="en-US" w:eastAsia="zh-CN"/>
              </w:rPr>
              <w:t>重度</w:t>
            </w:r>
          </w:p>
        </w:tc>
        <w:tc>
          <w:tcPr>
            <w:tcW w:w="369" w:type="pct"/>
            <w:vAlign w:val="center"/>
          </w:tcPr>
          <w:p w14:paraId="5F253146">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cs="宋体"/>
                <w:spacing w:val="2"/>
                <w:sz w:val="21"/>
                <w:szCs w:val="21"/>
                <w:lang w:val="en-US" w:eastAsia="zh-CN"/>
              </w:rPr>
              <w:t>重度</w:t>
            </w:r>
          </w:p>
        </w:tc>
        <w:tc>
          <w:tcPr>
            <w:tcW w:w="359" w:type="pct"/>
            <w:vAlign w:val="center"/>
          </w:tcPr>
          <w:p w14:paraId="2AA6877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cs="宋体"/>
                <w:spacing w:val="2"/>
                <w:sz w:val="21"/>
                <w:szCs w:val="21"/>
                <w:lang w:val="en-US" w:eastAsia="zh-CN"/>
              </w:rPr>
              <w:t>重度</w:t>
            </w:r>
          </w:p>
        </w:tc>
        <w:tc>
          <w:tcPr>
            <w:tcW w:w="421" w:type="pct"/>
            <w:shd w:val="clear" w:color="auto" w:fill="auto"/>
            <w:vAlign w:val="center"/>
          </w:tcPr>
          <w:p w14:paraId="36A350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35" w:type="pct"/>
            <w:shd w:val="clear" w:color="auto" w:fill="auto"/>
            <w:vAlign w:val="center"/>
          </w:tcPr>
          <w:p w14:paraId="05DD82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488" w:type="pct"/>
            <w:shd w:val="clear" w:color="auto" w:fill="auto"/>
            <w:vAlign w:val="center"/>
          </w:tcPr>
          <w:p w14:paraId="0A2B0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20" w:type="pct"/>
            <w:shd w:val="clear" w:color="auto" w:fill="auto"/>
            <w:vAlign w:val="center"/>
          </w:tcPr>
          <w:p w14:paraId="10F76F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328" w:type="pct"/>
            <w:shd w:val="clear" w:color="auto" w:fill="auto"/>
            <w:vAlign w:val="center"/>
          </w:tcPr>
          <w:p w14:paraId="473D2B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spacing w:val="2"/>
                <w:sz w:val="21"/>
                <w:szCs w:val="21"/>
                <w:lang w:val="en-US" w:eastAsia="zh-CN" w:bidi="ar-SA"/>
              </w:rPr>
            </w:pPr>
            <w:r>
              <w:rPr>
                <w:rFonts w:hint="eastAsia" w:ascii="宋体" w:hAnsi="宋体" w:cs="宋体"/>
                <w:spacing w:val="2"/>
                <w:sz w:val="21"/>
                <w:szCs w:val="21"/>
                <w:lang w:val="en-US" w:eastAsia="zh-CN"/>
              </w:rPr>
              <w:t>中度</w:t>
            </w:r>
          </w:p>
        </w:tc>
        <w:tc>
          <w:tcPr>
            <w:tcW w:w="1094" w:type="pct"/>
            <w:vAlign w:val="center"/>
          </w:tcPr>
          <w:p w14:paraId="2014CDF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ascii="宋体" w:hAnsi="宋体" w:cs="宋体"/>
                <w:spacing w:val="2"/>
                <w:sz w:val="21"/>
                <w:szCs w:val="21"/>
                <w:lang w:val="en-US" w:eastAsia="zh-CN"/>
              </w:rPr>
              <w:t>轻度</w:t>
            </w:r>
          </w:p>
        </w:tc>
      </w:tr>
      <w:tr w14:paraId="2D19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restart"/>
            <w:vAlign w:val="center"/>
          </w:tcPr>
          <w:p w14:paraId="63AA4AE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防治</w:t>
            </w:r>
          </w:p>
          <w:p w14:paraId="779550E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工程</w:t>
            </w:r>
          </w:p>
        </w:tc>
        <w:tc>
          <w:tcPr>
            <w:tcW w:w="562" w:type="pct"/>
            <w:gridSpan w:val="2"/>
            <w:vAlign w:val="center"/>
          </w:tcPr>
          <w:p w14:paraId="4F7B518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措施</w:t>
            </w:r>
          </w:p>
        </w:tc>
        <w:tc>
          <w:tcPr>
            <w:tcW w:w="1208" w:type="pct"/>
            <w:gridSpan w:val="3"/>
            <w:vAlign w:val="center"/>
          </w:tcPr>
          <w:p w14:paraId="2D82E55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工程措施、生物措施、监测措施</w:t>
            </w:r>
          </w:p>
        </w:tc>
        <w:tc>
          <w:tcPr>
            <w:tcW w:w="1892" w:type="pct"/>
            <w:gridSpan w:val="5"/>
            <w:vAlign w:val="center"/>
          </w:tcPr>
          <w:p w14:paraId="6788D428">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工程措施、生物措施、监测措施</w:t>
            </w:r>
          </w:p>
        </w:tc>
        <w:tc>
          <w:tcPr>
            <w:tcW w:w="1094" w:type="pct"/>
            <w:vAlign w:val="center"/>
          </w:tcPr>
          <w:p w14:paraId="7E82699C">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监测措施</w:t>
            </w:r>
          </w:p>
        </w:tc>
      </w:tr>
      <w:tr w14:paraId="17E9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1B556C27">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1288CAA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手段</w:t>
            </w:r>
          </w:p>
        </w:tc>
        <w:tc>
          <w:tcPr>
            <w:tcW w:w="1208" w:type="pct"/>
            <w:gridSpan w:val="3"/>
            <w:vAlign w:val="center"/>
          </w:tcPr>
          <w:p w14:paraId="5A975820">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截水沟、</w:t>
            </w:r>
            <w:r>
              <w:rPr>
                <w:rFonts w:hint="eastAsia" w:cs="Times New Roman"/>
                <w:spacing w:val="0"/>
                <w:w w:val="100"/>
                <w:kern w:val="0"/>
                <w:sz w:val="21"/>
                <w:szCs w:val="21"/>
                <w:lang w:val="en-US" w:eastAsia="zh-CN"/>
              </w:rPr>
              <w:t>沉砂池、</w:t>
            </w:r>
            <w:r>
              <w:rPr>
                <w:rFonts w:hint="default" w:ascii="Times New Roman" w:hAnsi="Times New Roman" w:eastAsia="宋体" w:cs="Times New Roman"/>
                <w:spacing w:val="0"/>
                <w:w w:val="100"/>
                <w:kern w:val="0"/>
                <w:sz w:val="21"/>
                <w:szCs w:val="21"/>
              </w:rPr>
              <w:t>防护栏、警示牌、植树、植草、监测</w:t>
            </w:r>
          </w:p>
        </w:tc>
        <w:tc>
          <w:tcPr>
            <w:tcW w:w="1892" w:type="pct"/>
            <w:gridSpan w:val="5"/>
            <w:vAlign w:val="center"/>
          </w:tcPr>
          <w:p w14:paraId="33C90ABD">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eastAsia" w:cs="Times New Roman"/>
                <w:spacing w:val="0"/>
                <w:w w:val="100"/>
                <w:kern w:val="0"/>
                <w:sz w:val="21"/>
                <w:szCs w:val="21"/>
                <w:lang w:val="en-US" w:eastAsia="zh-CN"/>
              </w:rPr>
              <w:t>清除、覆土、</w:t>
            </w:r>
            <w:r>
              <w:rPr>
                <w:rFonts w:hint="default" w:ascii="Times New Roman" w:hAnsi="Times New Roman" w:eastAsia="宋体" w:cs="Times New Roman"/>
                <w:spacing w:val="0"/>
                <w:w w:val="100"/>
                <w:kern w:val="0"/>
                <w:sz w:val="21"/>
                <w:szCs w:val="21"/>
              </w:rPr>
              <w:t>植树、植草、监测</w:t>
            </w:r>
          </w:p>
        </w:tc>
        <w:tc>
          <w:tcPr>
            <w:tcW w:w="1094" w:type="pct"/>
            <w:vAlign w:val="center"/>
          </w:tcPr>
          <w:p w14:paraId="5DF63222">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监测</w:t>
            </w:r>
          </w:p>
        </w:tc>
      </w:tr>
      <w:tr w14:paraId="5CFE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41" w:type="pct"/>
            <w:vMerge w:val="continue"/>
            <w:vAlign w:val="center"/>
          </w:tcPr>
          <w:p w14:paraId="7A3CA1D4">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p>
        </w:tc>
        <w:tc>
          <w:tcPr>
            <w:tcW w:w="562" w:type="pct"/>
            <w:gridSpan w:val="2"/>
            <w:vAlign w:val="center"/>
          </w:tcPr>
          <w:p w14:paraId="219EF6BE">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rPr>
            </w:pPr>
            <w:r>
              <w:rPr>
                <w:rFonts w:hint="default" w:ascii="Times New Roman" w:hAnsi="Times New Roman" w:eastAsia="宋体" w:cs="Times New Roman"/>
                <w:spacing w:val="0"/>
                <w:w w:val="100"/>
                <w:kern w:val="0"/>
                <w:sz w:val="21"/>
                <w:szCs w:val="21"/>
              </w:rPr>
              <w:t>进度安排</w:t>
            </w:r>
          </w:p>
        </w:tc>
        <w:tc>
          <w:tcPr>
            <w:tcW w:w="4196" w:type="pct"/>
            <w:gridSpan w:val="9"/>
            <w:vAlign w:val="center"/>
          </w:tcPr>
          <w:p w14:paraId="2AB4869F">
            <w:pPr>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0" w:firstLineChars="0"/>
              <w:jc w:val="center"/>
              <w:textAlignment w:val="auto"/>
              <w:rPr>
                <w:rFonts w:hint="default" w:ascii="Times New Roman" w:hAnsi="Times New Roman" w:eastAsia="宋体" w:cs="Times New Roman"/>
                <w:spacing w:val="0"/>
                <w:w w:val="100"/>
                <w:kern w:val="0"/>
                <w:sz w:val="21"/>
                <w:szCs w:val="21"/>
                <w:lang w:val="en-US" w:eastAsia="zh-CN"/>
              </w:rPr>
            </w:pPr>
            <w:r>
              <w:rPr>
                <w:rFonts w:hint="eastAsia" w:ascii="Times New Roman" w:hAnsi="Times New Roman" w:eastAsia="宋体" w:cs="Times New Roman"/>
                <w:spacing w:val="0"/>
                <w:w w:val="100"/>
                <w:kern w:val="0"/>
                <w:sz w:val="21"/>
                <w:szCs w:val="21"/>
              </w:rPr>
              <w:t>闭坑后</w:t>
            </w:r>
            <w:r>
              <w:rPr>
                <w:rFonts w:hint="default" w:ascii="Times New Roman" w:hAnsi="Times New Roman" w:eastAsia="宋体" w:cs="Times New Roman"/>
                <w:spacing w:val="0"/>
                <w:w w:val="100"/>
                <w:kern w:val="0"/>
                <w:sz w:val="21"/>
                <w:szCs w:val="21"/>
              </w:rPr>
              <w:t>对矿坑采场进行全面整治复垦；复垦后用</w:t>
            </w:r>
            <w:r>
              <w:rPr>
                <w:rFonts w:hint="eastAsia" w:cs="Times New Roman"/>
                <w:spacing w:val="0"/>
                <w:w w:val="100"/>
                <w:kern w:val="0"/>
                <w:sz w:val="21"/>
                <w:szCs w:val="21"/>
                <w:lang w:val="en-US" w:eastAsia="zh-CN"/>
              </w:rPr>
              <w:t>3</w:t>
            </w:r>
            <w:r>
              <w:rPr>
                <w:rFonts w:hint="default" w:ascii="Times New Roman" w:hAnsi="Times New Roman" w:eastAsia="宋体" w:cs="Times New Roman"/>
                <w:spacing w:val="0"/>
                <w:w w:val="100"/>
                <w:kern w:val="0"/>
                <w:sz w:val="21"/>
                <w:szCs w:val="21"/>
              </w:rPr>
              <w:t>年进行</w:t>
            </w:r>
            <w:r>
              <w:rPr>
                <w:rFonts w:hint="eastAsia" w:cs="Times New Roman"/>
                <w:spacing w:val="0"/>
                <w:w w:val="100"/>
                <w:kern w:val="0"/>
                <w:sz w:val="21"/>
                <w:szCs w:val="21"/>
                <w:lang w:val="en-US" w:eastAsia="zh-CN"/>
              </w:rPr>
              <w:t>监测管护</w:t>
            </w:r>
          </w:p>
        </w:tc>
      </w:tr>
    </w:tbl>
    <w:p w14:paraId="635E64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sz w:val="28"/>
          <w:szCs w:val="28"/>
        </w:rPr>
        <w:sectPr>
          <w:pgSz w:w="16838" w:h="11906" w:orient="landscape"/>
          <w:pgMar w:top="1701" w:right="1701" w:bottom="1417" w:left="1417" w:header="1134" w:footer="992" w:gutter="0"/>
          <w:pgBorders>
            <w:top w:val="none" w:sz="0" w:space="0"/>
            <w:left w:val="none" w:sz="0" w:space="0"/>
            <w:bottom w:val="none" w:sz="0" w:space="0"/>
            <w:right w:val="none" w:sz="0" w:space="0"/>
          </w:pgBorders>
          <w:pgNumType w:fmt="decimal"/>
          <w:cols w:space="0" w:num="1"/>
          <w:rtlGutter w:val="0"/>
          <w:docGrid w:type="lines" w:linePitch="404" w:charSpace="0"/>
        </w:sectPr>
      </w:pPr>
    </w:p>
    <w:p w14:paraId="767217A2">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（二）修复时序安排</w:t>
      </w:r>
    </w:p>
    <w:p w14:paraId="17D7A95A">
      <w:pPr>
        <w:adjustRightIn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rPr>
        <w:t>本方案</w:t>
      </w:r>
      <w:r>
        <w:rPr>
          <w:rFonts w:hint="eastAsia" w:ascii="宋体" w:hAnsi="宋体" w:eastAsia="宋体"/>
          <w:bCs/>
          <w:sz w:val="28"/>
          <w:szCs w:val="28"/>
          <w:lang w:val="en-US" w:eastAsia="zh-CN"/>
        </w:rPr>
        <w:t>服务年限为10</w:t>
      </w:r>
      <w:r>
        <w:rPr>
          <w:rFonts w:hint="eastAsia" w:ascii="宋体" w:hAnsi="宋体" w:eastAsia="宋体"/>
          <w:bCs/>
          <w:sz w:val="28"/>
          <w:szCs w:val="28"/>
        </w:rPr>
        <w:t>年，其中基建期</w:t>
      </w:r>
      <w:r>
        <w:rPr>
          <w:rFonts w:hint="eastAsia" w:ascii="宋体" w:hAnsi="宋体" w:eastAsia="宋体"/>
          <w:bCs/>
          <w:sz w:val="28"/>
          <w:szCs w:val="28"/>
          <w:lang w:val="en-US" w:eastAsia="zh-CN"/>
        </w:rPr>
        <w:t>0.5</w:t>
      </w:r>
      <w:r>
        <w:rPr>
          <w:rFonts w:hint="eastAsia" w:ascii="宋体" w:hAnsi="宋体" w:eastAsia="宋体"/>
          <w:bCs/>
          <w:sz w:val="28"/>
          <w:szCs w:val="28"/>
        </w:rPr>
        <w:t>年，</w:t>
      </w:r>
      <w:r>
        <w:rPr>
          <w:rFonts w:hint="eastAsia" w:ascii="宋体" w:hAnsi="宋体" w:eastAsia="宋体"/>
          <w:bCs/>
          <w:sz w:val="28"/>
          <w:szCs w:val="28"/>
          <w:lang w:val="en-US" w:eastAsia="zh-CN"/>
        </w:rPr>
        <w:t>生产期5.5年，</w:t>
      </w:r>
      <w:r>
        <w:rPr>
          <w:rFonts w:hint="eastAsia" w:ascii="宋体" w:hAnsi="宋体" w:eastAsia="宋体"/>
          <w:bCs/>
          <w:sz w:val="28"/>
          <w:szCs w:val="28"/>
        </w:rPr>
        <w:t>闭坑治理1</w:t>
      </w:r>
      <w:r>
        <w:rPr>
          <w:rFonts w:hint="eastAsia" w:ascii="宋体" w:hAnsi="宋体" w:eastAsia="宋体"/>
          <w:bCs/>
          <w:sz w:val="28"/>
          <w:szCs w:val="28"/>
          <w:lang w:val="en-US" w:eastAsia="zh-CN"/>
        </w:rPr>
        <w:t>.0</w:t>
      </w:r>
      <w:r>
        <w:rPr>
          <w:rFonts w:hint="eastAsia" w:ascii="宋体" w:hAnsi="宋体" w:eastAsia="宋体"/>
          <w:bCs/>
          <w:sz w:val="28"/>
          <w:szCs w:val="28"/>
        </w:rPr>
        <w:t>年</w:t>
      </w:r>
      <w:r>
        <w:rPr>
          <w:rFonts w:hint="eastAsia" w:ascii="宋体" w:hAnsi="宋体" w:eastAsia="宋体"/>
          <w:bCs/>
          <w:sz w:val="28"/>
          <w:szCs w:val="28"/>
          <w:lang w:eastAsia="zh-CN"/>
        </w:rPr>
        <w:t>，</w:t>
      </w:r>
      <w:r>
        <w:rPr>
          <w:rFonts w:hint="eastAsia" w:ascii="宋体" w:hAnsi="宋体" w:eastAsia="宋体"/>
          <w:bCs/>
          <w:sz w:val="28"/>
          <w:szCs w:val="28"/>
        </w:rPr>
        <w:t>后期管护期</w:t>
      </w:r>
      <w:r>
        <w:rPr>
          <w:rFonts w:hint="eastAsia" w:ascii="宋体" w:hAnsi="宋体" w:eastAsia="宋体"/>
          <w:bCs/>
          <w:sz w:val="28"/>
          <w:szCs w:val="28"/>
          <w:lang w:val="en-US" w:eastAsia="zh-CN"/>
        </w:rPr>
        <w:t>3年</w:t>
      </w:r>
      <w:r>
        <w:rPr>
          <w:rFonts w:hint="eastAsia" w:ascii="宋体" w:hAnsi="宋体" w:eastAsia="宋体"/>
          <w:bCs/>
          <w:sz w:val="28"/>
          <w:szCs w:val="28"/>
        </w:rPr>
        <w:t>。针对重点防治区和次重点防治区，</w:t>
      </w:r>
      <w:r>
        <w:rPr>
          <w:rFonts w:hint="eastAsia" w:ascii="宋体" w:hAnsi="宋体" w:eastAsia="宋体"/>
          <w:bCs/>
          <w:sz w:val="28"/>
          <w:szCs w:val="28"/>
          <w:lang w:val="en-US" w:eastAsia="zh-CN"/>
        </w:rPr>
        <w:t>逐步</w:t>
      </w:r>
      <w:r>
        <w:rPr>
          <w:rFonts w:hint="eastAsia" w:ascii="宋体" w:hAnsi="宋体" w:eastAsia="宋体"/>
          <w:bCs/>
          <w:sz w:val="28"/>
          <w:szCs w:val="28"/>
        </w:rPr>
        <w:t>开展生态修复工作。各分区单元的具体复垦修复方向、面积及时序安排详见下表</w:t>
      </w:r>
      <w:r>
        <w:rPr>
          <w:rFonts w:hint="eastAsia" w:ascii="宋体" w:hAnsi="宋体" w:eastAsia="宋体"/>
          <w:bCs/>
          <w:sz w:val="28"/>
          <w:szCs w:val="28"/>
          <w:lang w:val="en-US" w:eastAsia="zh-CN"/>
        </w:rPr>
        <w:t>3-18</w:t>
      </w:r>
      <w:r>
        <w:rPr>
          <w:rFonts w:hint="eastAsia" w:ascii="宋体" w:hAnsi="宋体" w:eastAsia="宋体"/>
          <w:bCs/>
          <w:sz w:val="28"/>
          <w:szCs w:val="28"/>
        </w:rPr>
        <w:t>：</w:t>
      </w:r>
    </w:p>
    <w:p w14:paraId="20F2AA23">
      <w:pPr>
        <w:adjustRightInd w:val="0"/>
        <w:spacing w:line="360" w:lineRule="auto"/>
        <w:ind w:firstLine="480" w:firstLineChars="200"/>
        <w:jc w:val="center"/>
        <w:rPr>
          <w:rFonts w:hint="eastAsia" w:ascii="黑体" w:hAnsi="黑体" w:eastAsia="黑体"/>
          <w:bCs/>
          <w:sz w:val="24"/>
          <w:szCs w:val="24"/>
        </w:rPr>
      </w:pPr>
      <w:r>
        <w:rPr>
          <w:rFonts w:hint="eastAsia" w:ascii="黑体" w:hAnsi="黑体" w:eastAsia="黑体"/>
          <w:bCs/>
          <w:sz w:val="24"/>
          <w:szCs w:val="24"/>
        </w:rPr>
        <w:t>表3-</w:t>
      </w:r>
      <w:r>
        <w:rPr>
          <w:rFonts w:hint="eastAsia" w:ascii="黑体" w:hAnsi="黑体" w:eastAsia="黑体"/>
          <w:bCs/>
          <w:sz w:val="24"/>
          <w:szCs w:val="24"/>
          <w:lang w:val="en-US" w:eastAsia="zh-CN"/>
        </w:rPr>
        <w:t xml:space="preserve">18  </w:t>
      </w:r>
      <w:r>
        <w:rPr>
          <w:rFonts w:hint="eastAsia" w:ascii="黑体" w:hAnsi="黑体" w:eastAsia="黑体"/>
          <w:bCs/>
          <w:sz w:val="24"/>
          <w:szCs w:val="24"/>
        </w:rPr>
        <w:t xml:space="preserve"> 复垦生态修复分区及时序安排表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81"/>
        <w:gridCol w:w="945"/>
        <w:gridCol w:w="1980"/>
        <w:gridCol w:w="1868"/>
        <w:gridCol w:w="1536"/>
        <w:gridCol w:w="1494"/>
      </w:tblGrid>
      <w:tr w14:paraId="5B9E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106" w:type="dxa"/>
            <w:gridSpan w:val="3"/>
            <w:tcBorders>
              <w:tl2br w:val="nil"/>
              <w:tr2bl w:val="nil"/>
            </w:tcBorders>
            <w:shd w:val="clear" w:color="auto" w:fill="auto"/>
            <w:vAlign w:val="center"/>
          </w:tcPr>
          <w:p w14:paraId="4802D64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rPr>
              <w:t>分区单元</w:t>
            </w:r>
          </w:p>
        </w:tc>
        <w:tc>
          <w:tcPr>
            <w:tcW w:w="1868" w:type="dxa"/>
            <w:tcBorders>
              <w:tl2br w:val="nil"/>
              <w:tr2bl w:val="nil"/>
            </w:tcBorders>
            <w:shd w:val="clear" w:color="auto" w:fill="auto"/>
            <w:vAlign w:val="center"/>
          </w:tcPr>
          <w:p w14:paraId="1B075C5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rPr>
              <w:t>复垦修复方向</w:t>
            </w:r>
          </w:p>
        </w:tc>
        <w:tc>
          <w:tcPr>
            <w:tcW w:w="1536" w:type="dxa"/>
            <w:tcBorders>
              <w:tl2br w:val="nil"/>
              <w:tr2bl w:val="nil"/>
            </w:tcBorders>
            <w:shd w:val="clear" w:color="auto" w:fill="auto"/>
            <w:vAlign w:val="center"/>
          </w:tcPr>
          <w:p w14:paraId="046DDD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rPr>
              <w:t>复垦面积（hm</w:t>
            </w:r>
            <w:r>
              <w:rPr>
                <w:rFonts w:hint="eastAsia" w:ascii="宋体" w:hAnsi="宋体" w:eastAsia="宋体"/>
                <w:bCs/>
                <w:sz w:val="21"/>
                <w:szCs w:val="21"/>
                <w:vertAlign w:val="superscript"/>
              </w:rPr>
              <w:t>2</w:t>
            </w:r>
            <w:r>
              <w:rPr>
                <w:rFonts w:hint="eastAsia" w:ascii="宋体" w:hAnsi="宋体" w:eastAsia="宋体"/>
                <w:bCs/>
                <w:sz w:val="21"/>
                <w:szCs w:val="21"/>
              </w:rPr>
              <w:t>）</w:t>
            </w:r>
          </w:p>
        </w:tc>
        <w:tc>
          <w:tcPr>
            <w:tcW w:w="1494" w:type="dxa"/>
            <w:tcBorders>
              <w:tl2br w:val="nil"/>
              <w:tr2bl w:val="nil"/>
            </w:tcBorders>
            <w:shd w:val="clear" w:color="auto" w:fill="auto"/>
            <w:vAlign w:val="center"/>
          </w:tcPr>
          <w:p w14:paraId="05DF1E6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rPr>
              <w:t>规划修复时间</w:t>
            </w:r>
          </w:p>
        </w:tc>
      </w:tr>
      <w:tr w14:paraId="258D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81" w:type="dxa"/>
            <w:vMerge w:val="restart"/>
            <w:tcBorders>
              <w:tl2br w:val="nil"/>
              <w:tr2bl w:val="nil"/>
            </w:tcBorders>
            <w:shd w:val="clear" w:color="auto" w:fill="auto"/>
            <w:vAlign w:val="center"/>
          </w:tcPr>
          <w:p w14:paraId="5ED845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kern w:val="0"/>
                <w:sz w:val="21"/>
                <w:szCs w:val="21"/>
                <w:highlight w:val="none"/>
              </w:rPr>
              <w:t>重点防治区A</w:t>
            </w:r>
          </w:p>
        </w:tc>
        <w:tc>
          <w:tcPr>
            <w:tcW w:w="945" w:type="dxa"/>
            <w:tcBorders>
              <w:tl2br w:val="nil"/>
              <w:tr2bl w:val="nil"/>
            </w:tcBorders>
            <w:shd w:val="clear" w:color="auto" w:fill="auto"/>
            <w:vAlign w:val="center"/>
          </w:tcPr>
          <w:p w14:paraId="45CE2F4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A</w:t>
            </w:r>
            <w:r>
              <w:rPr>
                <w:rFonts w:hint="default" w:ascii="Times New Roman" w:hAnsi="Times New Roman" w:eastAsia="宋体" w:cs="Times New Roman"/>
                <w:color w:val="000000"/>
                <w:spacing w:val="0"/>
                <w:w w:val="100"/>
                <w:sz w:val="21"/>
                <w:szCs w:val="21"/>
                <w:highlight w:val="none"/>
                <w:vertAlign w:val="subscript"/>
                <w:lang w:val="en-US" w:eastAsia="zh-CN"/>
              </w:rPr>
              <w:t>1</w:t>
            </w:r>
          </w:p>
        </w:tc>
        <w:tc>
          <w:tcPr>
            <w:tcW w:w="1980" w:type="dxa"/>
            <w:tcBorders>
              <w:tl2br w:val="nil"/>
              <w:tr2bl w:val="nil"/>
            </w:tcBorders>
            <w:shd w:val="clear" w:color="auto" w:fill="auto"/>
            <w:vAlign w:val="center"/>
          </w:tcPr>
          <w:p w14:paraId="2769520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kern w:val="0"/>
                <w:sz w:val="21"/>
                <w:szCs w:val="21"/>
                <w:highlight w:val="none"/>
              </w:rPr>
              <w:t>露天采场</w:t>
            </w:r>
          </w:p>
        </w:tc>
        <w:tc>
          <w:tcPr>
            <w:tcW w:w="1868" w:type="dxa"/>
            <w:tcBorders>
              <w:tl2br w:val="nil"/>
              <w:tr2bl w:val="nil"/>
            </w:tcBorders>
            <w:shd w:val="clear" w:color="auto" w:fill="auto"/>
            <w:vAlign w:val="center"/>
          </w:tcPr>
          <w:p w14:paraId="29DCF6A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宋体" w:hAnsi="宋体" w:eastAsia="宋体"/>
                <w:bCs/>
                <w:sz w:val="21"/>
                <w:szCs w:val="21"/>
                <w:lang w:val="en-US" w:eastAsia="zh-CN"/>
              </w:rPr>
            </w:pPr>
            <w:r>
              <w:rPr>
                <w:rFonts w:hint="eastAsia" w:ascii="宋体" w:hAnsi="宋体" w:eastAsia="宋体"/>
                <w:bCs/>
                <w:sz w:val="21"/>
                <w:szCs w:val="21"/>
                <w:lang w:val="en-US" w:eastAsia="zh-CN"/>
              </w:rPr>
              <w:t>坑塘水面、乔木林地</w:t>
            </w:r>
          </w:p>
        </w:tc>
        <w:tc>
          <w:tcPr>
            <w:tcW w:w="1536" w:type="dxa"/>
            <w:tcBorders>
              <w:tl2br w:val="nil"/>
              <w:tr2bl w:val="nil"/>
            </w:tcBorders>
            <w:shd w:val="clear" w:color="auto" w:fill="auto"/>
            <w:vAlign w:val="center"/>
          </w:tcPr>
          <w:p w14:paraId="1CEE7D92">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8.3331</w:t>
            </w:r>
          </w:p>
        </w:tc>
        <w:tc>
          <w:tcPr>
            <w:tcW w:w="1494" w:type="dxa"/>
            <w:tcBorders>
              <w:tl2br w:val="nil"/>
              <w:tr2bl w:val="nil"/>
            </w:tcBorders>
            <w:shd w:val="clear" w:color="auto" w:fill="auto"/>
            <w:vAlign w:val="center"/>
          </w:tcPr>
          <w:p w14:paraId="0453FFE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rPr>
              <w:t>第</w:t>
            </w:r>
            <w:r>
              <w:rPr>
                <w:rFonts w:hint="eastAsia" w:ascii="宋体" w:hAnsi="宋体" w:eastAsia="宋体"/>
                <w:bCs/>
                <w:sz w:val="21"/>
                <w:szCs w:val="21"/>
                <w:lang w:val="en-US" w:eastAsia="zh-CN"/>
              </w:rPr>
              <w:t>1-7</w:t>
            </w:r>
            <w:r>
              <w:rPr>
                <w:rFonts w:hint="eastAsia" w:ascii="宋体" w:hAnsi="宋体" w:eastAsia="宋体"/>
                <w:bCs/>
                <w:sz w:val="21"/>
                <w:szCs w:val="21"/>
              </w:rPr>
              <w:t>年</w:t>
            </w:r>
          </w:p>
        </w:tc>
      </w:tr>
      <w:tr w14:paraId="1E2E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continue"/>
            <w:tcBorders>
              <w:tl2br w:val="nil"/>
              <w:tr2bl w:val="nil"/>
            </w:tcBorders>
            <w:shd w:val="clear" w:color="auto" w:fill="auto"/>
            <w:vAlign w:val="center"/>
          </w:tcPr>
          <w:p w14:paraId="403A4A0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149C35C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A</w:t>
            </w:r>
            <w:r>
              <w:rPr>
                <w:rFonts w:hint="eastAsia" w:cs="Times New Roman"/>
                <w:color w:val="000000"/>
                <w:spacing w:val="0"/>
                <w:w w:val="100"/>
                <w:sz w:val="21"/>
                <w:szCs w:val="21"/>
                <w:highlight w:val="none"/>
                <w:vertAlign w:val="subscript"/>
                <w:lang w:val="en-US" w:eastAsia="zh-CN"/>
              </w:rPr>
              <w:t>2</w:t>
            </w:r>
          </w:p>
        </w:tc>
        <w:tc>
          <w:tcPr>
            <w:tcW w:w="1980" w:type="dxa"/>
            <w:tcBorders>
              <w:tl2br w:val="nil"/>
              <w:tr2bl w:val="nil"/>
            </w:tcBorders>
            <w:shd w:val="clear" w:color="auto" w:fill="auto"/>
            <w:vAlign w:val="center"/>
          </w:tcPr>
          <w:p w14:paraId="1D336F5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历史采坑一</w:t>
            </w:r>
          </w:p>
        </w:tc>
        <w:tc>
          <w:tcPr>
            <w:tcW w:w="1868" w:type="dxa"/>
            <w:tcBorders>
              <w:tl2br w:val="nil"/>
              <w:tr2bl w:val="nil"/>
            </w:tcBorders>
            <w:shd w:val="clear" w:color="auto" w:fill="auto"/>
            <w:vAlign w:val="center"/>
          </w:tcPr>
          <w:p w14:paraId="173655A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坑塘水面、乔木林地</w:t>
            </w:r>
          </w:p>
        </w:tc>
        <w:tc>
          <w:tcPr>
            <w:tcW w:w="1536" w:type="dxa"/>
            <w:tcBorders>
              <w:tl2br w:val="nil"/>
              <w:tr2bl w:val="nil"/>
            </w:tcBorders>
            <w:shd w:val="clear" w:color="auto" w:fill="auto"/>
            <w:vAlign w:val="center"/>
          </w:tcPr>
          <w:p w14:paraId="1A814F46">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2.0378</w:t>
            </w:r>
          </w:p>
        </w:tc>
        <w:tc>
          <w:tcPr>
            <w:tcW w:w="1494" w:type="dxa"/>
            <w:tcBorders>
              <w:tl2br w:val="nil"/>
              <w:tr2bl w:val="nil"/>
            </w:tcBorders>
            <w:shd w:val="clear" w:color="auto" w:fill="auto"/>
            <w:vAlign w:val="center"/>
          </w:tcPr>
          <w:p w14:paraId="6DCAF53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rPr>
              <w:t>第</w:t>
            </w:r>
            <w:r>
              <w:rPr>
                <w:rFonts w:hint="eastAsia" w:ascii="宋体" w:hAnsi="宋体" w:eastAsia="宋体"/>
                <w:bCs/>
                <w:sz w:val="21"/>
                <w:szCs w:val="21"/>
                <w:lang w:val="en-US" w:eastAsia="zh-CN"/>
              </w:rPr>
              <w:t>1-7</w:t>
            </w:r>
            <w:r>
              <w:rPr>
                <w:rFonts w:hint="eastAsia" w:ascii="宋体" w:hAnsi="宋体" w:eastAsia="宋体"/>
                <w:bCs/>
                <w:sz w:val="21"/>
                <w:szCs w:val="21"/>
              </w:rPr>
              <w:t>年</w:t>
            </w:r>
          </w:p>
        </w:tc>
      </w:tr>
      <w:tr w14:paraId="1BB2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continue"/>
            <w:tcBorders>
              <w:tl2br w:val="nil"/>
              <w:tr2bl w:val="nil"/>
            </w:tcBorders>
            <w:shd w:val="clear" w:color="auto" w:fill="auto"/>
            <w:vAlign w:val="center"/>
          </w:tcPr>
          <w:p w14:paraId="680552D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2E56EE9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A</w:t>
            </w:r>
            <w:r>
              <w:rPr>
                <w:rFonts w:hint="eastAsia" w:cs="Times New Roman"/>
                <w:color w:val="000000"/>
                <w:spacing w:val="0"/>
                <w:w w:val="100"/>
                <w:sz w:val="21"/>
                <w:szCs w:val="21"/>
                <w:highlight w:val="none"/>
                <w:vertAlign w:val="subscript"/>
                <w:lang w:val="en-US" w:eastAsia="zh-CN"/>
              </w:rPr>
              <w:t>3</w:t>
            </w:r>
          </w:p>
        </w:tc>
        <w:tc>
          <w:tcPr>
            <w:tcW w:w="1980" w:type="dxa"/>
            <w:tcBorders>
              <w:tl2br w:val="nil"/>
              <w:tr2bl w:val="nil"/>
            </w:tcBorders>
            <w:shd w:val="clear" w:color="auto" w:fill="auto"/>
            <w:vAlign w:val="center"/>
          </w:tcPr>
          <w:p w14:paraId="428A350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排土场</w:t>
            </w:r>
          </w:p>
        </w:tc>
        <w:tc>
          <w:tcPr>
            <w:tcW w:w="1868" w:type="dxa"/>
            <w:tcBorders>
              <w:tl2br w:val="nil"/>
              <w:tr2bl w:val="nil"/>
            </w:tcBorders>
            <w:shd w:val="clear" w:color="auto" w:fill="auto"/>
            <w:vAlign w:val="center"/>
          </w:tcPr>
          <w:p w14:paraId="2F482DD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乔木林地</w:t>
            </w:r>
          </w:p>
        </w:tc>
        <w:tc>
          <w:tcPr>
            <w:tcW w:w="1536" w:type="dxa"/>
            <w:tcBorders>
              <w:tl2br w:val="nil"/>
              <w:tr2bl w:val="nil"/>
            </w:tcBorders>
            <w:shd w:val="clear" w:color="auto" w:fill="auto"/>
            <w:vAlign w:val="center"/>
          </w:tcPr>
          <w:p w14:paraId="7F13773B">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2.4635</w:t>
            </w:r>
          </w:p>
        </w:tc>
        <w:tc>
          <w:tcPr>
            <w:tcW w:w="1494" w:type="dxa"/>
            <w:tcBorders>
              <w:tl2br w:val="nil"/>
              <w:tr2bl w:val="nil"/>
            </w:tcBorders>
            <w:shd w:val="clear" w:color="auto" w:fill="auto"/>
            <w:vAlign w:val="center"/>
          </w:tcPr>
          <w:p w14:paraId="28D2026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宋体" w:hAnsi="宋体" w:eastAsia="宋体"/>
                <w:bCs/>
                <w:sz w:val="21"/>
                <w:szCs w:val="21"/>
                <w:lang w:val="en-US" w:eastAsia="zh-CN"/>
              </w:rPr>
            </w:pPr>
            <w:r>
              <w:rPr>
                <w:rFonts w:hint="eastAsia" w:ascii="宋体" w:hAnsi="宋体" w:eastAsia="宋体"/>
                <w:bCs/>
                <w:sz w:val="21"/>
                <w:szCs w:val="21"/>
                <w:lang w:val="en-US" w:eastAsia="zh-CN"/>
              </w:rPr>
              <w:t>第7年</w:t>
            </w:r>
          </w:p>
        </w:tc>
      </w:tr>
      <w:tr w14:paraId="265F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restart"/>
            <w:tcBorders>
              <w:tl2br w:val="nil"/>
              <w:tr2bl w:val="nil"/>
            </w:tcBorders>
            <w:shd w:val="clear" w:color="auto" w:fill="auto"/>
            <w:vAlign w:val="center"/>
          </w:tcPr>
          <w:p w14:paraId="177A835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kern w:val="0"/>
                <w:sz w:val="21"/>
                <w:szCs w:val="21"/>
                <w:highlight w:val="none"/>
              </w:rPr>
              <w:t>次重点防治区B</w:t>
            </w:r>
          </w:p>
        </w:tc>
        <w:tc>
          <w:tcPr>
            <w:tcW w:w="945" w:type="dxa"/>
            <w:tcBorders>
              <w:tl2br w:val="nil"/>
              <w:tr2bl w:val="nil"/>
            </w:tcBorders>
            <w:shd w:val="clear" w:color="auto" w:fill="auto"/>
            <w:vAlign w:val="center"/>
          </w:tcPr>
          <w:p w14:paraId="1FB9B5E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B</w:t>
            </w:r>
            <w:r>
              <w:rPr>
                <w:rFonts w:hint="default" w:ascii="Times New Roman" w:hAnsi="Times New Roman" w:eastAsia="宋体" w:cs="Times New Roman"/>
                <w:color w:val="000000"/>
                <w:spacing w:val="0"/>
                <w:w w:val="100"/>
                <w:sz w:val="21"/>
                <w:szCs w:val="21"/>
                <w:highlight w:val="none"/>
                <w:vertAlign w:val="subscript"/>
                <w:lang w:val="en-US" w:eastAsia="zh-CN"/>
              </w:rPr>
              <w:t>1</w:t>
            </w:r>
          </w:p>
        </w:tc>
        <w:tc>
          <w:tcPr>
            <w:tcW w:w="1980" w:type="dxa"/>
            <w:tcBorders>
              <w:tl2br w:val="nil"/>
              <w:tr2bl w:val="nil"/>
            </w:tcBorders>
            <w:shd w:val="clear" w:color="auto" w:fill="auto"/>
            <w:vAlign w:val="center"/>
          </w:tcPr>
          <w:p w14:paraId="520CC89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复垦用土临时堆场</w:t>
            </w:r>
          </w:p>
        </w:tc>
        <w:tc>
          <w:tcPr>
            <w:tcW w:w="1868" w:type="dxa"/>
            <w:tcBorders>
              <w:tl2br w:val="nil"/>
              <w:tr2bl w:val="nil"/>
            </w:tcBorders>
            <w:shd w:val="clear" w:color="auto" w:fill="auto"/>
            <w:vAlign w:val="center"/>
          </w:tcPr>
          <w:p w14:paraId="5E6720D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乔木林地</w:t>
            </w:r>
          </w:p>
        </w:tc>
        <w:tc>
          <w:tcPr>
            <w:tcW w:w="1536" w:type="dxa"/>
            <w:tcBorders>
              <w:tl2br w:val="nil"/>
              <w:tr2bl w:val="nil"/>
            </w:tcBorders>
            <w:shd w:val="clear" w:color="auto" w:fill="auto"/>
            <w:vAlign w:val="center"/>
          </w:tcPr>
          <w:p w14:paraId="4F772C1B">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1.4921</w:t>
            </w:r>
          </w:p>
        </w:tc>
        <w:tc>
          <w:tcPr>
            <w:tcW w:w="1494" w:type="dxa"/>
            <w:tcBorders>
              <w:tl2br w:val="nil"/>
              <w:tr2bl w:val="nil"/>
            </w:tcBorders>
            <w:shd w:val="clear" w:color="auto" w:fill="auto"/>
            <w:vAlign w:val="center"/>
          </w:tcPr>
          <w:p w14:paraId="29E3E1F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第7年</w:t>
            </w:r>
          </w:p>
        </w:tc>
      </w:tr>
      <w:tr w14:paraId="6EC4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continue"/>
            <w:tcBorders>
              <w:tl2br w:val="nil"/>
              <w:tr2bl w:val="nil"/>
            </w:tcBorders>
            <w:shd w:val="clear" w:color="auto" w:fill="auto"/>
            <w:vAlign w:val="center"/>
          </w:tcPr>
          <w:p w14:paraId="5146DA0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72825AE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B</w:t>
            </w:r>
            <w:r>
              <w:rPr>
                <w:rFonts w:hint="eastAsia" w:cs="Times New Roman"/>
                <w:color w:val="000000"/>
                <w:spacing w:val="0"/>
                <w:w w:val="100"/>
                <w:sz w:val="21"/>
                <w:szCs w:val="21"/>
                <w:highlight w:val="none"/>
                <w:vertAlign w:val="subscript"/>
                <w:lang w:val="en-US" w:eastAsia="zh-CN"/>
              </w:rPr>
              <w:t>2</w:t>
            </w:r>
          </w:p>
        </w:tc>
        <w:tc>
          <w:tcPr>
            <w:tcW w:w="1980" w:type="dxa"/>
            <w:tcBorders>
              <w:tl2br w:val="nil"/>
              <w:tr2bl w:val="nil"/>
            </w:tcBorders>
            <w:shd w:val="clear" w:color="auto" w:fill="auto"/>
            <w:vAlign w:val="center"/>
          </w:tcPr>
          <w:p w14:paraId="0FF041F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破碎站</w:t>
            </w:r>
          </w:p>
        </w:tc>
        <w:tc>
          <w:tcPr>
            <w:tcW w:w="1868" w:type="dxa"/>
            <w:tcBorders>
              <w:tl2br w:val="nil"/>
              <w:tr2bl w:val="nil"/>
            </w:tcBorders>
            <w:shd w:val="clear" w:color="auto" w:fill="auto"/>
            <w:vAlign w:val="center"/>
          </w:tcPr>
          <w:p w14:paraId="763BDC5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乔木林地</w:t>
            </w:r>
          </w:p>
        </w:tc>
        <w:tc>
          <w:tcPr>
            <w:tcW w:w="1536" w:type="dxa"/>
            <w:tcBorders>
              <w:tl2br w:val="nil"/>
              <w:tr2bl w:val="nil"/>
            </w:tcBorders>
            <w:shd w:val="clear" w:color="auto" w:fill="auto"/>
            <w:vAlign w:val="center"/>
          </w:tcPr>
          <w:p w14:paraId="0C0322F8">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0.6052</w:t>
            </w:r>
          </w:p>
        </w:tc>
        <w:tc>
          <w:tcPr>
            <w:tcW w:w="1494" w:type="dxa"/>
            <w:tcBorders>
              <w:tl2br w:val="nil"/>
              <w:tr2bl w:val="nil"/>
            </w:tcBorders>
            <w:shd w:val="clear" w:color="auto" w:fill="auto"/>
            <w:vAlign w:val="center"/>
          </w:tcPr>
          <w:p w14:paraId="4465F31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第7年</w:t>
            </w:r>
          </w:p>
        </w:tc>
      </w:tr>
      <w:tr w14:paraId="6AE8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continue"/>
            <w:tcBorders>
              <w:tl2br w:val="nil"/>
              <w:tr2bl w:val="nil"/>
            </w:tcBorders>
            <w:shd w:val="clear" w:color="auto" w:fill="auto"/>
            <w:vAlign w:val="center"/>
          </w:tcPr>
          <w:p w14:paraId="63D705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1D7E824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B</w:t>
            </w:r>
            <w:r>
              <w:rPr>
                <w:rFonts w:hint="eastAsia" w:cs="Times New Roman"/>
                <w:color w:val="000000"/>
                <w:spacing w:val="0"/>
                <w:w w:val="100"/>
                <w:sz w:val="21"/>
                <w:szCs w:val="21"/>
                <w:highlight w:val="none"/>
                <w:vertAlign w:val="subscript"/>
                <w:lang w:val="en-US" w:eastAsia="zh-CN"/>
              </w:rPr>
              <w:t>3</w:t>
            </w:r>
          </w:p>
        </w:tc>
        <w:tc>
          <w:tcPr>
            <w:tcW w:w="1980" w:type="dxa"/>
            <w:tcBorders>
              <w:tl2br w:val="nil"/>
              <w:tr2bl w:val="nil"/>
            </w:tcBorders>
            <w:shd w:val="clear" w:color="auto" w:fill="auto"/>
            <w:vAlign w:val="center"/>
          </w:tcPr>
          <w:p w14:paraId="0E5F59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原破碎站及废石堆场</w:t>
            </w:r>
          </w:p>
        </w:tc>
        <w:tc>
          <w:tcPr>
            <w:tcW w:w="1868" w:type="dxa"/>
            <w:tcBorders>
              <w:tl2br w:val="nil"/>
              <w:tr2bl w:val="nil"/>
            </w:tcBorders>
            <w:shd w:val="clear" w:color="auto" w:fill="auto"/>
            <w:vAlign w:val="center"/>
          </w:tcPr>
          <w:p w14:paraId="7F56A2C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eastAsia" w:ascii="宋体" w:hAnsi="宋体" w:eastAsia="宋体"/>
                <w:bCs/>
                <w:sz w:val="21"/>
                <w:szCs w:val="21"/>
                <w:lang w:val="en-US" w:eastAsia="zh-CN"/>
              </w:rPr>
              <w:t>乔木林地</w:t>
            </w:r>
          </w:p>
        </w:tc>
        <w:tc>
          <w:tcPr>
            <w:tcW w:w="1536" w:type="dxa"/>
            <w:tcBorders>
              <w:tl2br w:val="nil"/>
              <w:tr2bl w:val="nil"/>
            </w:tcBorders>
            <w:shd w:val="clear" w:color="auto" w:fill="auto"/>
            <w:vAlign w:val="center"/>
          </w:tcPr>
          <w:p w14:paraId="2F706A7F">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2.2880</w:t>
            </w:r>
          </w:p>
        </w:tc>
        <w:tc>
          <w:tcPr>
            <w:tcW w:w="1494" w:type="dxa"/>
            <w:tcBorders>
              <w:tl2br w:val="nil"/>
              <w:tr2bl w:val="nil"/>
            </w:tcBorders>
            <w:shd w:val="clear" w:color="auto" w:fill="auto"/>
            <w:vAlign w:val="center"/>
          </w:tcPr>
          <w:p w14:paraId="0A9F925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lang w:val="en-US" w:eastAsia="zh-CN"/>
              </w:rPr>
            </w:pPr>
            <w:r>
              <w:rPr>
                <w:rFonts w:hint="eastAsia" w:ascii="宋体" w:hAnsi="宋体" w:eastAsia="宋体"/>
                <w:bCs/>
                <w:sz w:val="21"/>
                <w:szCs w:val="21"/>
                <w:lang w:val="en-US" w:eastAsia="zh-CN"/>
              </w:rPr>
              <w:t>第</w:t>
            </w:r>
            <w:r>
              <w:rPr>
                <w:rFonts w:hint="eastAsia" w:ascii="宋体" w:hAnsi="宋体"/>
                <w:bCs/>
                <w:sz w:val="21"/>
                <w:szCs w:val="21"/>
                <w:lang w:val="en-US" w:eastAsia="zh-CN"/>
              </w:rPr>
              <w:t>7</w:t>
            </w:r>
            <w:r>
              <w:rPr>
                <w:rFonts w:hint="eastAsia" w:ascii="宋体" w:hAnsi="宋体" w:eastAsia="宋体"/>
                <w:bCs/>
                <w:sz w:val="21"/>
                <w:szCs w:val="21"/>
                <w:lang w:val="en-US" w:eastAsia="zh-CN"/>
              </w:rPr>
              <w:t>年</w:t>
            </w:r>
          </w:p>
        </w:tc>
      </w:tr>
      <w:tr w14:paraId="62D4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continue"/>
            <w:tcBorders>
              <w:tl2br w:val="nil"/>
              <w:tr2bl w:val="nil"/>
            </w:tcBorders>
            <w:shd w:val="clear" w:color="auto" w:fill="auto"/>
            <w:vAlign w:val="center"/>
          </w:tcPr>
          <w:p w14:paraId="126EA91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18C93DA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B</w:t>
            </w:r>
            <w:r>
              <w:rPr>
                <w:rFonts w:hint="eastAsia" w:cs="Times New Roman"/>
                <w:color w:val="000000"/>
                <w:spacing w:val="0"/>
                <w:w w:val="100"/>
                <w:sz w:val="21"/>
                <w:szCs w:val="21"/>
                <w:highlight w:val="none"/>
                <w:vertAlign w:val="subscript"/>
                <w:lang w:val="en-US" w:eastAsia="zh-CN"/>
              </w:rPr>
              <w:t>4</w:t>
            </w:r>
          </w:p>
        </w:tc>
        <w:tc>
          <w:tcPr>
            <w:tcW w:w="1980" w:type="dxa"/>
            <w:tcBorders>
              <w:tl2br w:val="nil"/>
              <w:tr2bl w:val="nil"/>
            </w:tcBorders>
            <w:shd w:val="clear" w:color="auto" w:fill="auto"/>
            <w:vAlign w:val="center"/>
          </w:tcPr>
          <w:p w14:paraId="330D1E8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办公生活区</w:t>
            </w:r>
          </w:p>
        </w:tc>
        <w:tc>
          <w:tcPr>
            <w:tcW w:w="1868" w:type="dxa"/>
            <w:tcBorders>
              <w:tl2br w:val="nil"/>
              <w:tr2bl w:val="nil"/>
            </w:tcBorders>
            <w:shd w:val="clear" w:color="auto" w:fill="auto"/>
            <w:vAlign w:val="center"/>
          </w:tcPr>
          <w:p w14:paraId="2F54BA5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lang w:val="en-US" w:eastAsia="zh-CN"/>
              </w:rPr>
              <w:t>乔木林地</w:t>
            </w:r>
          </w:p>
        </w:tc>
        <w:tc>
          <w:tcPr>
            <w:tcW w:w="1536" w:type="dxa"/>
            <w:tcBorders>
              <w:tl2br w:val="nil"/>
              <w:tr2bl w:val="nil"/>
            </w:tcBorders>
            <w:shd w:val="clear" w:color="auto" w:fill="auto"/>
            <w:vAlign w:val="center"/>
          </w:tcPr>
          <w:p w14:paraId="3A507D2A">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0.3463</w:t>
            </w:r>
          </w:p>
        </w:tc>
        <w:tc>
          <w:tcPr>
            <w:tcW w:w="1494" w:type="dxa"/>
            <w:tcBorders>
              <w:tl2br w:val="nil"/>
              <w:tr2bl w:val="nil"/>
            </w:tcBorders>
            <w:shd w:val="clear" w:color="auto" w:fill="auto"/>
            <w:vAlign w:val="center"/>
          </w:tcPr>
          <w:p w14:paraId="5ED3EDE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宋体" w:hAnsi="宋体" w:eastAsia="宋体" w:cs="Times New Roman"/>
                <w:bCs/>
                <w:sz w:val="21"/>
                <w:szCs w:val="21"/>
                <w:highlight w:val="none"/>
                <w:lang w:val="en-US" w:eastAsia="zh-CN" w:bidi="ar-SA"/>
              </w:rPr>
            </w:pPr>
            <w:r>
              <w:rPr>
                <w:rFonts w:hint="eastAsia" w:ascii="宋体" w:hAnsi="宋体" w:eastAsia="宋体"/>
                <w:bCs/>
                <w:sz w:val="21"/>
                <w:szCs w:val="21"/>
                <w:highlight w:val="none"/>
                <w:lang w:val="en-US" w:eastAsia="zh-CN"/>
              </w:rPr>
              <w:t>第</w:t>
            </w:r>
            <w:r>
              <w:rPr>
                <w:rFonts w:hint="eastAsia" w:ascii="宋体" w:hAnsi="宋体"/>
                <w:bCs/>
                <w:sz w:val="21"/>
                <w:szCs w:val="21"/>
                <w:highlight w:val="none"/>
                <w:lang w:val="en-US" w:eastAsia="zh-CN"/>
              </w:rPr>
              <w:t>7</w:t>
            </w:r>
            <w:r>
              <w:rPr>
                <w:rFonts w:hint="eastAsia" w:ascii="宋体" w:hAnsi="宋体" w:eastAsia="宋体"/>
                <w:bCs/>
                <w:sz w:val="21"/>
                <w:szCs w:val="21"/>
                <w:highlight w:val="none"/>
                <w:lang w:val="en-US" w:eastAsia="zh-CN"/>
              </w:rPr>
              <w:t>年</w:t>
            </w:r>
          </w:p>
        </w:tc>
      </w:tr>
      <w:tr w14:paraId="0C05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vMerge w:val="continue"/>
            <w:tcBorders>
              <w:tl2br w:val="nil"/>
              <w:tr2bl w:val="nil"/>
            </w:tcBorders>
            <w:shd w:val="clear" w:color="auto" w:fill="auto"/>
            <w:vAlign w:val="center"/>
          </w:tcPr>
          <w:p w14:paraId="706952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2504F3E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color w:val="000000"/>
                <w:spacing w:val="0"/>
                <w:w w:val="100"/>
                <w:sz w:val="21"/>
                <w:szCs w:val="21"/>
                <w:highlight w:val="none"/>
              </w:rPr>
              <w:t>B</w:t>
            </w:r>
            <w:r>
              <w:rPr>
                <w:rFonts w:hint="eastAsia" w:cs="Times New Roman"/>
                <w:color w:val="000000"/>
                <w:spacing w:val="0"/>
                <w:w w:val="100"/>
                <w:sz w:val="21"/>
                <w:szCs w:val="21"/>
                <w:highlight w:val="none"/>
                <w:vertAlign w:val="subscript"/>
                <w:lang w:val="en-US" w:eastAsia="zh-CN"/>
              </w:rPr>
              <w:t>5</w:t>
            </w:r>
          </w:p>
        </w:tc>
        <w:tc>
          <w:tcPr>
            <w:tcW w:w="1980" w:type="dxa"/>
            <w:tcBorders>
              <w:tl2br w:val="nil"/>
              <w:tr2bl w:val="nil"/>
            </w:tcBorders>
            <w:shd w:val="clear" w:color="auto" w:fill="auto"/>
            <w:vAlign w:val="center"/>
          </w:tcPr>
          <w:p w14:paraId="48922E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r>
              <w:rPr>
                <w:rFonts w:hint="default" w:ascii="Times New Roman" w:hAnsi="Times New Roman" w:eastAsia="宋体" w:cs="Times New Roman"/>
                <w:spacing w:val="0"/>
                <w:w w:val="100"/>
                <w:sz w:val="21"/>
                <w:szCs w:val="21"/>
                <w:highlight w:val="none"/>
                <w:lang w:val="en-US" w:eastAsia="zh-CN"/>
              </w:rPr>
              <w:t>原综合服务区</w:t>
            </w:r>
          </w:p>
        </w:tc>
        <w:tc>
          <w:tcPr>
            <w:tcW w:w="1868" w:type="dxa"/>
            <w:tcBorders>
              <w:tl2br w:val="nil"/>
              <w:tr2bl w:val="nil"/>
            </w:tcBorders>
            <w:shd w:val="clear" w:color="auto" w:fill="auto"/>
            <w:vAlign w:val="center"/>
          </w:tcPr>
          <w:p w14:paraId="7DA6532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lang w:val="en-US" w:eastAsia="zh-CN"/>
              </w:rPr>
              <w:t>乔木林地</w:t>
            </w:r>
          </w:p>
        </w:tc>
        <w:tc>
          <w:tcPr>
            <w:tcW w:w="1536" w:type="dxa"/>
            <w:tcBorders>
              <w:tl2br w:val="nil"/>
              <w:tr2bl w:val="nil"/>
            </w:tcBorders>
            <w:shd w:val="clear" w:color="auto" w:fill="auto"/>
            <w:vAlign w:val="center"/>
          </w:tcPr>
          <w:p w14:paraId="2F5ADECB">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0.3711</w:t>
            </w:r>
          </w:p>
        </w:tc>
        <w:tc>
          <w:tcPr>
            <w:tcW w:w="1494" w:type="dxa"/>
            <w:tcBorders>
              <w:tl2br w:val="nil"/>
              <w:tr2bl w:val="nil"/>
            </w:tcBorders>
            <w:shd w:val="clear" w:color="auto" w:fill="auto"/>
            <w:vAlign w:val="center"/>
          </w:tcPr>
          <w:p w14:paraId="5D69C59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宋体" w:hAnsi="宋体" w:eastAsia="宋体" w:cs="Times New Roman"/>
                <w:bCs/>
                <w:sz w:val="21"/>
                <w:szCs w:val="21"/>
                <w:highlight w:val="none"/>
                <w:lang w:val="en-US" w:eastAsia="zh-CN" w:bidi="ar-SA"/>
              </w:rPr>
            </w:pPr>
            <w:r>
              <w:rPr>
                <w:rFonts w:hint="eastAsia" w:ascii="宋体" w:hAnsi="宋体" w:eastAsia="宋体"/>
                <w:bCs/>
                <w:sz w:val="21"/>
                <w:szCs w:val="21"/>
                <w:highlight w:val="none"/>
                <w:lang w:val="en-US" w:eastAsia="zh-CN"/>
              </w:rPr>
              <w:t>第</w:t>
            </w:r>
            <w:r>
              <w:rPr>
                <w:rFonts w:hint="eastAsia" w:ascii="宋体" w:hAnsi="宋体"/>
                <w:bCs/>
                <w:sz w:val="21"/>
                <w:szCs w:val="21"/>
                <w:highlight w:val="none"/>
                <w:lang w:val="en-US" w:eastAsia="zh-CN"/>
              </w:rPr>
              <w:t>7</w:t>
            </w:r>
            <w:r>
              <w:rPr>
                <w:rFonts w:hint="eastAsia" w:ascii="宋体" w:hAnsi="宋体" w:eastAsia="宋体"/>
                <w:bCs/>
                <w:sz w:val="21"/>
                <w:szCs w:val="21"/>
                <w:highlight w:val="none"/>
                <w:lang w:val="en-US" w:eastAsia="zh-CN"/>
              </w:rPr>
              <w:t>年</w:t>
            </w:r>
          </w:p>
        </w:tc>
      </w:tr>
      <w:tr w14:paraId="1E56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1" w:type="dxa"/>
            <w:tcBorders>
              <w:tl2br w:val="nil"/>
              <w:tr2bl w:val="nil"/>
            </w:tcBorders>
            <w:shd w:val="clear" w:color="auto" w:fill="auto"/>
            <w:vAlign w:val="center"/>
          </w:tcPr>
          <w:p w14:paraId="7D6A8D1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c>
          <w:tcPr>
            <w:tcW w:w="945" w:type="dxa"/>
            <w:tcBorders>
              <w:tl2br w:val="nil"/>
              <w:tr2bl w:val="nil"/>
            </w:tcBorders>
            <w:shd w:val="clear" w:color="auto" w:fill="auto"/>
            <w:vAlign w:val="center"/>
          </w:tcPr>
          <w:p w14:paraId="03F62EF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Times New Roman"/>
                <w:bCs/>
                <w:sz w:val="21"/>
                <w:szCs w:val="21"/>
                <w:lang w:val="en-US" w:eastAsia="zh-CN" w:bidi="ar-SA"/>
              </w:rPr>
            </w:pPr>
            <w:r>
              <w:rPr>
                <w:rFonts w:hint="eastAsia" w:ascii="宋体" w:hAnsi="宋体" w:eastAsia="宋体"/>
                <w:bCs/>
                <w:sz w:val="21"/>
                <w:szCs w:val="21"/>
              </w:rPr>
              <w:t>合计</w:t>
            </w:r>
          </w:p>
        </w:tc>
        <w:tc>
          <w:tcPr>
            <w:tcW w:w="1980" w:type="dxa"/>
            <w:tcBorders>
              <w:tl2br w:val="nil"/>
              <w:tr2bl w:val="nil"/>
            </w:tcBorders>
            <w:shd w:val="clear" w:color="auto" w:fill="auto"/>
            <w:vAlign w:val="center"/>
          </w:tcPr>
          <w:p w14:paraId="3E29B08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Times New Roman"/>
                <w:bCs/>
                <w:sz w:val="21"/>
                <w:szCs w:val="21"/>
                <w:lang w:val="en-US" w:eastAsia="zh-CN" w:bidi="ar-SA"/>
              </w:rPr>
            </w:pPr>
          </w:p>
        </w:tc>
        <w:tc>
          <w:tcPr>
            <w:tcW w:w="1868" w:type="dxa"/>
            <w:tcBorders>
              <w:tl2br w:val="nil"/>
              <w:tr2bl w:val="nil"/>
            </w:tcBorders>
            <w:shd w:val="clear" w:color="auto" w:fill="auto"/>
            <w:vAlign w:val="center"/>
          </w:tcPr>
          <w:p w14:paraId="267DF56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Times New Roman"/>
                <w:bCs/>
                <w:sz w:val="21"/>
                <w:szCs w:val="21"/>
                <w:lang w:val="en-US" w:eastAsia="zh-CN" w:bidi="ar-SA"/>
              </w:rPr>
            </w:pPr>
          </w:p>
        </w:tc>
        <w:tc>
          <w:tcPr>
            <w:tcW w:w="1536" w:type="dxa"/>
            <w:tcBorders>
              <w:tl2br w:val="nil"/>
              <w:tr2bl w:val="nil"/>
            </w:tcBorders>
            <w:shd w:val="clear" w:color="auto" w:fill="auto"/>
            <w:vAlign w:val="center"/>
          </w:tcPr>
          <w:p w14:paraId="78E02943">
            <w:pPr>
              <w:keepNext w:val="0"/>
              <w:keepLines w:val="0"/>
              <w:pageBreakBefore w:val="0"/>
              <w:widowControl/>
              <w:suppressLineNumbers w:val="0"/>
              <w:kinsoku/>
              <w:wordWrap/>
              <w:overflowPunct/>
              <w:topLinePunct w:val="0"/>
              <w:autoSpaceDE/>
              <w:autoSpaceDN/>
              <w:bidi w:val="0"/>
              <w:ind w:firstLine="0" w:firstLineChars="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17.9371</w:t>
            </w:r>
          </w:p>
        </w:tc>
        <w:tc>
          <w:tcPr>
            <w:tcW w:w="1494" w:type="dxa"/>
            <w:tcBorders>
              <w:tl2br w:val="nil"/>
              <w:tr2bl w:val="nil"/>
            </w:tcBorders>
            <w:shd w:val="clear" w:color="auto" w:fill="auto"/>
            <w:vAlign w:val="center"/>
          </w:tcPr>
          <w:p w14:paraId="5E089FA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Cs/>
                <w:sz w:val="21"/>
                <w:szCs w:val="21"/>
              </w:rPr>
            </w:pPr>
          </w:p>
        </w:tc>
      </w:tr>
    </w:tbl>
    <w:p w14:paraId="0112B37C">
      <w:pPr>
        <w:pStyle w:val="5"/>
        <w:spacing w:before="263" w:after="263"/>
        <w:rPr>
          <w:rFonts w:hint="eastAsia" w:ascii="宋体" w:hAnsi="宋体" w:eastAsia="宋体" w:cs="宋体"/>
          <w:b/>
          <w:bCs w:val="0"/>
          <w:lang w:val="en-US" w:eastAsia="zh-CN"/>
        </w:rPr>
      </w:pPr>
      <w:bookmarkStart w:id="315" w:name="_Toc28569"/>
      <w:r>
        <w:rPr>
          <w:rFonts w:hint="eastAsia" w:ascii="宋体" w:hAnsi="宋体" w:eastAsia="宋体" w:cs="宋体"/>
          <w:b/>
          <w:bCs w:val="0"/>
          <w:lang w:val="en-US" w:eastAsia="zh-CN"/>
        </w:rPr>
        <w:t>四、采矿用地与复垦修复安排</w:t>
      </w:r>
      <w:bookmarkEnd w:id="315"/>
    </w:p>
    <w:p w14:paraId="4E2F60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sz w:val="28"/>
          <w:szCs w:val="28"/>
          <w:highlight w:val="none"/>
          <w:lang w:val="en-US" w:eastAsia="zh-CN"/>
        </w:rPr>
      </w:pPr>
      <w:bookmarkStart w:id="316" w:name="_Toc502045021"/>
      <w:bookmarkStart w:id="317" w:name="_Toc502047634"/>
      <w:bookmarkStart w:id="318" w:name="_Toc502044847"/>
      <w:bookmarkStart w:id="319" w:name="_Toc502045795"/>
      <w:bookmarkStart w:id="320" w:name="_Toc502047838"/>
      <w:r>
        <w:rPr>
          <w:rFonts w:hint="eastAsia" w:cs="Times New Roman"/>
          <w:sz w:val="28"/>
          <w:szCs w:val="28"/>
          <w:highlight w:val="none"/>
          <w:lang w:val="en-US" w:eastAsia="zh-CN"/>
        </w:rPr>
        <w:t>该项目涉及的采矿用地的申请审批由企业及相关主管部门完成。本节仅简述项目用地复垦修复安排。</w:t>
      </w:r>
    </w:p>
    <w:p w14:paraId="7BD895B4">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（一）复垦修复安排</w:t>
      </w:r>
    </w:p>
    <w:p w14:paraId="0F89FA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矿区复垦修复目标是采取预防和控制的措施，最大限度的保护当地自然环境，以减少对土地的破坏。本方案复垦面积为17.9371hm</w:t>
      </w:r>
      <w:r>
        <w:rPr>
          <w:rFonts w:hint="eastAsia" w:cs="Times New Roman"/>
          <w:sz w:val="28"/>
          <w:szCs w:val="28"/>
          <w:highlight w:val="none"/>
          <w:vertAlign w:val="superscript"/>
          <w:lang w:val="en-US" w:eastAsia="zh-CN"/>
        </w:rPr>
        <w:t>2</w:t>
      </w:r>
      <w:r>
        <w:rPr>
          <w:rFonts w:hint="eastAsia" w:cs="Times New Roman"/>
          <w:sz w:val="28"/>
          <w:szCs w:val="28"/>
          <w:highlight w:val="none"/>
          <w:lang w:val="en-US" w:eastAsia="zh-CN"/>
        </w:rPr>
        <w:t>，矿区生态修复目标及土地利用变化表见下表（表3-19）。</w:t>
      </w:r>
    </w:p>
    <w:p w14:paraId="7C786A64">
      <w:pPr>
        <w:adjustRightInd w:val="0"/>
        <w:spacing w:line="360" w:lineRule="auto"/>
        <w:ind w:firstLine="480" w:firstLineChars="200"/>
        <w:jc w:val="center"/>
        <w:rPr>
          <w:rFonts w:hint="eastAsia" w:ascii="宋体" w:hAnsi="宋体" w:eastAsia="宋体"/>
          <w:bCs/>
          <w:sz w:val="24"/>
          <w:szCs w:val="24"/>
        </w:rPr>
      </w:pPr>
    </w:p>
    <w:p w14:paraId="1CFFE6D6">
      <w:pPr>
        <w:adjustRightInd w:val="0"/>
        <w:spacing w:line="360" w:lineRule="auto"/>
        <w:ind w:firstLine="480" w:firstLineChars="200"/>
        <w:jc w:val="center"/>
        <w:rPr>
          <w:rFonts w:hint="eastAsia" w:ascii="宋体" w:hAnsi="宋体" w:eastAsia="宋体"/>
          <w:bCs/>
          <w:sz w:val="24"/>
          <w:szCs w:val="24"/>
        </w:rPr>
      </w:pPr>
    </w:p>
    <w:p w14:paraId="06564064">
      <w:pPr>
        <w:adjustRightInd w:val="0"/>
        <w:spacing w:line="360" w:lineRule="auto"/>
        <w:ind w:firstLine="480" w:firstLineChars="200"/>
        <w:jc w:val="center"/>
        <w:rPr>
          <w:rFonts w:hint="eastAsia" w:ascii="宋体" w:hAnsi="宋体" w:eastAsia="宋体"/>
          <w:bCs/>
          <w:sz w:val="24"/>
          <w:szCs w:val="24"/>
        </w:rPr>
      </w:pPr>
      <w:r>
        <w:rPr>
          <w:rFonts w:hint="eastAsia" w:ascii="黑体" w:hAnsi="黑体" w:eastAsia="黑体"/>
          <w:bCs/>
          <w:sz w:val="24"/>
          <w:szCs w:val="24"/>
        </w:rPr>
        <w:t>表3-</w:t>
      </w:r>
      <w:r>
        <w:rPr>
          <w:rFonts w:hint="eastAsia" w:ascii="黑体" w:hAnsi="黑体" w:eastAsia="黑体"/>
          <w:bCs/>
          <w:sz w:val="24"/>
          <w:szCs w:val="24"/>
          <w:lang w:val="en-US" w:eastAsia="zh-CN"/>
        </w:rPr>
        <w:t>19</w:t>
      </w:r>
      <w:r>
        <w:rPr>
          <w:rFonts w:hint="eastAsia" w:ascii="黑体" w:hAnsi="黑体" w:eastAsia="黑体"/>
          <w:bCs/>
          <w:sz w:val="24"/>
          <w:szCs w:val="24"/>
        </w:rPr>
        <w:t xml:space="preserve"> </w:t>
      </w:r>
      <w:r>
        <w:rPr>
          <w:rFonts w:hint="eastAsia" w:ascii="黑体" w:hAnsi="黑体" w:eastAsia="黑体"/>
          <w:bCs/>
          <w:sz w:val="24"/>
          <w:szCs w:val="24"/>
          <w:lang w:val="en-US" w:eastAsia="zh-CN"/>
        </w:rPr>
        <w:t xml:space="preserve"> </w:t>
      </w:r>
      <w:r>
        <w:rPr>
          <w:rFonts w:hint="eastAsia" w:ascii="黑体" w:hAnsi="黑体" w:eastAsia="黑体"/>
          <w:bCs/>
          <w:sz w:val="24"/>
          <w:szCs w:val="24"/>
        </w:rPr>
        <w:t>矿区生态修复目标及土地利用变化表</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2"/>
        <w:gridCol w:w="1186"/>
        <w:gridCol w:w="683"/>
        <w:gridCol w:w="1305"/>
        <w:gridCol w:w="1383"/>
        <w:gridCol w:w="1528"/>
        <w:gridCol w:w="1137"/>
        <w:gridCol w:w="1290"/>
      </w:tblGrid>
      <w:tr w14:paraId="149B5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9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76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一级地类</w:t>
            </w: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87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二级地类</w:t>
            </w:r>
          </w:p>
        </w:tc>
        <w:tc>
          <w:tcPr>
            <w:tcW w:w="7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D2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矿山占用土地面积（hm</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w:t>
            </w:r>
          </w:p>
        </w:tc>
        <w:tc>
          <w:tcPr>
            <w:tcW w:w="8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F5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生态修复目标面积(hm</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w:t>
            </w: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E4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面积增减(hm</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w:t>
            </w:r>
          </w:p>
        </w:tc>
        <w:tc>
          <w:tcPr>
            <w:tcW w:w="71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7D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备注</w:t>
            </w:r>
          </w:p>
        </w:tc>
      </w:tr>
      <w:tr w14:paraId="28B5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367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编码</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E0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名称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3D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编码</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2A0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名称</w:t>
            </w:r>
          </w:p>
        </w:tc>
        <w:tc>
          <w:tcPr>
            <w:tcW w:w="7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8E7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8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D1E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C84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C5E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63216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57C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23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种植园用地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67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0201</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F96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果园</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8B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3.4211</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EC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8E4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-3.4211</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7A1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5CCF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D4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32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林地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263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0301</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663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乔木林地</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F6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3.8028</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2A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8.5840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2D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4.7812</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4F2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7910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616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0ED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D3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0305</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FE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灌木林地</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D5C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0.0864</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69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93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-0.0864</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EA6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45FA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8E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A6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草地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4D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0404</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59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其他草地</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6F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4.2327</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B0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7A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-4.2327</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06D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43C2B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E3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98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商业服务业用地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45A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05H1</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D1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商业服务业设施用地</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4A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0.0390</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9A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0.0390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1C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91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p>
        </w:tc>
      </w:tr>
      <w:tr w14:paraId="2237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D5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09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工矿用地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C9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0602</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01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采矿用地</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D0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4.2954</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D5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54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-4.2954</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B81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6094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7C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83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住宅用地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F1D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0702</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EE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农村宅基地</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9E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0.3673</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48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0.3673</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FA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7EB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p>
        </w:tc>
      </w:tr>
      <w:tr w14:paraId="6AA0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C6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6F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交通运输用地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C4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1006</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41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农村道路</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C9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74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26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8D1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4E0D1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9FB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2A2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水域及水利设施用地</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BA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1104</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EF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坑塘水面</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DA0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1.5920</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42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8.9467</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E9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7.3547</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B33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191D3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F6B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4719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78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1107</w:t>
            </w:r>
          </w:p>
        </w:tc>
        <w:tc>
          <w:tcPr>
            <w:tcW w:w="7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04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沟渠</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5D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0.1002</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E6D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63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-0.1002</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2B6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705B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03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E5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合计</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17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17.9371</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9A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17.9371</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94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28F8">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宋体" w:cs="Times New Roman"/>
                <w:i w:val="0"/>
                <w:iCs w:val="0"/>
                <w:color w:val="000000"/>
                <w:sz w:val="21"/>
                <w:szCs w:val="21"/>
                <w:u w:val="none"/>
              </w:rPr>
            </w:pPr>
          </w:p>
        </w:tc>
      </w:tr>
    </w:tbl>
    <w:p w14:paraId="2F8EA6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vertAlign w:val="baseline"/>
          <w:lang w:val="en-US" w:eastAsia="zh-CN"/>
        </w:rPr>
      </w:pPr>
      <w:r>
        <w:rPr>
          <w:rFonts w:hint="default" w:ascii="Times New Roman" w:hAnsi="Times New Roman" w:cs="Times New Roman"/>
          <w:sz w:val="28"/>
          <w:szCs w:val="28"/>
          <w:highlight w:val="none"/>
        </w:rPr>
        <w:t>复垦责任区域为</w:t>
      </w:r>
      <w:r>
        <w:rPr>
          <w:rFonts w:hint="default" w:ascii="Times New Roman" w:hAnsi="Times New Roman" w:cs="Times New Roman"/>
          <w:sz w:val="28"/>
          <w:szCs w:val="28"/>
          <w:highlight w:val="none"/>
          <w:lang w:val="en-US" w:eastAsia="zh-CN"/>
        </w:rPr>
        <w:t>露天采场</w:t>
      </w:r>
      <w:r>
        <w:rPr>
          <w:rFonts w:hint="default" w:ascii="Times New Roman" w:hAnsi="Times New Roman" w:cs="Times New Roman"/>
          <w:sz w:val="28"/>
          <w:szCs w:val="28"/>
          <w:highlight w:val="none"/>
        </w:rPr>
        <w:t>、</w:t>
      </w:r>
      <w:r>
        <w:rPr>
          <w:rFonts w:hint="default" w:ascii="Times New Roman" w:hAnsi="Times New Roman" w:cs="Times New Roman"/>
          <w:sz w:val="28"/>
          <w:szCs w:val="28"/>
          <w:highlight w:val="none"/>
          <w:lang w:val="en-US" w:eastAsia="zh-CN"/>
        </w:rPr>
        <w:t>排土场、复垦用土临时堆场、破碎站、</w:t>
      </w:r>
      <w:r>
        <w:rPr>
          <w:rFonts w:hint="default" w:ascii="Times New Roman" w:hAnsi="Times New Roman" w:cs="Times New Roman"/>
          <w:sz w:val="28"/>
          <w:szCs w:val="28"/>
          <w:highlight w:val="none"/>
        </w:rPr>
        <w:t>办公生活区</w:t>
      </w:r>
      <w:r>
        <w:rPr>
          <w:rFonts w:hint="default" w:ascii="Times New Roman" w:hAnsi="Times New Roman" w:cs="Times New Roman"/>
          <w:sz w:val="28"/>
          <w:szCs w:val="28"/>
          <w:highlight w:val="none"/>
          <w:lang w:val="en-US" w:eastAsia="zh-CN"/>
        </w:rPr>
        <w:t>等已损毁和拟损毁全部区域</w:t>
      </w:r>
      <w:r>
        <w:rPr>
          <w:rFonts w:hint="default" w:ascii="Times New Roman" w:hAnsi="Times New Roman" w:cs="Times New Roman"/>
          <w:sz w:val="28"/>
          <w:szCs w:val="28"/>
          <w:highlight w:val="none"/>
        </w:rPr>
        <w:t>，总面积17.</w:t>
      </w:r>
      <w:r>
        <w:rPr>
          <w:rFonts w:hint="eastAsia" w:cs="Times New Roman"/>
          <w:sz w:val="28"/>
          <w:szCs w:val="28"/>
          <w:highlight w:val="none"/>
          <w:lang w:val="en-US" w:eastAsia="zh-CN"/>
        </w:rPr>
        <w:t>9371</w:t>
      </w:r>
      <w:r>
        <w:rPr>
          <w:rFonts w:hint="default" w:ascii="Times New Roman" w:hAnsi="Times New Roman" w:cs="Times New Roman"/>
          <w:sz w:val="28"/>
          <w:szCs w:val="28"/>
          <w:highlight w:val="none"/>
        </w:rPr>
        <w:t>hm²，</w:t>
      </w:r>
      <w:r>
        <w:rPr>
          <w:rFonts w:hint="eastAsia" w:cs="Times New Roman"/>
          <w:sz w:val="28"/>
          <w:szCs w:val="28"/>
          <w:highlight w:val="none"/>
          <w:lang w:val="en-US" w:eastAsia="zh-CN"/>
        </w:rPr>
        <w:t>其中重点防治区面积</w:t>
      </w:r>
      <w:r>
        <w:rPr>
          <w:rFonts w:hint="eastAsia"/>
          <w:sz w:val="28"/>
          <w:szCs w:val="28"/>
          <w:lang w:val="en-US" w:eastAsia="zh-CN"/>
        </w:rPr>
        <w:t>12.8344hm</w:t>
      </w:r>
      <w:r>
        <w:rPr>
          <w:rFonts w:hint="eastAsia"/>
          <w:sz w:val="28"/>
          <w:szCs w:val="28"/>
          <w:vertAlign w:val="superscript"/>
          <w:lang w:val="en-US" w:eastAsia="zh-CN"/>
        </w:rPr>
        <w:t>2</w:t>
      </w:r>
      <w:r>
        <w:rPr>
          <w:rFonts w:hint="eastAsia"/>
          <w:sz w:val="28"/>
          <w:szCs w:val="28"/>
          <w:lang w:val="en-US" w:eastAsia="zh-CN"/>
        </w:rPr>
        <w:t>，次重点防治区5.1027hm</w:t>
      </w:r>
      <w:r>
        <w:rPr>
          <w:rFonts w:hint="eastAsia"/>
          <w:sz w:val="28"/>
          <w:szCs w:val="28"/>
          <w:vertAlign w:val="superscript"/>
          <w:lang w:val="en-US" w:eastAsia="zh-CN"/>
        </w:rPr>
        <w:t>2</w:t>
      </w:r>
      <w:r>
        <w:rPr>
          <w:rFonts w:hint="eastAsia"/>
          <w:sz w:val="28"/>
          <w:szCs w:val="28"/>
          <w:vertAlign w:val="baseline"/>
          <w:lang w:val="en-US" w:eastAsia="zh-CN"/>
        </w:rPr>
        <w:t>。</w:t>
      </w:r>
    </w:p>
    <w:p w14:paraId="1F2F9D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sz w:val="28"/>
          <w:szCs w:val="28"/>
          <w:highlight w:val="none"/>
          <w:lang w:val="en-US" w:eastAsia="zh-CN"/>
        </w:rPr>
      </w:pPr>
      <w:r>
        <w:rPr>
          <w:rFonts w:hint="eastAsia"/>
          <w:sz w:val="28"/>
          <w:szCs w:val="28"/>
          <w:vertAlign w:val="baseline"/>
          <w:lang w:val="en-US" w:eastAsia="zh-CN"/>
        </w:rPr>
        <w:t>重点防治区包含露天采场、历史采坑一和排土场。其中</w:t>
      </w:r>
      <w:r>
        <w:rPr>
          <w:rFonts w:hint="default" w:ascii="Times New Roman" w:hAnsi="Times New Roman" w:cs="Times New Roman"/>
          <w:sz w:val="28"/>
          <w:szCs w:val="28"/>
          <w:highlight w:val="none"/>
          <w:lang w:val="en-US" w:eastAsia="zh-CN"/>
        </w:rPr>
        <w:t>露天采场+5</w:t>
      </w:r>
      <w:r>
        <w:rPr>
          <w:rFonts w:hint="eastAsia" w:cs="Times New Roman"/>
          <w:sz w:val="28"/>
          <w:szCs w:val="28"/>
          <w:highlight w:val="none"/>
          <w:lang w:val="en-US" w:eastAsia="zh-CN"/>
        </w:rPr>
        <w:t>5</w:t>
      </w:r>
      <w:r>
        <w:rPr>
          <w:rFonts w:hint="default" w:ascii="Times New Roman" w:hAnsi="Times New Roman" w:cs="Times New Roman"/>
          <w:sz w:val="28"/>
          <w:szCs w:val="28"/>
          <w:highlight w:val="none"/>
          <w:lang w:val="en-US" w:eastAsia="zh-CN"/>
        </w:rPr>
        <w:t>m标高平台以下区域8.9467</w:t>
      </w:r>
      <w:r>
        <w:rPr>
          <w:rFonts w:hint="default" w:ascii="Times New Roman" w:hAnsi="Times New Roman" w:cs="Times New Roman"/>
          <w:sz w:val="28"/>
          <w:szCs w:val="28"/>
          <w:highlight w:val="none"/>
        </w:rPr>
        <w:t>hm</w:t>
      </w:r>
      <w:r>
        <w:rPr>
          <w:rFonts w:hint="default" w:ascii="Times New Roman" w:hAnsi="Times New Roman" w:cs="Times New Roman"/>
          <w:sz w:val="28"/>
          <w:szCs w:val="28"/>
          <w:highlight w:val="none"/>
          <w:vertAlign w:val="superscript"/>
        </w:rPr>
        <w:t>2</w:t>
      </w:r>
      <w:r>
        <w:rPr>
          <w:rFonts w:hint="default" w:ascii="Times New Roman" w:hAnsi="Times New Roman" w:cs="Times New Roman"/>
          <w:sz w:val="28"/>
          <w:szCs w:val="28"/>
          <w:highlight w:val="none"/>
        </w:rPr>
        <w:t>，</w:t>
      </w:r>
      <w:r>
        <w:rPr>
          <w:rFonts w:hint="eastAsia" w:cs="Times New Roman"/>
          <w:sz w:val="28"/>
          <w:szCs w:val="28"/>
          <w:highlight w:val="none"/>
          <w:lang w:val="en-US" w:eastAsia="zh-CN"/>
        </w:rPr>
        <w:t>复垦为坑塘水面。其他区域3.8877</w:t>
      </w:r>
      <w:r>
        <w:rPr>
          <w:rFonts w:hint="default" w:ascii="Times New Roman" w:hAnsi="Times New Roman" w:cs="Times New Roman"/>
          <w:sz w:val="28"/>
          <w:szCs w:val="28"/>
          <w:highlight w:val="none"/>
        </w:rPr>
        <w:t>hm</w:t>
      </w:r>
      <w:r>
        <w:rPr>
          <w:rFonts w:hint="default" w:ascii="Times New Roman" w:hAnsi="Times New Roman" w:cs="Times New Roman"/>
          <w:sz w:val="28"/>
          <w:szCs w:val="28"/>
          <w:highlight w:val="none"/>
          <w:vertAlign w:val="superscript"/>
        </w:rPr>
        <w:t>2</w:t>
      </w:r>
      <w:r>
        <w:rPr>
          <w:rFonts w:hint="default" w:ascii="Times New Roman" w:hAnsi="Times New Roman" w:cs="Times New Roman"/>
          <w:sz w:val="28"/>
          <w:szCs w:val="28"/>
          <w:highlight w:val="none"/>
        </w:rPr>
        <w:t>，</w:t>
      </w:r>
      <w:r>
        <w:rPr>
          <w:rFonts w:hint="eastAsia" w:cs="Times New Roman"/>
          <w:sz w:val="28"/>
          <w:szCs w:val="28"/>
          <w:highlight w:val="none"/>
          <w:lang w:val="en-US" w:eastAsia="zh-CN"/>
        </w:rPr>
        <w:t>复垦为乔木林地。</w:t>
      </w:r>
    </w:p>
    <w:p w14:paraId="08C4E3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次重点防治区面积</w:t>
      </w:r>
      <w:r>
        <w:rPr>
          <w:rFonts w:hint="eastAsia"/>
          <w:sz w:val="28"/>
          <w:szCs w:val="28"/>
          <w:lang w:val="en-US" w:eastAsia="zh-CN"/>
        </w:rPr>
        <w:t>5.1027hm</w:t>
      </w:r>
      <w:r>
        <w:rPr>
          <w:rFonts w:hint="eastAsia"/>
          <w:sz w:val="28"/>
          <w:szCs w:val="28"/>
          <w:vertAlign w:val="superscript"/>
          <w:lang w:val="en-US" w:eastAsia="zh-CN"/>
        </w:rPr>
        <w:t>2</w:t>
      </w:r>
      <w:r>
        <w:rPr>
          <w:rFonts w:hint="eastAsia"/>
          <w:sz w:val="28"/>
          <w:szCs w:val="28"/>
          <w:vertAlign w:val="baseline"/>
          <w:lang w:val="en-US" w:eastAsia="zh-CN"/>
        </w:rPr>
        <w:t>，</w:t>
      </w:r>
      <w:r>
        <w:rPr>
          <w:rFonts w:hint="eastAsia" w:cs="Times New Roman"/>
          <w:sz w:val="28"/>
          <w:szCs w:val="28"/>
          <w:highlight w:val="none"/>
          <w:lang w:val="en-US" w:eastAsia="zh-CN"/>
        </w:rPr>
        <w:t>包含复垦用土临时堆场、破碎站、原破碎站及废石堆场、办公生活区、原综合服务区。全部区域复垦为乔木林地。</w:t>
      </w:r>
    </w:p>
    <w:p w14:paraId="347905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详见复垦规划统计表（表3-20）。</w:t>
      </w:r>
    </w:p>
    <w:p w14:paraId="78ABB81A">
      <w:pPr>
        <w:pStyle w:val="45"/>
        <w:ind w:left="0" w:leftChars="0" w:firstLine="0" w:firstLineChars="0"/>
        <w:rPr>
          <w:rFonts w:hint="default" w:ascii="Times New Roman" w:hAnsi="Times New Roman" w:cs="Times New Roman"/>
          <w:highlight w:val="yellow"/>
        </w:rPr>
        <w:sectPr>
          <w:pgSz w:w="11906" w:h="16838"/>
          <w:pgMar w:top="1701" w:right="1417" w:bottom="1417" w:left="1701" w:header="1134" w:footer="992" w:gutter="0"/>
          <w:pgBorders>
            <w:top w:val="none" w:sz="0" w:space="0"/>
            <w:left w:val="none" w:sz="0" w:space="0"/>
            <w:bottom w:val="none" w:sz="0" w:space="0"/>
            <w:right w:val="none" w:sz="0" w:space="0"/>
          </w:pgBorders>
          <w:pgNumType w:fmt="decimal"/>
          <w:cols w:space="0" w:num="1"/>
          <w:rtlGutter w:val="0"/>
          <w:docGrid w:type="lines" w:linePitch="404" w:charSpace="0"/>
        </w:sectPr>
      </w:pPr>
    </w:p>
    <w:p w14:paraId="30A19AB6">
      <w:pPr>
        <w:pStyle w:val="45"/>
        <w:keepNext w:val="0"/>
        <w:keepLines w:val="0"/>
        <w:pageBreakBefore w:val="0"/>
        <w:widowControl w:val="0"/>
        <w:kinsoku/>
        <w:wordWrap/>
        <w:overflowPunct w:val="0"/>
        <w:topLinePunct w:val="0"/>
        <w:autoSpaceDE/>
        <w:autoSpaceDN/>
        <w:bidi w:val="0"/>
        <w:adjustRightInd/>
        <w:snapToGrid/>
        <w:ind w:firstLine="0" w:firstLineChars="0"/>
        <w:jc w:val="center"/>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表3-</w:t>
      </w:r>
      <w:r>
        <w:rPr>
          <w:rFonts w:hint="eastAsia" w:ascii="宋体" w:hAnsi="宋体" w:eastAsia="宋体" w:cs="宋体"/>
          <w:b/>
          <w:bCs/>
          <w:sz w:val="21"/>
          <w:szCs w:val="21"/>
          <w:highlight w:val="none"/>
          <w:lang w:val="en-US" w:eastAsia="zh-CN"/>
        </w:rPr>
        <w:t>20</w:t>
      </w:r>
      <w:r>
        <w:rPr>
          <w:rFonts w:hint="eastAsia" w:ascii="宋体" w:hAnsi="宋体" w:eastAsia="宋体" w:cs="宋体"/>
          <w:b/>
          <w:bCs/>
          <w:sz w:val="21"/>
          <w:szCs w:val="21"/>
          <w:highlight w:val="none"/>
        </w:rPr>
        <w:t xml:space="preserve">         复垦</w:t>
      </w:r>
      <w:r>
        <w:rPr>
          <w:rFonts w:hint="eastAsia" w:ascii="宋体" w:hAnsi="宋体" w:eastAsia="宋体" w:cs="宋体"/>
          <w:b/>
          <w:bCs/>
          <w:sz w:val="21"/>
          <w:szCs w:val="21"/>
          <w:highlight w:val="none"/>
          <w:lang w:val="en-US" w:eastAsia="zh-CN"/>
        </w:rPr>
        <w:t>规划统计</w:t>
      </w:r>
      <w:r>
        <w:rPr>
          <w:rFonts w:hint="eastAsia" w:ascii="宋体" w:hAnsi="宋体" w:eastAsia="宋体" w:cs="宋体"/>
          <w:b/>
          <w:bCs/>
          <w:sz w:val="21"/>
          <w:szCs w:val="21"/>
          <w:highlight w:val="none"/>
        </w:rPr>
        <w:t>表</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528"/>
        <w:gridCol w:w="480"/>
        <w:gridCol w:w="1236"/>
        <w:gridCol w:w="652"/>
        <w:gridCol w:w="652"/>
        <w:gridCol w:w="652"/>
        <w:gridCol w:w="732"/>
        <w:gridCol w:w="744"/>
        <w:gridCol w:w="708"/>
        <w:gridCol w:w="792"/>
        <w:gridCol w:w="756"/>
        <w:gridCol w:w="948"/>
        <w:gridCol w:w="948"/>
        <w:gridCol w:w="1128"/>
        <w:gridCol w:w="744"/>
        <w:gridCol w:w="696"/>
        <w:gridCol w:w="843"/>
      </w:tblGrid>
      <w:tr w14:paraId="1F22C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999" w:type="pct"/>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D12B1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分区单元</w:t>
            </w:r>
          </w:p>
        </w:tc>
        <w:tc>
          <w:tcPr>
            <w:tcW w:w="3169" w:type="pct"/>
            <w:gridSpan w:val="11"/>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B4C6D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损毁面积（hm</w:t>
            </w:r>
            <w:r>
              <w:rPr>
                <w:rFonts w:hint="eastAsia" w:ascii="宋体" w:hAnsi="宋体" w:eastAsia="宋体" w:cs="宋体"/>
                <w:i w:val="0"/>
                <w:iCs w:val="0"/>
                <w:color w:val="000000"/>
                <w:kern w:val="0"/>
                <w:sz w:val="21"/>
                <w:szCs w:val="21"/>
                <w:u w:val="none"/>
                <w:vertAlign w:val="superscript"/>
                <w:lang w:val="en-US" w:eastAsia="zh-CN" w:bidi="ar"/>
              </w:rPr>
              <w:t>2</w:t>
            </w:r>
            <w:r>
              <w:rPr>
                <w:rFonts w:hint="eastAsia" w:ascii="宋体" w:hAnsi="宋体" w:eastAsia="宋体" w:cs="宋体"/>
                <w:i w:val="0"/>
                <w:iCs w:val="0"/>
                <w:color w:val="000000"/>
                <w:kern w:val="0"/>
                <w:sz w:val="21"/>
                <w:szCs w:val="21"/>
                <w:u w:val="none"/>
                <w:lang w:val="en-US" w:eastAsia="zh-CN" w:bidi="ar"/>
              </w:rPr>
              <w:t>）</w:t>
            </w:r>
          </w:p>
        </w:tc>
        <w:tc>
          <w:tcPr>
            <w:tcW w:w="830"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6C1CBD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修复方向与面积（hm</w:t>
            </w:r>
            <w:r>
              <w:rPr>
                <w:rFonts w:hint="eastAsia" w:ascii="宋体" w:hAnsi="宋体" w:eastAsia="宋体" w:cs="宋体"/>
                <w:i w:val="0"/>
                <w:iCs w:val="0"/>
                <w:color w:val="000000"/>
                <w:kern w:val="0"/>
                <w:sz w:val="21"/>
                <w:szCs w:val="21"/>
                <w:u w:val="none"/>
                <w:vertAlign w:val="superscript"/>
                <w:lang w:val="en-US" w:eastAsia="zh-CN" w:bidi="ar"/>
              </w:rPr>
              <w:t>2</w:t>
            </w:r>
            <w:r>
              <w:rPr>
                <w:rFonts w:hint="eastAsia" w:ascii="宋体" w:hAnsi="宋体" w:eastAsia="宋体" w:cs="宋体"/>
                <w:i w:val="0"/>
                <w:iCs w:val="0"/>
                <w:color w:val="000000"/>
                <w:kern w:val="0"/>
                <w:sz w:val="21"/>
                <w:szCs w:val="21"/>
                <w:u w:val="none"/>
                <w:lang w:val="en-US" w:eastAsia="zh-CN" w:bidi="ar"/>
              </w:rPr>
              <w:t>）</w:t>
            </w:r>
          </w:p>
        </w:tc>
      </w:tr>
      <w:tr w14:paraId="40FB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99"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908993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C2147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0201</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0A48F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0301</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B5C8D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0305</w:t>
            </w:r>
          </w:p>
        </w:tc>
        <w:tc>
          <w:tcPr>
            <w:tcW w:w="266"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76829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0404</w:t>
            </w:r>
          </w:p>
        </w:tc>
        <w:tc>
          <w:tcPr>
            <w:tcW w:w="27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25F2F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05H1</w:t>
            </w:r>
          </w:p>
        </w:tc>
        <w:tc>
          <w:tcPr>
            <w:tcW w:w="25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FDB27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0602</w:t>
            </w:r>
          </w:p>
        </w:tc>
        <w:tc>
          <w:tcPr>
            <w:tcW w:w="288"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AF403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0702</w:t>
            </w:r>
          </w:p>
        </w:tc>
        <w:tc>
          <w:tcPr>
            <w:tcW w:w="275"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32B6A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1006</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6C22B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1104</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794AD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1107</w:t>
            </w:r>
          </w:p>
        </w:tc>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4C9000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总计</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54FD9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0301</w:t>
            </w:r>
          </w:p>
        </w:tc>
        <w:tc>
          <w:tcPr>
            <w:tcW w:w="253"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E6AD7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1104</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AA786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总计</w:t>
            </w:r>
          </w:p>
        </w:tc>
      </w:tr>
      <w:tr w14:paraId="6E77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83"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91B06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防治区</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56416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防治区</w:t>
            </w:r>
          </w:p>
        </w:tc>
        <w:tc>
          <w:tcPr>
            <w:tcW w:w="17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59D42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防治亚区</w:t>
            </w: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E73A2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范围名称</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665FEA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果园</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6A6CC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乔木林地</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EBF07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灌木林地</w:t>
            </w:r>
          </w:p>
        </w:tc>
        <w:tc>
          <w:tcPr>
            <w:tcW w:w="266"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28F93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其他草地</w:t>
            </w:r>
          </w:p>
        </w:tc>
        <w:tc>
          <w:tcPr>
            <w:tcW w:w="27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6DA44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商业服务业设施用地</w:t>
            </w:r>
          </w:p>
        </w:tc>
        <w:tc>
          <w:tcPr>
            <w:tcW w:w="25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1061D3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采矿用地</w:t>
            </w:r>
          </w:p>
        </w:tc>
        <w:tc>
          <w:tcPr>
            <w:tcW w:w="288"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1BC75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宅基地</w:t>
            </w:r>
          </w:p>
        </w:tc>
        <w:tc>
          <w:tcPr>
            <w:tcW w:w="275"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B96EB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农村道路</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A77FB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坑塘水面</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420A1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沟渠</w:t>
            </w:r>
          </w:p>
        </w:tc>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6592C2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8645D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乔木林地</w:t>
            </w:r>
          </w:p>
        </w:tc>
        <w:tc>
          <w:tcPr>
            <w:tcW w:w="253"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75C9B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坑塘水面</w:t>
            </w: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5FBC9B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r>
      <w:tr w14:paraId="4431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3BD95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重点防治区A</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79127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重点防治区A</w:t>
            </w: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CBBF8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A2</w:t>
            </w:r>
          </w:p>
          <w:p w14:paraId="2C31C6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A3</w:t>
            </w: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1C4E5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露天采场+50m标高平台以下区域</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C3F92B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3.2647</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E42F5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1.9055</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F721C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0.0278</w:t>
            </w:r>
          </w:p>
        </w:tc>
        <w:tc>
          <w:tcPr>
            <w:tcW w:w="266"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40899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3.3468</w:t>
            </w:r>
          </w:p>
        </w:tc>
        <w:tc>
          <w:tcPr>
            <w:tcW w:w="27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0F7E41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229F8E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8432D4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6DBB31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DE019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0.3044</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56947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0.0976</w:t>
            </w: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5F7A4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8.9467</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56AD0A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92ABB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8.9467</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620D0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8.9467</w:t>
            </w:r>
          </w:p>
        </w:tc>
      </w:tr>
      <w:tr w14:paraId="17A2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14081F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9BECB3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6EBA56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C2D06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露天采场+50m标高平台以上区域及历史采坑一部分区域</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E8AE9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0.1565</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B8C7E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0.7037</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2D20D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0.0587</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0EF8C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0.5027</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0D2DC1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4D9BE2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AA3BE7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D5F2C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0.0000</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2C8D0B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05C67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0.0025</w:t>
            </w: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C7121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1.4242</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043C9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1.4242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B894C9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A2EBBA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1.4242</w:t>
            </w:r>
          </w:p>
        </w:tc>
      </w:tr>
      <w:tr w14:paraId="5777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9B6272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3AD94A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DD03EE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8295C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排土场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72AFF4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6126CF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0.0306</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165BFD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ECFAA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0.0257</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5B4E9F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DED62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1.1197</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FB5018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837C8F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342FF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1.2876</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EAEB0B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95792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2.4635</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28AB9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2.4635</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4B827D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E317C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2.4635</w:t>
            </w:r>
          </w:p>
        </w:tc>
      </w:tr>
      <w:tr w14:paraId="11A6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83A00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次重点防治区</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16CCA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次重点防治区B</w:t>
            </w: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EC52D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B1</w:t>
            </w:r>
          </w:p>
          <w:p w14:paraId="38589D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B2</w:t>
            </w:r>
          </w:p>
          <w:p w14:paraId="0150CA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B3</w:t>
            </w:r>
          </w:p>
          <w:p w14:paraId="6D5A1C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B4</w:t>
            </w:r>
          </w:p>
          <w:p w14:paraId="72E727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B5</w:t>
            </w: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87252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复垦用土临时堆场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D21E0F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1B44D4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0.8520</w:t>
            </w:r>
          </w:p>
        </w:tc>
        <w:tc>
          <w:tcPr>
            <w:tcW w:w="23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9B04C8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7F08F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0.3575</w:t>
            </w:r>
          </w:p>
        </w:tc>
        <w:tc>
          <w:tcPr>
            <w:tcW w:w="27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BD12A0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09A13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0.2826</w:t>
            </w:r>
          </w:p>
        </w:tc>
        <w:tc>
          <w:tcPr>
            <w:tcW w:w="288"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22D95C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9C085F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DC29CD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409802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26835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1.4921</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3E77C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1.4921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6D037D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1F7F3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1.4921</w:t>
            </w:r>
          </w:p>
        </w:tc>
      </w:tr>
      <w:tr w14:paraId="30AD9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E1C201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B9EDD9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A83CD8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26830E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破碎站新增</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B78457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360226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8FD716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F59B8E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8AB4E1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642DC2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0.6052</w:t>
            </w:r>
          </w:p>
        </w:tc>
        <w:tc>
          <w:tcPr>
            <w:tcW w:w="288"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A8EB43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9A1078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F96029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DA6802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D525C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0.6052</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2B8D2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0.6052</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01E0BA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0183A7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0.6052</w:t>
            </w:r>
          </w:p>
        </w:tc>
      </w:tr>
      <w:tr w14:paraId="24113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77C6E55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98A5EF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41A4846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D0E2A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原破碎站及废石堆场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B974B5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0AAA81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F01762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E88111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691DA6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1C9043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E3F9EE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E08A96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EB9FC5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226B9D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9ABDD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D910E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1F5073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0D373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2.2880</w:t>
            </w:r>
          </w:p>
        </w:tc>
      </w:tr>
      <w:tr w14:paraId="4677A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38E5CCD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F0EDC8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29CE00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EBA3F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办公生活区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7F6194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4945D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0.0759</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CB3646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4C3A21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3A0B1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0.0390</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F05096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14FE2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0.2313</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9EE917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8A4002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277D600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1D9F76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0.3463</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9F05F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0.3463</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C02024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6D5D0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0.3463</w:t>
            </w:r>
          </w:p>
        </w:tc>
      </w:tr>
      <w:tr w14:paraId="3888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DAEBA0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FE631C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54CD62A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232F057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原综合服务区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1F3873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3705B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0.2351</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D48168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7290B0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BFF150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922A95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A4040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0.1360</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FAB368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8340E3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8ECED7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64C3B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0.3711</w:t>
            </w:r>
          </w:p>
        </w:tc>
        <w:tc>
          <w:tcPr>
            <w:tcW w:w="270" w:type="pct"/>
            <w:tcBorders>
              <w:top w:val="single" w:color="000000" w:sz="4" w:space="0"/>
              <w:left w:val="single" w:color="000000" w:sz="4" w:space="0"/>
              <w:bottom w:val="single" w:color="000000" w:sz="4" w:space="0"/>
              <w:right w:val="single" w:color="000000" w:sz="4" w:space="0"/>
            </w:tcBorders>
            <w:shd w:val="clear" w:color="auto" w:fill="auto"/>
            <w:tcMar>
              <w:top w:w="0" w:type="dxa"/>
              <w:left w:w="11" w:type="dxa"/>
              <w:bottom w:w="0" w:type="dxa"/>
              <w:right w:w="11" w:type="dxa"/>
            </w:tcMar>
            <w:vAlign w:val="center"/>
          </w:tcPr>
          <w:p w14:paraId="02FC801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0.3711</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6C64CB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875EC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0.3711</w:t>
            </w:r>
          </w:p>
        </w:tc>
      </w:tr>
      <w:tr w14:paraId="02F3E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9C5512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2ABB84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17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0CBEB7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5E78A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35C24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3.4211</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083F3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3.8028</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4C171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0.0864</w:t>
            </w: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237585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4.2327</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AF4AC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0.0390</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13F2CF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4.2954</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0AEBBC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0.3673</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4E69A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0.0000</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BD1E3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1.5920</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3E7B22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0.1002</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4F73AF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17.9371</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5E1DA1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8.9904</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77F089E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8.9467</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11" w:type="dxa"/>
              <w:bottom w:w="0" w:type="dxa"/>
              <w:right w:w="11" w:type="dxa"/>
            </w:tcMar>
            <w:vAlign w:val="center"/>
          </w:tcPr>
          <w:p w14:paraId="69501C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17.9371</w:t>
            </w:r>
          </w:p>
        </w:tc>
      </w:tr>
    </w:tbl>
    <w:p w14:paraId="4826B9C5">
      <w:pPr>
        <w:pStyle w:val="45"/>
        <w:ind w:left="0" w:leftChars="0" w:firstLine="0" w:firstLineChars="0"/>
        <w:rPr>
          <w:rFonts w:hint="default" w:ascii="Times New Roman" w:hAnsi="Times New Roman" w:cs="Times New Roman"/>
          <w:highlight w:val="yellow"/>
        </w:rPr>
        <w:sectPr>
          <w:pgSz w:w="16838" w:h="11906" w:orient="landscape"/>
          <w:pgMar w:top="1701" w:right="1701" w:bottom="1417" w:left="1417" w:header="1134" w:footer="992" w:gutter="0"/>
          <w:pgBorders>
            <w:top w:val="none" w:sz="0" w:space="0"/>
            <w:left w:val="none" w:sz="0" w:space="0"/>
            <w:bottom w:val="none" w:sz="0" w:space="0"/>
            <w:right w:val="none" w:sz="0" w:space="0"/>
          </w:pgBorders>
          <w:pgNumType w:fmt="decimal"/>
          <w:cols w:space="0" w:num="1"/>
          <w:rtlGutter w:val="0"/>
          <w:docGrid w:type="lines" w:linePitch="418" w:charSpace="0"/>
        </w:sectPr>
      </w:pPr>
    </w:p>
    <w:bookmarkEnd w:id="316"/>
    <w:bookmarkEnd w:id="317"/>
    <w:bookmarkEnd w:id="318"/>
    <w:bookmarkEnd w:id="319"/>
    <w:bookmarkEnd w:id="320"/>
    <w:p w14:paraId="54F5B238">
      <w:pPr>
        <w:pStyle w:val="6"/>
        <w:numPr>
          <w:ilvl w:val="0"/>
          <w:numId w:val="0"/>
        </w:numPr>
        <w:spacing w:before="131" w:after="131"/>
        <w:ind w:firstLine="0" w:firstLineChars="0"/>
        <w:rPr>
          <w:rFonts w:hint="eastAsia" w:ascii="宋体" w:hAnsi="宋体" w:eastAsia="宋体" w:cs="宋体"/>
          <w:b/>
          <w:bCs/>
          <w:lang w:val="en-US" w:eastAsia="zh-CN"/>
        </w:rPr>
      </w:pPr>
      <w:bookmarkStart w:id="321" w:name="_Toc509345121"/>
      <w:bookmarkStart w:id="322" w:name="_Toc502045807"/>
      <w:bookmarkStart w:id="323" w:name="_Toc502045033"/>
      <w:bookmarkStart w:id="324" w:name="_Toc514858672"/>
      <w:bookmarkStart w:id="325" w:name="_Toc19342_WPSOffice_Level1"/>
      <w:bookmarkStart w:id="326" w:name="_Toc509345017"/>
      <w:bookmarkStart w:id="327" w:name="_Toc502047645"/>
      <w:bookmarkStart w:id="328" w:name="_Toc20307_WPSOffice_Level1"/>
      <w:bookmarkStart w:id="329" w:name="_Toc30299_WPSOffice_Level1"/>
      <w:bookmarkStart w:id="330" w:name="_Toc502047849"/>
      <w:bookmarkStart w:id="331" w:name="_Toc502684787"/>
      <w:bookmarkStart w:id="332" w:name="_Toc509344833"/>
      <w:bookmarkStart w:id="333" w:name="_Toc510594074"/>
      <w:bookmarkStart w:id="334" w:name="_Toc502063948"/>
      <w:bookmarkStart w:id="335" w:name="_Toc46047451"/>
      <w:r>
        <w:rPr>
          <w:rFonts w:hint="eastAsia" w:ascii="宋体" w:hAnsi="宋体" w:eastAsia="宋体" w:cs="宋体"/>
          <w:b/>
          <w:bCs/>
          <w:sz w:val="28"/>
          <w:szCs w:val="28"/>
          <w:lang w:val="en-US" w:eastAsia="zh-CN" w:bidi="ar-SA"/>
        </w:rPr>
        <w:t>（二）</w:t>
      </w:r>
      <w:r>
        <w:rPr>
          <w:rFonts w:hint="eastAsia" w:ascii="宋体" w:hAnsi="宋体" w:eastAsia="宋体" w:cs="宋体"/>
          <w:b/>
          <w:bCs/>
          <w:lang w:val="en-US" w:eastAsia="zh-CN"/>
        </w:rPr>
        <w:t>复垦修复质量要求</w:t>
      </w:r>
    </w:p>
    <w:p w14:paraId="73B0E56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1、复垦工程标准通则</w:t>
      </w:r>
    </w:p>
    <w:p w14:paraId="6E86590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1)待复垦场地背景资料具备，包括工程地质、水文地质、土壤、植被、区域自然环境和简要社会环境等；待复垦场地原用途的设计、运行及闭坑设计资料复垦场利用方向设计论证资料等。</w:t>
      </w:r>
    </w:p>
    <w:p w14:paraId="2C525D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2)待复垦场地利用类型的选择；应与当地地形、地貌及环境相协调。</w:t>
      </w:r>
    </w:p>
    <w:p w14:paraId="1B6E048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3)待复垦场地及边坡稳定性可靠，原有工程设施(坝、堤、堪等)稳定(含地震情况下)。</w:t>
      </w:r>
    </w:p>
    <w:p w14:paraId="5898B10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4)用作复垦场的覆盖材料，不应含有有毒有害成分。如复垦场地含有毒有害成分时，应先处置去除，视其废弃物性质、场地条件、必要时设置隔离层后再进行覆盖。充分利用从废弃地收集的表土作为顶部覆盖层。</w:t>
      </w:r>
    </w:p>
    <w:p w14:paraId="59802C6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5)覆盖后的复垦场地规范、平整。覆盖层容重等满足复垦利用要求</w:t>
      </w:r>
    </w:p>
    <w:p w14:paraId="33AECE1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6)复垦场地有满足要求的排水设施，防洪标准符合当地要求。</w:t>
      </w:r>
    </w:p>
    <w:p w14:paraId="6F3F34B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7)复垦场地有控制水土流失的措施。</w:t>
      </w:r>
    </w:p>
    <w:p w14:paraId="5A9E0C2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8)复垦场地有控制污染措施，包括空气、地表水、地下水等。</w:t>
      </w:r>
    </w:p>
    <w:p w14:paraId="7CC7819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9)复垦场地道路、交通干线布置合理。</w:t>
      </w:r>
    </w:p>
    <w:p w14:paraId="20DB149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2、生态恢复用于林业</w:t>
      </w:r>
    </w:p>
    <w:p w14:paraId="2145650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1)复垦区位于城镇、居民区附近，宜种植经济林，也可依所在地配置相应的功能林。</w:t>
      </w:r>
    </w:p>
    <w:p w14:paraId="6EE8E1B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2)选择适宜树种，特别是乡土树种和抗逆性能好的树种，实行乔、灌、草混种。</w:t>
      </w:r>
    </w:p>
    <w:p w14:paraId="3D25A8E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3)两年后植树保存率85%以上。</w:t>
      </w:r>
    </w:p>
    <w:p w14:paraId="442EAF0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rPr>
      </w:pPr>
      <w:r>
        <w:rPr>
          <w:rFonts w:hint="eastAsia"/>
          <w:sz w:val="28"/>
          <w:szCs w:val="28"/>
          <w:highlight w:val="none"/>
          <w:lang w:val="en-US" w:eastAsia="zh-CN"/>
        </w:rPr>
        <w:t>4)两年后郁闭度达40%以上。</w:t>
      </w:r>
    </w:p>
    <w:p w14:paraId="33DD10E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lang w:val="en-US" w:eastAsia="zh-CN"/>
        </w:rPr>
      </w:pPr>
      <w:r>
        <w:rPr>
          <w:rFonts w:hint="eastAsia"/>
          <w:sz w:val="28"/>
          <w:szCs w:val="28"/>
          <w:highlight w:val="none"/>
          <w:lang w:val="en-US" w:eastAsia="zh-CN"/>
        </w:rPr>
        <w:t>3、生态恢复标准</w:t>
      </w:r>
    </w:p>
    <w:p w14:paraId="5DDB6F2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sz w:val="28"/>
          <w:szCs w:val="28"/>
          <w:highlight w:val="none"/>
        </w:rPr>
      </w:pPr>
      <w:r>
        <w:rPr>
          <w:rFonts w:hint="eastAsia"/>
          <w:sz w:val="28"/>
          <w:szCs w:val="28"/>
          <w:highlight w:val="none"/>
          <w:lang w:eastAsia="zh-CN"/>
        </w:rPr>
        <w:t>（</w:t>
      </w:r>
      <w:r>
        <w:rPr>
          <w:rFonts w:hint="eastAsia"/>
          <w:sz w:val="28"/>
          <w:szCs w:val="28"/>
          <w:highlight w:val="none"/>
          <w:lang w:val="en-US" w:eastAsia="zh-CN"/>
        </w:rPr>
        <w:t>1）</w:t>
      </w:r>
      <w:r>
        <w:rPr>
          <w:sz w:val="28"/>
          <w:szCs w:val="28"/>
          <w:highlight w:val="none"/>
        </w:rPr>
        <w:t>总体要求</w:t>
      </w:r>
    </w:p>
    <w:p w14:paraId="1D8F3C1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sz w:val="28"/>
          <w:szCs w:val="28"/>
          <w:highlight w:val="none"/>
        </w:rPr>
      </w:pPr>
      <w:r>
        <w:rPr>
          <w:sz w:val="28"/>
          <w:szCs w:val="28"/>
          <w:highlight w:val="none"/>
        </w:rPr>
        <w:t>土地复垦后质量应达到验收标准，涉及的复垦方向为</w:t>
      </w:r>
      <w:r>
        <w:rPr>
          <w:rFonts w:hint="eastAsia"/>
          <w:sz w:val="28"/>
          <w:szCs w:val="28"/>
          <w:highlight w:val="none"/>
          <w:lang w:val="en-US" w:eastAsia="zh-CN"/>
        </w:rPr>
        <w:t>林地和坑塘水面</w:t>
      </w:r>
      <w:r>
        <w:rPr>
          <w:sz w:val="28"/>
          <w:szCs w:val="28"/>
          <w:highlight w:val="none"/>
        </w:rPr>
        <w:t>。参考《土地复垦质量控制标准》</w:t>
      </w:r>
      <w:r>
        <w:rPr>
          <w:rFonts w:hint="eastAsia"/>
          <w:sz w:val="28"/>
          <w:szCs w:val="28"/>
          <w:highlight w:val="none"/>
        </w:rPr>
        <w:t>（</w:t>
      </w:r>
      <w:r>
        <w:rPr>
          <w:sz w:val="28"/>
          <w:szCs w:val="28"/>
          <w:highlight w:val="none"/>
        </w:rPr>
        <w:t>TD/T1036-2013</w:t>
      </w:r>
      <w:r>
        <w:rPr>
          <w:rFonts w:hint="eastAsia"/>
          <w:sz w:val="28"/>
          <w:szCs w:val="28"/>
          <w:highlight w:val="none"/>
        </w:rPr>
        <w:t>）</w:t>
      </w:r>
      <w:r>
        <w:rPr>
          <w:sz w:val="28"/>
          <w:szCs w:val="28"/>
          <w:highlight w:val="none"/>
        </w:rPr>
        <w:t>中对土地复垦质量的要求</w:t>
      </w:r>
      <w:r>
        <w:rPr>
          <w:rFonts w:hint="eastAsia"/>
          <w:sz w:val="28"/>
          <w:szCs w:val="28"/>
          <w:highlight w:val="none"/>
          <w:lang w:bidi="en-US"/>
        </w:rPr>
        <w:t>。</w:t>
      </w:r>
    </w:p>
    <w:p w14:paraId="1A094B8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sz w:val="28"/>
          <w:szCs w:val="28"/>
          <w:highlight w:val="none"/>
        </w:rPr>
      </w:pPr>
      <w:r>
        <w:rPr>
          <w:rFonts w:hint="eastAsia"/>
          <w:sz w:val="28"/>
          <w:szCs w:val="28"/>
          <w:highlight w:val="none"/>
          <w:lang w:eastAsia="zh-CN"/>
        </w:rPr>
        <w:t>（</w:t>
      </w:r>
      <w:r>
        <w:rPr>
          <w:rFonts w:hint="eastAsia"/>
          <w:sz w:val="28"/>
          <w:szCs w:val="28"/>
          <w:highlight w:val="none"/>
          <w:lang w:val="en-US" w:eastAsia="zh-CN"/>
        </w:rPr>
        <w:t>2）</w:t>
      </w:r>
      <w:r>
        <w:rPr>
          <w:sz w:val="28"/>
          <w:szCs w:val="28"/>
          <w:highlight w:val="none"/>
        </w:rPr>
        <w:t>土地复垦工程标准</w:t>
      </w:r>
    </w:p>
    <w:p w14:paraId="5607B80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color w:val="000000"/>
          <w:sz w:val="28"/>
          <w:szCs w:val="28"/>
        </w:rPr>
      </w:pPr>
      <w:r>
        <w:rPr>
          <w:color w:val="000000"/>
          <w:sz w:val="28"/>
          <w:szCs w:val="28"/>
        </w:rPr>
        <w:t>本矿区土地复垦方向为林地</w:t>
      </w:r>
      <w:r>
        <w:rPr>
          <w:rFonts w:hint="eastAsia"/>
          <w:color w:val="000000"/>
          <w:sz w:val="28"/>
          <w:szCs w:val="28"/>
        </w:rPr>
        <w:t>、</w:t>
      </w:r>
      <w:r>
        <w:rPr>
          <w:rFonts w:hint="eastAsia"/>
          <w:color w:val="000000"/>
          <w:sz w:val="28"/>
          <w:szCs w:val="28"/>
          <w:lang w:val="en-US" w:eastAsia="zh-CN"/>
        </w:rPr>
        <w:t>坑塘水面</w:t>
      </w:r>
      <w:r>
        <w:rPr>
          <w:color w:val="000000"/>
          <w:sz w:val="28"/>
          <w:szCs w:val="28"/>
        </w:rPr>
        <w:t>。根据《土地复垦质量控制标准》（TO/T1036-2013），土地复垦质量标准要符合</w:t>
      </w:r>
      <w:r>
        <w:rPr>
          <w:rFonts w:hint="eastAsia"/>
          <w:color w:val="000000"/>
          <w:sz w:val="28"/>
          <w:szCs w:val="28"/>
          <w:lang w:val="en-US" w:eastAsia="zh-CN"/>
        </w:rPr>
        <w:t>当地</w:t>
      </w:r>
      <w:r>
        <w:rPr>
          <w:color w:val="000000"/>
          <w:sz w:val="28"/>
          <w:szCs w:val="28"/>
        </w:rPr>
        <w:t>有林地及</w:t>
      </w:r>
      <w:r>
        <w:rPr>
          <w:rFonts w:hint="eastAsia"/>
          <w:color w:val="000000"/>
          <w:sz w:val="28"/>
          <w:szCs w:val="28"/>
          <w:lang w:val="en-US" w:eastAsia="zh-CN"/>
        </w:rPr>
        <w:t>用于人工水域和公园</w:t>
      </w:r>
      <w:r>
        <w:rPr>
          <w:color w:val="000000"/>
          <w:sz w:val="28"/>
          <w:szCs w:val="28"/>
        </w:rPr>
        <w:t>的土地复垦控制标准，其工程标准如下：</w:t>
      </w:r>
    </w:p>
    <w:p w14:paraId="52456B3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color w:val="000000"/>
          <w:sz w:val="28"/>
          <w:szCs w:val="28"/>
        </w:rPr>
      </w:pPr>
      <w:r>
        <w:rPr>
          <w:rFonts w:hint="eastAsia"/>
          <w:color w:val="000000"/>
          <w:sz w:val="28"/>
          <w:szCs w:val="28"/>
        </w:rPr>
        <w:t>①</w:t>
      </w:r>
      <w:r>
        <w:rPr>
          <w:rFonts w:hint="eastAsia"/>
          <w:color w:val="000000"/>
          <w:sz w:val="28"/>
          <w:szCs w:val="28"/>
          <w:lang w:val="en-US" w:eastAsia="zh-CN"/>
        </w:rPr>
        <w:t>有</w:t>
      </w:r>
      <w:r>
        <w:rPr>
          <w:color w:val="000000"/>
          <w:sz w:val="28"/>
          <w:szCs w:val="28"/>
        </w:rPr>
        <w:t>林地</w:t>
      </w:r>
    </w:p>
    <w:p w14:paraId="1C98C2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color w:val="000000"/>
          <w:sz w:val="28"/>
          <w:szCs w:val="28"/>
        </w:rPr>
      </w:pPr>
      <w:r>
        <w:rPr>
          <w:rFonts w:hint="eastAsia"/>
          <w:color w:val="000000"/>
          <w:sz w:val="28"/>
          <w:szCs w:val="28"/>
          <w:lang w:val="en-US" w:eastAsia="zh-CN"/>
        </w:rPr>
        <w:t>A、</w:t>
      </w:r>
      <w:r>
        <w:rPr>
          <w:color w:val="000000"/>
          <w:sz w:val="28"/>
          <w:szCs w:val="28"/>
        </w:rPr>
        <w:t>土壤质量：有效土层厚度≥</w:t>
      </w:r>
      <w:r>
        <w:rPr>
          <w:rFonts w:hint="eastAsia"/>
          <w:color w:val="000000"/>
          <w:sz w:val="28"/>
          <w:szCs w:val="28"/>
          <w:lang w:val="en-US" w:eastAsia="zh-CN"/>
        </w:rPr>
        <w:t>3</w:t>
      </w:r>
      <w:r>
        <w:rPr>
          <w:rFonts w:hint="eastAsia"/>
          <w:color w:val="000000"/>
          <w:sz w:val="28"/>
          <w:szCs w:val="28"/>
        </w:rPr>
        <w:t>0</w:t>
      </w:r>
      <w:r>
        <w:rPr>
          <w:color w:val="000000"/>
          <w:sz w:val="28"/>
          <w:szCs w:val="28"/>
        </w:rPr>
        <w:t>厘米；土壤容重≤1.5g/</w:t>
      </w:r>
      <w:r>
        <w:rPr>
          <w:rFonts w:hAnsi="宋体"/>
          <w:color w:val="000000"/>
          <w:spacing w:val="10"/>
          <w:sz w:val="28"/>
          <w:szCs w:val="28"/>
        </w:rPr>
        <w:t xml:space="preserve"> </w:t>
      </w:r>
      <w:r>
        <w:rPr>
          <w:color w:val="000000"/>
          <w:sz w:val="28"/>
          <w:szCs w:val="28"/>
        </w:rPr>
        <w:t>cm</w:t>
      </w:r>
      <w:r>
        <w:rPr>
          <w:color w:val="000000"/>
          <w:sz w:val="28"/>
          <w:szCs w:val="28"/>
          <w:vertAlign w:val="superscript"/>
        </w:rPr>
        <w:t>3</w:t>
      </w:r>
      <w:r>
        <w:rPr>
          <w:color w:val="000000"/>
          <w:sz w:val="28"/>
          <w:szCs w:val="28"/>
        </w:rPr>
        <w:t>，土壤质地为砂土壤</w:t>
      </w:r>
      <w:r>
        <w:rPr>
          <w:rFonts w:hint="eastAsia"/>
          <w:color w:val="000000"/>
          <w:sz w:val="28"/>
          <w:szCs w:val="28"/>
          <w:lang w:val="en-US" w:eastAsia="zh-CN"/>
        </w:rPr>
        <w:t>土</w:t>
      </w:r>
      <w:r>
        <w:rPr>
          <w:color w:val="000000"/>
          <w:sz w:val="28"/>
          <w:szCs w:val="28"/>
        </w:rPr>
        <w:t>至壤质粘土；砾石含量≤25%；pH值在5.0～8.0之间；有机质含量≥1%。</w:t>
      </w:r>
    </w:p>
    <w:p w14:paraId="3C3CD45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color w:val="000000"/>
          <w:sz w:val="28"/>
          <w:szCs w:val="28"/>
        </w:rPr>
      </w:pPr>
      <w:r>
        <w:rPr>
          <w:rFonts w:hint="eastAsia"/>
          <w:color w:val="000000"/>
          <w:sz w:val="28"/>
          <w:szCs w:val="28"/>
          <w:lang w:val="en-US" w:eastAsia="zh-CN"/>
        </w:rPr>
        <w:t>B、</w:t>
      </w:r>
      <w:r>
        <w:rPr>
          <w:color w:val="000000"/>
          <w:sz w:val="28"/>
          <w:szCs w:val="28"/>
        </w:rPr>
        <w:t>配套设施：设置的道路要达到本行业工程建设标准要求。</w:t>
      </w:r>
    </w:p>
    <w:p w14:paraId="48965DB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color w:val="000000"/>
          <w:sz w:val="28"/>
          <w:szCs w:val="28"/>
        </w:rPr>
      </w:pPr>
      <w:r>
        <w:rPr>
          <w:rFonts w:hint="eastAsia"/>
          <w:color w:val="000000"/>
          <w:sz w:val="28"/>
          <w:szCs w:val="28"/>
          <w:lang w:val="en-US" w:eastAsia="zh-CN"/>
        </w:rPr>
        <w:t>C、</w:t>
      </w:r>
      <w:r>
        <w:rPr>
          <w:color w:val="000000"/>
          <w:sz w:val="28"/>
          <w:szCs w:val="28"/>
        </w:rPr>
        <w:t>生产力水平：定植密度满足《造林作业设计规程》（LY/T1607）的要求，当年植树成活率85%以上，郁闭度≥0.35。</w:t>
      </w:r>
    </w:p>
    <w:p w14:paraId="21A9D50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color w:val="000000"/>
          <w:sz w:val="28"/>
          <w:szCs w:val="28"/>
        </w:rPr>
      </w:pPr>
      <w:r>
        <w:rPr>
          <w:rFonts w:hint="eastAsia"/>
          <w:color w:val="000000"/>
          <w:sz w:val="28"/>
          <w:szCs w:val="28"/>
          <w:lang w:val="en-US" w:eastAsia="zh-CN"/>
        </w:rPr>
        <w:t>D、</w:t>
      </w:r>
      <w:r>
        <w:rPr>
          <w:rFonts w:hint="eastAsia"/>
          <w:color w:val="000000"/>
          <w:sz w:val="28"/>
          <w:szCs w:val="28"/>
        </w:rPr>
        <w:t>生物标准：选择适宜树种，特别是乡土树种和抗逆性能好的树种，实行乔、草混种或灌、草混种。</w:t>
      </w:r>
    </w:p>
    <w:p w14:paraId="45FE83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color w:val="000000"/>
          <w:sz w:val="28"/>
          <w:szCs w:val="28"/>
          <w:lang w:val="en-US" w:eastAsia="zh-CN"/>
        </w:rPr>
      </w:pPr>
      <w:r>
        <w:rPr>
          <w:rFonts w:hint="eastAsia"/>
          <w:sz w:val="28"/>
          <w:szCs w:val="28"/>
          <w:highlight w:val="none"/>
          <w:lang w:val="en-US" w:eastAsia="zh-CN"/>
        </w:rPr>
        <w:t>②</w:t>
      </w:r>
      <w:r>
        <w:rPr>
          <w:rFonts w:hint="eastAsia"/>
          <w:color w:val="000000"/>
          <w:sz w:val="28"/>
          <w:szCs w:val="28"/>
          <w:lang w:val="en-US" w:eastAsia="zh-CN"/>
        </w:rPr>
        <w:t>用于人工水域和公园</w:t>
      </w:r>
    </w:p>
    <w:p w14:paraId="0E74741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sz w:val="28"/>
          <w:szCs w:val="28"/>
          <w:highlight w:val="none"/>
          <w:lang w:val="en-US"/>
        </w:rPr>
      </w:pPr>
      <w:r>
        <w:rPr>
          <w:rFonts w:hint="eastAsia"/>
          <w:sz w:val="28"/>
          <w:szCs w:val="28"/>
          <w:highlight w:val="none"/>
          <w:lang w:val="en-US" w:eastAsia="zh-CN"/>
        </w:rPr>
        <w:t>A.景观协调程度：面积宜大于2hm</w:t>
      </w:r>
      <w:r>
        <w:rPr>
          <w:rFonts w:hint="eastAsia"/>
          <w:sz w:val="28"/>
          <w:szCs w:val="28"/>
          <w:highlight w:val="none"/>
          <w:vertAlign w:val="superscript"/>
          <w:lang w:val="en-US" w:eastAsia="zh-CN"/>
        </w:rPr>
        <w:t>2</w:t>
      </w:r>
      <w:r>
        <w:rPr>
          <w:rFonts w:hint="eastAsia"/>
          <w:sz w:val="28"/>
          <w:szCs w:val="28"/>
          <w:highlight w:val="none"/>
          <w:lang w:val="en-US" w:eastAsia="zh-CN"/>
        </w:rPr>
        <w:t>，保持景观完整性与多样性。</w:t>
      </w:r>
    </w:p>
    <w:p w14:paraId="3BE22C1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eastAsia="宋体"/>
          <w:sz w:val="28"/>
          <w:szCs w:val="28"/>
          <w:highlight w:val="none"/>
          <w:lang w:eastAsia="zh-CN"/>
        </w:rPr>
      </w:pPr>
      <w:r>
        <w:rPr>
          <w:rFonts w:hint="eastAsia"/>
          <w:sz w:val="28"/>
          <w:szCs w:val="28"/>
          <w:highlight w:val="none"/>
          <w:lang w:val="en-US" w:eastAsia="zh-CN"/>
        </w:rPr>
        <w:t>B.水质：达到《地表水环境质量标准》（GB3838-2002）中ⅣⅤ类以上标准。</w:t>
      </w:r>
    </w:p>
    <w:p w14:paraId="598F8CC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rPr>
      </w:pPr>
      <w:r>
        <w:rPr>
          <w:rFonts w:hint="eastAsia"/>
          <w:sz w:val="28"/>
          <w:szCs w:val="28"/>
          <w:highlight w:val="none"/>
          <w:lang w:val="en-US" w:eastAsia="zh-CN"/>
        </w:rPr>
        <w:t>C.设施配套程度：有排水设施，防洪标准满足当地要求</w:t>
      </w:r>
      <w:r>
        <w:rPr>
          <w:rFonts w:hint="eastAsia"/>
          <w:sz w:val="28"/>
          <w:szCs w:val="28"/>
          <w:highlight w:val="none"/>
        </w:rPr>
        <w:t>。</w:t>
      </w:r>
    </w:p>
    <w:p w14:paraId="0D9A2B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sz w:val="28"/>
          <w:szCs w:val="28"/>
          <w:highlight w:val="none"/>
          <w:lang w:val="en-US" w:eastAsia="zh-CN" w:bidi="ar-SA"/>
        </w:rPr>
      </w:pPr>
      <w:r>
        <w:rPr>
          <w:rFonts w:hint="eastAsia" w:cs="Times New Roman"/>
          <w:sz w:val="28"/>
          <w:szCs w:val="28"/>
          <w:highlight w:val="none"/>
          <w:lang w:val="en-US" w:eastAsia="zh-CN" w:bidi="ar-SA"/>
        </w:rPr>
        <w:t>4</w:t>
      </w:r>
      <w:r>
        <w:rPr>
          <w:rFonts w:hint="eastAsia" w:ascii="Times New Roman" w:hAnsi="Times New Roman" w:eastAsia="宋体" w:cs="Times New Roman"/>
          <w:sz w:val="28"/>
          <w:szCs w:val="28"/>
          <w:highlight w:val="none"/>
          <w:lang w:val="en-US" w:eastAsia="zh-CN" w:bidi="ar-SA"/>
        </w:rPr>
        <w:t>、土地复垦防洪标准</w:t>
      </w:r>
    </w:p>
    <w:p w14:paraId="4EB234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outlineLvl w:val="9"/>
        <w:rPr>
          <w:rFonts w:hint="eastAsia"/>
          <w:sz w:val="28"/>
          <w:szCs w:val="28"/>
          <w:highlight w:val="none"/>
        </w:rPr>
      </w:pPr>
      <w:r>
        <w:rPr>
          <w:rFonts w:hint="eastAsia" w:ascii="Times New Roman" w:hAnsi="Times New Roman" w:eastAsia="宋体" w:cs="Times New Roman"/>
          <w:sz w:val="28"/>
          <w:szCs w:val="28"/>
          <w:highlight w:val="none"/>
          <w:lang w:val="en-US" w:eastAsia="zh-CN" w:bidi="ar-SA"/>
        </w:rPr>
        <w:t>排水设施满足场地要求，利用主体工程设计的截排洪沟，防洪标准采用10年一遇标准。</w:t>
      </w:r>
    </w:p>
    <w:p w14:paraId="3F8FF8D5">
      <w:r>
        <w:br w:type="page"/>
      </w:r>
    </w:p>
    <w:p w14:paraId="17298AE5">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336" w:name="_Toc11028"/>
      <w:r>
        <w:t>第</w:t>
      </w:r>
      <w:r>
        <w:rPr>
          <w:rFonts w:hint="eastAsia"/>
        </w:rPr>
        <w:t>四</w:t>
      </w:r>
      <w:r>
        <w:t>章</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hint="eastAsia"/>
        </w:rPr>
        <w:t xml:space="preserve"> </w:t>
      </w:r>
      <w:bookmarkEnd w:id="335"/>
      <w:r>
        <w:rPr>
          <w:rFonts w:hint="eastAsia"/>
          <w:lang w:val="en-US" w:eastAsia="zh-CN"/>
        </w:rPr>
        <w:t xml:space="preserve"> </w:t>
      </w:r>
      <w:r>
        <w:rPr>
          <w:rFonts w:hint="eastAsia"/>
        </w:rPr>
        <w:t>生态修复措施与工程内容</w:t>
      </w:r>
      <w:bookmarkEnd w:id="336"/>
    </w:p>
    <w:p w14:paraId="2FC2240C">
      <w:pPr>
        <w:pStyle w:val="5"/>
        <w:spacing w:before="263" w:after="263"/>
        <w:rPr>
          <w:rFonts w:hint="eastAsia" w:ascii="宋体" w:hAnsi="宋体" w:eastAsia="宋体" w:cs="宋体"/>
          <w:b/>
          <w:bCs w:val="0"/>
        </w:rPr>
      </w:pPr>
      <w:bookmarkStart w:id="337" w:name="_Toc29600"/>
      <w:r>
        <w:rPr>
          <w:rFonts w:hint="eastAsia" w:ascii="宋体" w:hAnsi="宋体" w:eastAsia="宋体" w:cs="宋体"/>
          <w:b/>
          <w:bCs w:val="0"/>
        </w:rPr>
        <w:t>一、保护与预防控制措施</w:t>
      </w:r>
      <w:bookmarkEnd w:id="337"/>
    </w:p>
    <w:p w14:paraId="45EDA452">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（一）敏感目标保护</w:t>
      </w:r>
    </w:p>
    <w:p w14:paraId="48C5AD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根据现状调查及收集资料，矿区范围及影响范围内无永久基本农田、水源地、天然草原、公益林、自然保护地、地质遗迹、生态保护红线、珍贵物种、古树名木、矿业遗迹及重要基础设施等敏感目标。</w:t>
      </w:r>
    </w:p>
    <w:p w14:paraId="62AF9DD7">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（二）表土剥离与植被移植利用</w:t>
      </w:r>
    </w:p>
    <w:p w14:paraId="06473B64">
      <w:pPr>
        <w:pStyle w:val="7"/>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sz w:val="28"/>
          <w:szCs w:val="28"/>
          <w:lang w:val="en-US" w:eastAsia="zh-CN"/>
        </w:rPr>
      </w:pPr>
      <w:r>
        <w:rPr>
          <w:rFonts w:hint="eastAsia"/>
          <w:sz w:val="28"/>
          <w:szCs w:val="28"/>
          <w:lang w:val="en-US" w:eastAsia="zh-CN"/>
        </w:rPr>
        <w:t>1.覆盖层特征</w:t>
      </w:r>
    </w:p>
    <w:p w14:paraId="05853C3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 w:val="28"/>
          <w:szCs w:val="28"/>
          <w:lang w:val="en-US" w:eastAsia="zh-CN"/>
        </w:rPr>
      </w:pPr>
      <w:r>
        <w:rPr>
          <w:rFonts w:hint="eastAsia"/>
          <w:sz w:val="28"/>
          <w:szCs w:val="28"/>
          <w:lang w:val="en-US" w:eastAsia="zh-CN"/>
        </w:rPr>
        <w:t>根据矿山储量核实报告，覆盖层主要为残坡积层，</w:t>
      </w:r>
      <w:r>
        <w:rPr>
          <w:rFonts w:hint="eastAsia"/>
          <w:sz w:val="28"/>
          <w:szCs w:val="28"/>
        </w:rPr>
        <w:t>残坡积层分布于地表，主要为粘土、粉质粘土，含少量砂砾和植物根茎，松散土状结构，工程物理力学性质较差，遇水易软化崩解，稳固性差。厚度</w:t>
      </w:r>
      <w:r>
        <w:rPr>
          <w:sz w:val="28"/>
          <w:szCs w:val="28"/>
        </w:rPr>
        <w:t>0.</w:t>
      </w:r>
      <w:r>
        <w:rPr>
          <w:rFonts w:hint="eastAsia"/>
          <w:sz w:val="28"/>
          <w:szCs w:val="28"/>
        </w:rPr>
        <w:t>2～2</w:t>
      </w:r>
      <w:r>
        <w:rPr>
          <w:sz w:val="28"/>
          <w:szCs w:val="28"/>
        </w:rPr>
        <w:t>.</w:t>
      </w:r>
      <w:r>
        <w:rPr>
          <w:rFonts w:hint="eastAsia"/>
          <w:sz w:val="28"/>
          <w:szCs w:val="28"/>
        </w:rPr>
        <w:t>5</w:t>
      </w:r>
      <w:r>
        <w:rPr>
          <w:sz w:val="28"/>
          <w:szCs w:val="28"/>
        </w:rPr>
        <w:t>m</w:t>
      </w:r>
      <w:r>
        <w:rPr>
          <w:rFonts w:hint="eastAsia"/>
          <w:sz w:val="28"/>
          <w:szCs w:val="28"/>
        </w:rPr>
        <w:t>，平均1.1m。该层作为矿山闭坑后复绿用土。</w:t>
      </w:r>
    </w:p>
    <w:p w14:paraId="52A90BF6">
      <w:pPr>
        <w:pStyle w:val="7"/>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sz w:val="28"/>
          <w:szCs w:val="28"/>
          <w:lang w:val="en-US" w:eastAsia="zh-CN"/>
        </w:rPr>
      </w:pPr>
      <w:r>
        <w:rPr>
          <w:rFonts w:hint="eastAsia"/>
          <w:sz w:val="28"/>
          <w:szCs w:val="28"/>
          <w:lang w:val="en-US" w:eastAsia="zh-CN"/>
        </w:rPr>
        <w:t xml:space="preserve">2.表土剥离 </w:t>
      </w:r>
    </w:p>
    <w:p w14:paraId="4E2D058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sz w:val="28"/>
          <w:szCs w:val="28"/>
          <w:vertAlign w:val="baseline"/>
          <w:lang w:val="en-US" w:eastAsia="zh-CN"/>
        </w:rPr>
      </w:pPr>
      <w:r>
        <w:rPr>
          <w:rFonts w:hint="eastAsia"/>
          <w:sz w:val="28"/>
          <w:szCs w:val="28"/>
          <w:lang w:val="en-US" w:eastAsia="zh-CN"/>
        </w:rPr>
        <w:t>目前露天采场内南部存在历史采坑，采坑内表土已剥离，后续表土剥离主要发生在露天采场其他区域。采矿过程中，随着顶部首采平台的形成，在向下分层开采的过程中逐步剥离表土。根据开采设计，表土剥离量为</w:t>
      </w:r>
      <w:r>
        <w:rPr>
          <w:sz w:val="28"/>
          <w:szCs w:val="28"/>
        </w:rPr>
        <w:t>8.</w:t>
      </w:r>
      <w:r>
        <w:rPr>
          <w:rFonts w:hint="eastAsia"/>
          <w:sz w:val="28"/>
          <w:szCs w:val="28"/>
        </w:rPr>
        <w:t>14</w:t>
      </w:r>
      <w:r>
        <w:rPr>
          <w:sz w:val="28"/>
          <w:szCs w:val="28"/>
        </w:rPr>
        <w:t>×10</w:t>
      </w:r>
      <w:r>
        <w:rPr>
          <w:sz w:val="28"/>
          <w:szCs w:val="28"/>
          <w:vertAlign w:val="superscript"/>
        </w:rPr>
        <w:t>4</w:t>
      </w:r>
      <w:r>
        <w:rPr>
          <w:sz w:val="28"/>
          <w:szCs w:val="28"/>
        </w:rPr>
        <w:t>m</w:t>
      </w:r>
      <w:r>
        <w:rPr>
          <w:sz w:val="28"/>
          <w:szCs w:val="28"/>
          <w:vertAlign w:val="superscript"/>
        </w:rPr>
        <w:t>3</w:t>
      </w:r>
      <w:r>
        <w:rPr>
          <w:rFonts w:hint="eastAsia"/>
          <w:sz w:val="28"/>
          <w:szCs w:val="28"/>
          <w:vertAlign w:val="baseline"/>
          <w:lang w:eastAsia="zh-CN"/>
        </w:rPr>
        <w:t>，</w:t>
      </w:r>
      <w:r>
        <w:rPr>
          <w:rFonts w:hint="eastAsia"/>
          <w:sz w:val="28"/>
          <w:szCs w:val="28"/>
        </w:rPr>
        <w:t>该层作为矿山闭坑后复绿用土。</w:t>
      </w:r>
    </w:p>
    <w:p w14:paraId="5D2005C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 w:val="28"/>
          <w:szCs w:val="28"/>
          <w:lang w:val="en-US" w:eastAsia="zh-CN"/>
        </w:rPr>
      </w:pPr>
      <w:r>
        <w:rPr>
          <w:rFonts w:hint="default"/>
          <w:sz w:val="28"/>
          <w:szCs w:val="28"/>
          <w:lang w:val="en-US" w:eastAsia="zh-CN"/>
        </w:rPr>
        <w:t>应根据剥离区场地状况和表土厚度确定剥离方式</w:t>
      </w:r>
      <w:r>
        <w:rPr>
          <w:rFonts w:hint="eastAsia"/>
          <w:sz w:val="28"/>
          <w:szCs w:val="28"/>
          <w:lang w:val="en-US" w:eastAsia="zh-CN"/>
        </w:rPr>
        <w:t>：</w:t>
      </w:r>
      <w:r>
        <w:rPr>
          <w:rFonts w:hint="default"/>
          <w:sz w:val="28"/>
          <w:szCs w:val="28"/>
          <w:lang w:val="en-US" w:eastAsia="zh-CN"/>
        </w:rPr>
        <w:t>剥离区地面起伏大、土层小于25cm且不适宜机械作业时</w:t>
      </w:r>
      <w:r>
        <w:rPr>
          <w:rFonts w:hint="eastAsia"/>
          <w:sz w:val="28"/>
          <w:szCs w:val="28"/>
          <w:lang w:val="en-US" w:eastAsia="zh-CN"/>
        </w:rPr>
        <w:t>，</w:t>
      </w:r>
      <w:r>
        <w:rPr>
          <w:rFonts w:hint="default"/>
          <w:sz w:val="28"/>
          <w:szCs w:val="28"/>
          <w:lang w:val="en-US" w:eastAsia="zh-CN"/>
        </w:rPr>
        <w:t>可人工剥离</w:t>
      </w:r>
      <w:r>
        <w:rPr>
          <w:rFonts w:hint="eastAsia"/>
          <w:sz w:val="28"/>
          <w:szCs w:val="28"/>
          <w:lang w:val="en-US" w:eastAsia="zh-CN"/>
        </w:rPr>
        <w:t>；</w:t>
      </w:r>
      <w:r>
        <w:rPr>
          <w:rFonts w:hint="default"/>
          <w:sz w:val="28"/>
          <w:szCs w:val="28"/>
          <w:lang w:val="en-US" w:eastAsia="zh-CN"/>
        </w:rPr>
        <w:t>当剥离区地面平整且表土可剥离厚度大于或等于25cm 时</w:t>
      </w:r>
      <w:r>
        <w:rPr>
          <w:rFonts w:hint="eastAsia"/>
          <w:sz w:val="28"/>
          <w:szCs w:val="28"/>
          <w:lang w:val="en-US" w:eastAsia="zh-CN"/>
        </w:rPr>
        <w:t>，</w:t>
      </w:r>
      <w:r>
        <w:rPr>
          <w:rFonts w:hint="default"/>
          <w:sz w:val="28"/>
          <w:szCs w:val="28"/>
          <w:lang w:val="en-US" w:eastAsia="zh-CN"/>
        </w:rPr>
        <w:t>选择对土壤压实少的机械进行剥离。表土剥离减少对土壤的侵蚀和结构破坏</w:t>
      </w:r>
      <w:r>
        <w:rPr>
          <w:rFonts w:hint="eastAsia"/>
          <w:sz w:val="28"/>
          <w:szCs w:val="28"/>
          <w:lang w:val="en-US" w:eastAsia="zh-CN"/>
        </w:rPr>
        <w:t>，</w:t>
      </w:r>
      <w:r>
        <w:rPr>
          <w:rFonts w:hint="default"/>
          <w:sz w:val="28"/>
          <w:szCs w:val="28"/>
          <w:lang w:val="en-US" w:eastAsia="zh-CN"/>
        </w:rPr>
        <w:t>避开作物收获或植被繁育时间或季节</w:t>
      </w:r>
      <w:r>
        <w:rPr>
          <w:rFonts w:hint="eastAsia"/>
          <w:sz w:val="28"/>
          <w:szCs w:val="28"/>
          <w:lang w:val="en-US" w:eastAsia="zh-CN"/>
        </w:rPr>
        <w:t>；</w:t>
      </w:r>
      <w:r>
        <w:rPr>
          <w:rFonts w:hint="default"/>
          <w:sz w:val="28"/>
          <w:szCs w:val="28"/>
          <w:lang w:val="en-US" w:eastAsia="zh-CN"/>
        </w:rPr>
        <w:t>剥离过程中发生降水时</w:t>
      </w:r>
      <w:r>
        <w:rPr>
          <w:rFonts w:hint="eastAsia"/>
          <w:sz w:val="28"/>
          <w:szCs w:val="28"/>
          <w:lang w:val="en-US" w:eastAsia="zh-CN"/>
        </w:rPr>
        <w:t>，</w:t>
      </w:r>
      <w:r>
        <w:rPr>
          <w:rFonts w:hint="default"/>
          <w:sz w:val="28"/>
          <w:szCs w:val="28"/>
          <w:lang w:val="en-US" w:eastAsia="zh-CN"/>
        </w:rPr>
        <w:t>停止剥离并采取防护措施</w:t>
      </w:r>
      <w:r>
        <w:rPr>
          <w:rFonts w:hint="eastAsia"/>
          <w:sz w:val="28"/>
          <w:szCs w:val="28"/>
          <w:lang w:val="en-US" w:eastAsia="zh-CN"/>
        </w:rPr>
        <w:t>；</w:t>
      </w:r>
      <w:r>
        <w:rPr>
          <w:rFonts w:hint="default"/>
          <w:sz w:val="28"/>
          <w:szCs w:val="28"/>
          <w:lang w:val="en-US" w:eastAsia="zh-CN"/>
        </w:rPr>
        <w:t>选择连续3d晴朗后的干燥天气后剥离表土</w:t>
      </w:r>
      <w:r>
        <w:rPr>
          <w:rFonts w:hint="eastAsia"/>
          <w:sz w:val="28"/>
          <w:szCs w:val="28"/>
          <w:lang w:val="en-US" w:eastAsia="zh-CN"/>
        </w:rPr>
        <w:t>，</w:t>
      </w:r>
      <w:r>
        <w:rPr>
          <w:rFonts w:hint="default"/>
          <w:sz w:val="28"/>
          <w:szCs w:val="28"/>
          <w:lang w:val="en-US" w:eastAsia="zh-CN"/>
        </w:rPr>
        <w:t>田间持水量在50%~80%或在表土可捏成团、土团落地能自然散碎时进行</w:t>
      </w:r>
      <w:r>
        <w:rPr>
          <w:rFonts w:hint="eastAsia"/>
          <w:sz w:val="28"/>
          <w:szCs w:val="28"/>
          <w:lang w:val="en-US" w:eastAsia="zh-CN"/>
        </w:rPr>
        <w:t>；</w:t>
      </w:r>
      <w:r>
        <w:rPr>
          <w:rFonts w:hint="default"/>
          <w:sz w:val="28"/>
          <w:szCs w:val="28"/>
          <w:lang w:val="en-US" w:eastAsia="zh-CN"/>
        </w:rPr>
        <w:t>及时清除降水过程中破坏的表土</w:t>
      </w:r>
      <w:r>
        <w:rPr>
          <w:rFonts w:hint="eastAsia"/>
          <w:sz w:val="28"/>
          <w:szCs w:val="28"/>
          <w:lang w:val="en-US" w:eastAsia="zh-CN"/>
        </w:rPr>
        <w:t>；</w:t>
      </w:r>
      <w:r>
        <w:rPr>
          <w:rFonts w:hint="default"/>
          <w:sz w:val="28"/>
          <w:szCs w:val="28"/>
          <w:lang w:val="en-US" w:eastAsia="zh-CN"/>
        </w:rPr>
        <w:t>避开植物繁育的高峰期</w:t>
      </w:r>
      <w:r>
        <w:rPr>
          <w:rFonts w:hint="eastAsia"/>
          <w:sz w:val="28"/>
          <w:szCs w:val="28"/>
          <w:lang w:val="en-US" w:eastAsia="zh-CN"/>
        </w:rPr>
        <w:t>，</w:t>
      </w:r>
      <w:r>
        <w:rPr>
          <w:rFonts w:hint="default"/>
          <w:sz w:val="28"/>
          <w:szCs w:val="28"/>
          <w:lang w:val="en-US" w:eastAsia="zh-CN"/>
        </w:rPr>
        <w:t>在植物结籽成熟后剥离</w:t>
      </w:r>
      <w:r>
        <w:rPr>
          <w:rFonts w:hint="eastAsia"/>
          <w:sz w:val="28"/>
          <w:szCs w:val="28"/>
          <w:lang w:val="en-US" w:eastAsia="zh-CN"/>
        </w:rPr>
        <w:t>。</w:t>
      </w:r>
    </w:p>
    <w:p w14:paraId="3BD72BBC">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sz w:val="28"/>
          <w:szCs w:val="28"/>
          <w:lang w:val="en-US" w:eastAsia="zh-CN"/>
        </w:rPr>
      </w:pPr>
      <w:r>
        <w:rPr>
          <w:rFonts w:hint="eastAsia"/>
          <w:sz w:val="28"/>
          <w:szCs w:val="28"/>
          <w:lang w:val="en-US" w:eastAsia="zh-CN"/>
        </w:rPr>
        <w:t>现场剥离技术要求：</w:t>
      </w:r>
    </w:p>
    <w:p w14:paraId="1AFB1B59">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eastAsia"/>
          <w:sz w:val="28"/>
          <w:szCs w:val="28"/>
          <w:lang w:val="en-US" w:eastAsia="zh-CN"/>
        </w:rPr>
      </w:pPr>
      <w:r>
        <w:rPr>
          <w:rFonts w:hint="default"/>
          <w:sz w:val="28"/>
          <w:szCs w:val="28"/>
          <w:lang w:val="en-US" w:eastAsia="zh-CN"/>
        </w:rPr>
        <w:t>剥离区道路尚未通达的地块</w:t>
      </w:r>
      <w:r>
        <w:rPr>
          <w:rFonts w:hint="eastAsia"/>
          <w:sz w:val="28"/>
          <w:szCs w:val="28"/>
          <w:lang w:val="en-US" w:eastAsia="zh-CN"/>
        </w:rPr>
        <w:t>，</w:t>
      </w:r>
      <w:r>
        <w:rPr>
          <w:rFonts w:hint="default"/>
          <w:sz w:val="28"/>
          <w:szCs w:val="28"/>
          <w:lang w:val="en-US" w:eastAsia="zh-CN"/>
        </w:rPr>
        <w:t>结合划分作业区修建临时施工便道</w:t>
      </w:r>
      <w:r>
        <w:rPr>
          <w:rFonts w:hint="eastAsia"/>
          <w:sz w:val="28"/>
          <w:szCs w:val="28"/>
          <w:lang w:val="en-US" w:eastAsia="zh-CN"/>
        </w:rPr>
        <w:t>，</w:t>
      </w:r>
      <w:r>
        <w:rPr>
          <w:rFonts w:hint="default"/>
          <w:sz w:val="28"/>
          <w:szCs w:val="28"/>
          <w:lang w:val="en-US" w:eastAsia="zh-CN"/>
        </w:rPr>
        <w:t>减少交通对表土的破坏</w:t>
      </w:r>
      <w:r>
        <w:rPr>
          <w:rFonts w:hint="eastAsia"/>
          <w:sz w:val="28"/>
          <w:szCs w:val="28"/>
          <w:lang w:val="en-US" w:eastAsia="zh-CN"/>
        </w:rPr>
        <w:t>；</w:t>
      </w:r>
    </w:p>
    <w:p w14:paraId="11CABD5F">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eastAsia"/>
          <w:sz w:val="28"/>
          <w:szCs w:val="28"/>
          <w:lang w:val="en-US" w:eastAsia="zh-CN"/>
        </w:rPr>
      </w:pPr>
      <w:r>
        <w:rPr>
          <w:rFonts w:hint="default"/>
          <w:sz w:val="28"/>
          <w:szCs w:val="28"/>
          <w:lang w:val="en-US" w:eastAsia="zh-CN"/>
        </w:rPr>
        <w:t>在单个作业区内逐条进行剥离</w:t>
      </w:r>
      <w:r>
        <w:rPr>
          <w:rFonts w:hint="eastAsia"/>
          <w:sz w:val="28"/>
          <w:szCs w:val="28"/>
          <w:lang w:val="en-US" w:eastAsia="zh-CN"/>
        </w:rPr>
        <w:t>，</w:t>
      </w:r>
      <w:r>
        <w:rPr>
          <w:rFonts w:hint="default"/>
          <w:sz w:val="28"/>
          <w:szCs w:val="28"/>
          <w:lang w:val="en-US" w:eastAsia="zh-CN"/>
        </w:rPr>
        <w:t>按照条带状从一个方向逐步向前剥离</w:t>
      </w:r>
      <w:r>
        <w:rPr>
          <w:rFonts w:hint="eastAsia"/>
          <w:sz w:val="28"/>
          <w:szCs w:val="28"/>
          <w:lang w:val="en-US" w:eastAsia="zh-CN"/>
        </w:rPr>
        <w:t>；</w:t>
      </w:r>
    </w:p>
    <w:p w14:paraId="38357FCD">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eastAsia"/>
          <w:sz w:val="28"/>
          <w:szCs w:val="28"/>
          <w:lang w:val="en-US" w:eastAsia="zh-CN"/>
        </w:rPr>
      </w:pPr>
      <w:r>
        <w:rPr>
          <w:rFonts w:hint="default"/>
          <w:sz w:val="28"/>
          <w:szCs w:val="28"/>
          <w:lang w:val="en-US" w:eastAsia="zh-CN"/>
        </w:rPr>
        <w:t>单个条带内有多个土层需要剥离时</w:t>
      </w:r>
      <w:r>
        <w:rPr>
          <w:rFonts w:hint="eastAsia"/>
          <w:sz w:val="28"/>
          <w:szCs w:val="28"/>
          <w:lang w:val="en-US" w:eastAsia="zh-CN"/>
        </w:rPr>
        <w:t>，</w:t>
      </w:r>
      <w:r>
        <w:rPr>
          <w:rFonts w:hint="default"/>
          <w:sz w:val="28"/>
          <w:szCs w:val="28"/>
          <w:lang w:val="en-US" w:eastAsia="zh-CN"/>
        </w:rPr>
        <w:t>分区、分层剥离</w:t>
      </w:r>
      <w:r>
        <w:rPr>
          <w:rFonts w:hint="eastAsia"/>
          <w:sz w:val="28"/>
          <w:szCs w:val="28"/>
          <w:lang w:val="en-US" w:eastAsia="zh-CN"/>
        </w:rPr>
        <w:t>；</w:t>
      </w:r>
      <w:r>
        <w:rPr>
          <w:rFonts w:hint="default"/>
          <w:sz w:val="28"/>
          <w:szCs w:val="28"/>
          <w:lang w:val="en-US" w:eastAsia="zh-CN"/>
        </w:rPr>
        <w:t>剥离前后的地面高程相协调</w:t>
      </w:r>
      <w:r>
        <w:rPr>
          <w:rFonts w:hint="eastAsia"/>
          <w:sz w:val="28"/>
          <w:szCs w:val="28"/>
          <w:lang w:val="en-US" w:eastAsia="zh-CN"/>
        </w:rPr>
        <w:t>；</w:t>
      </w:r>
    </w:p>
    <w:p w14:paraId="1C88B921">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eastAsia"/>
          <w:sz w:val="28"/>
          <w:szCs w:val="28"/>
          <w:lang w:val="en-US" w:eastAsia="zh-CN"/>
        </w:rPr>
      </w:pPr>
      <w:r>
        <w:rPr>
          <w:rFonts w:hint="default"/>
          <w:sz w:val="28"/>
          <w:szCs w:val="28"/>
          <w:lang w:val="en-US" w:eastAsia="zh-CN"/>
        </w:rPr>
        <w:t>当剥离区域有一定坡度时</w:t>
      </w:r>
      <w:r>
        <w:rPr>
          <w:rFonts w:hint="eastAsia"/>
          <w:sz w:val="28"/>
          <w:szCs w:val="28"/>
          <w:lang w:val="en-US" w:eastAsia="zh-CN"/>
        </w:rPr>
        <w:t>，</w:t>
      </w:r>
      <w:r>
        <w:rPr>
          <w:rFonts w:hint="default"/>
          <w:sz w:val="28"/>
          <w:szCs w:val="28"/>
          <w:lang w:val="en-US" w:eastAsia="zh-CN"/>
        </w:rPr>
        <w:t>剥离条带主轴与坡向一致</w:t>
      </w:r>
      <w:r>
        <w:rPr>
          <w:rFonts w:hint="eastAsia"/>
          <w:sz w:val="28"/>
          <w:szCs w:val="28"/>
          <w:lang w:val="en-US" w:eastAsia="zh-CN"/>
        </w:rPr>
        <w:t>，</w:t>
      </w:r>
      <w:r>
        <w:rPr>
          <w:rFonts w:hint="default"/>
          <w:sz w:val="28"/>
          <w:szCs w:val="28"/>
          <w:lang w:val="en-US" w:eastAsia="zh-CN"/>
        </w:rPr>
        <w:t>保持剥离前后地面高程相协调</w:t>
      </w:r>
      <w:r>
        <w:rPr>
          <w:rFonts w:hint="eastAsia"/>
          <w:sz w:val="28"/>
          <w:szCs w:val="28"/>
          <w:lang w:val="en-US" w:eastAsia="zh-CN"/>
        </w:rPr>
        <w:t>；</w:t>
      </w:r>
    </w:p>
    <w:p w14:paraId="05A04EF0">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default"/>
          <w:sz w:val="28"/>
          <w:szCs w:val="28"/>
          <w:lang w:val="en-US" w:eastAsia="zh-CN"/>
        </w:rPr>
      </w:pPr>
      <w:r>
        <w:rPr>
          <w:rFonts w:hint="default"/>
          <w:sz w:val="28"/>
          <w:szCs w:val="28"/>
          <w:lang w:val="en-US" w:eastAsia="zh-CN"/>
        </w:rPr>
        <w:t>剥离设备应减少对土壤的压实</w:t>
      </w:r>
      <w:r>
        <w:rPr>
          <w:rFonts w:hint="eastAsia"/>
          <w:sz w:val="28"/>
          <w:szCs w:val="28"/>
          <w:lang w:val="en-US" w:eastAsia="zh-CN"/>
        </w:rPr>
        <w:t>，</w:t>
      </w:r>
      <w:r>
        <w:rPr>
          <w:rFonts w:hint="default"/>
          <w:sz w:val="28"/>
          <w:szCs w:val="28"/>
          <w:lang w:val="en-US" w:eastAsia="zh-CN"/>
        </w:rPr>
        <w:t>运行于已经剥离表土的地面</w:t>
      </w:r>
      <w:r>
        <w:rPr>
          <w:rFonts w:hint="eastAsia"/>
          <w:sz w:val="28"/>
          <w:szCs w:val="28"/>
          <w:lang w:val="en-US" w:eastAsia="zh-CN"/>
        </w:rPr>
        <w:t>；</w:t>
      </w:r>
      <w:r>
        <w:rPr>
          <w:rFonts w:hint="default"/>
          <w:sz w:val="28"/>
          <w:szCs w:val="28"/>
          <w:lang w:val="en-US" w:eastAsia="zh-CN"/>
        </w:rPr>
        <w:t>运载车辆不应在尚未剥离的区域行驶</w:t>
      </w:r>
      <w:r>
        <w:rPr>
          <w:rFonts w:hint="eastAsia"/>
          <w:sz w:val="28"/>
          <w:szCs w:val="28"/>
          <w:lang w:val="en-US" w:eastAsia="zh-CN"/>
        </w:rPr>
        <w:t>；</w:t>
      </w:r>
    </w:p>
    <w:p w14:paraId="63009502">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default"/>
          <w:sz w:val="28"/>
          <w:szCs w:val="28"/>
          <w:lang w:val="en-US" w:eastAsia="zh-CN"/>
        </w:rPr>
      </w:pPr>
      <w:r>
        <w:rPr>
          <w:rFonts w:hint="default"/>
          <w:sz w:val="28"/>
          <w:szCs w:val="28"/>
          <w:lang w:val="en-US" w:eastAsia="zh-CN"/>
        </w:rPr>
        <w:t>剥离后的土壤不能及时转运时</w:t>
      </w:r>
      <w:r>
        <w:rPr>
          <w:rFonts w:hint="eastAsia"/>
          <w:sz w:val="28"/>
          <w:szCs w:val="28"/>
          <w:lang w:val="en-US" w:eastAsia="zh-CN"/>
        </w:rPr>
        <w:t>，</w:t>
      </w:r>
      <w:r>
        <w:rPr>
          <w:rFonts w:hint="default"/>
          <w:sz w:val="28"/>
          <w:szCs w:val="28"/>
          <w:lang w:val="en-US" w:eastAsia="zh-CN"/>
        </w:rPr>
        <w:t>选择排水良好的区域进行临时堆放</w:t>
      </w:r>
      <w:r>
        <w:rPr>
          <w:rFonts w:hint="eastAsia"/>
          <w:sz w:val="28"/>
          <w:szCs w:val="28"/>
          <w:lang w:val="en-US" w:eastAsia="zh-CN"/>
        </w:rPr>
        <w:t>，</w:t>
      </w:r>
      <w:r>
        <w:rPr>
          <w:rFonts w:hint="default"/>
          <w:sz w:val="28"/>
          <w:szCs w:val="28"/>
          <w:lang w:val="en-US" w:eastAsia="zh-CN"/>
        </w:rPr>
        <w:t>并对堆放区域的土体采取覆盖和开挖临时排水沟等保护措施</w:t>
      </w:r>
      <w:r>
        <w:rPr>
          <w:rFonts w:hint="eastAsia"/>
          <w:sz w:val="28"/>
          <w:szCs w:val="28"/>
          <w:lang w:val="en-US" w:eastAsia="zh-CN"/>
        </w:rPr>
        <w:t>；</w:t>
      </w:r>
    </w:p>
    <w:p w14:paraId="73BE660C">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560" w:firstLineChars="200"/>
        <w:textAlignment w:val="auto"/>
        <w:rPr>
          <w:rFonts w:hint="default"/>
          <w:sz w:val="28"/>
          <w:szCs w:val="28"/>
          <w:lang w:val="en-US" w:eastAsia="zh-CN"/>
        </w:rPr>
      </w:pPr>
      <w:r>
        <w:rPr>
          <w:rFonts w:hint="default"/>
          <w:sz w:val="28"/>
          <w:szCs w:val="28"/>
          <w:lang w:val="en-US" w:eastAsia="zh-CN"/>
        </w:rPr>
        <w:t>当剥离作业区域较大时</w:t>
      </w:r>
      <w:r>
        <w:rPr>
          <w:rFonts w:hint="eastAsia"/>
          <w:sz w:val="28"/>
          <w:szCs w:val="28"/>
          <w:lang w:val="en-US" w:eastAsia="zh-CN"/>
        </w:rPr>
        <w:t>，</w:t>
      </w:r>
      <w:r>
        <w:rPr>
          <w:rFonts w:hint="default"/>
          <w:sz w:val="28"/>
          <w:szCs w:val="28"/>
          <w:lang w:val="en-US" w:eastAsia="zh-CN"/>
        </w:rPr>
        <w:t>对剥离作业区和未剥离区域进行分区管理</w:t>
      </w:r>
      <w:r>
        <w:rPr>
          <w:rFonts w:hint="eastAsia"/>
          <w:sz w:val="28"/>
          <w:szCs w:val="28"/>
          <w:lang w:val="en-US" w:eastAsia="zh-CN"/>
        </w:rPr>
        <w:t>，</w:t>
      </w:r>
      <w:r>
        <w:rPr>
          <w:rFonts w:hint="default"/>
          <w:sz w:val="28"/>
          <w:szCs w:val="28"/>
          <w:lang w:val="en-US" w:eastAsia="zh-CN"/>
        </w:rPr>
        <w:t>避免剥离设备或作业人员破坏未剥离区域表土。</w:t>
      </w:r>
    </w:p>
    <w:p w14:paraId="7DA319CC">
      <w:pPr>
        <w:pStyle w:val="7"/>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sz w:val="28"/>
          <w:szCs w:val="28"/>
          <w:lang w:val="en-US" w:eastAsia="zh-CN"/>
        </w:rPr>
      </w:pPr>
      <w:r>
        <w:rPr>
          <w:rFonts w:hint="eastAsia"/>
          <w:sz w:val="28"/>
          <w:szCs w:val="28"/>
          <w:lang w:val="en-US" w:eastAsia="zh-CN"/>
        </w:rPr>
        <w:t>3.地表植被移植利用</w:t>
      </w:r>
    </w:p>
    <w:p w14:paraId="10347E8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 w:val="28"/>
          <w:szCs w:val="28"/>
          <w:lang w:val="en-US" w:eastAsia="zh-CN"/>
        </w:rPr>
      </w:pPr>
      <w:r>
        <w:rPr>
          <w:rFonts w:hint="eastAsia"/>
          <w:sz w:val="28"/>
          <w:szCs w:val="28"/>
          <w:lang w:val="en-US" w:eastAsia="zh-CN"/>
        </w:rPr>
        <w:t>植被可就近移植至林地稀疏地带，待终了平台形成后复垦，直接移植利用。</w:t>
      </w:r>
    </w:p>
    <w:p w14:paraId="75BE2F96">
      <w:pPr>
        <w:pStyle w:val="6"/>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宋体"/>
          <w:b/>
          <w:bCs/>
          <w:lang w:val="en-US" w:eastAsia="zh-CN"/>
        </w:rPr>
      </w:pPr>
      <w:r>
        <w:rPr>
          <w:rFonts w:hint="eastAsia" w:ascii="宋体" w:hAnsi="宋体" w:eastAsia="宋体" w:cs="宋体"/>
          <w:b/>
          <w:bCs/>
          <w:lang w:val="en-US" w:eastAsia="zh-CN"/>
        </w:rPr>
        <w:t>（三）相关协同措施</w:t>
      </w:r>
    </w:p>
    <w:p w14:paraId="51ED17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8"/>
          <w:szCs w:val="28"/>
          <w:highlight w:val="none"/>
        </w:rPr>
      </w:pPr>
      <w:r>
        <w:rPr>
          <w:rFonts w:hint="eastAsia"/>
          <w:sz w:val="28"/>
          <w:szCs w:val="28"/>
          <w:highlight w:val="none"/>
        </w:rPr>
        <w:t>按照“统一规划、源头控制、防复结合”的原则，结合项目特点、施工方式及工艺等，制定本矿区的预防控制措施：</w:t>
      </w:r>
    </w:p>
    <w:p w14:paraId="1A51D17C">
      <w:pPr>
        <w:pStyle w:val="7"/>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sz w:val="28"/>
          <w:szCs w:val="28"/>
        </w:rPr>
      </w:pPr>
      <w:r>
        <w:rPr>
          <w:rFonts w:hint="eastAsia"/>
          <w:sz w:val="28"/>
          <w:szCs w:val="28"/>
        </w:rPr>
        <w:t>1、</w:t>
      </w:r>
      <w:r>
        <w:rPr>
          <w:sz w:val="28"/>
          <w:szCs w:val="28"/>
        </w:rPr>
        <w:t>矿山地质环境保护措施</w:t>
      </w:r>
    </w:p>
    <w:p w14:paraId="4FDE45D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（1）地质地貌景观破坏的防治措施</w:t>
      </w:r>
    </w:p>
    <w:p w14:paraId="1D2ACB2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①矿山应按《生态修复方案》科学合理地依次进行矿山地质环境治理与土地复垦，严禁乱挖乱掘；</w:t>
      </w:r>
    </w:p>
    <w:p w14:paraId="0DC0AD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②刺丝围墙</w:t>
      </w:r>
      <w:r>
        <w:rPr>
          <w:rFonts w:hint="eastAsia"/>
          <w:sz w:val="28"/>
          <w:szCs w:val="28"/>
          <w:highlight w:val="none"/>
          <w:lang w:eastAsia="zh-CN"/>
        </w:rPr>
        <w:t>：</w:t>
      </w:r>
      <w:r>
        <w:rPr>
          <w:rFonts w:hint="eastAsia"/>
          <w:sz w:val="28"/>
          <w:szCs w:val="28"/>
          <w:highlight w:val="none"/>
          <w:lang w:val="en-US" w:eastAsia="zh-CN"/>
        </w:rPr>
        <w:t>矿山开采会形成凹陷式采坑，</w:t>
      </w:r>
      <w:r>
        <w:rPr>
          <w:rFonts w:hint="eastAsia"/>
          <w:sz w:val="28"/>
          <w:szCs w:val="28"/>
          <w:highlight w:val="none"/>
        </w:rPr>
        <w:t>容易造成</w:t>
      </w:r>
      <w:r>
        <w:rPr>
          <w:rFonts w:hint="eastAsia"/>
          <w:sz w:val="28"/>
          <w:szCs w:val="28"/>
          <w:highlight w:val="none"/>
          <w:lang w:val="en-US" w:eastAsia="zh-CN"/>
        </w:rPr>
        <w:t>安全</w:t>
      </w:r>
      <w:r>
        <w:rPr>
          <w:rFonts w:hint="eastAsia"/>
          <w:sz w:val="28"/>
          <w:szCs w:val="28"/>
          <w:highlight w:val="none"/>
        </w:rPr>
        <w:t>事故，为</w:t>
      </w:r>
      <w:r>
        <w:rPr>
          <w:rFonts w:hint="eastAsia"/>
          <w:sz w:val="28"/>
          <w:szCs w:val="28"/>
          <w:highlight w:val="none"/>
          <w:lang w:val="en-US" w:eastAsia="zh-CN"/>
        </w:rPr>
        <w:t>预防</w:t>
      </w:r>
      <w:r>
        <w:rPr>
          <w:rFonts w:hint="eastAsia"/>
          <w:sz w:val="28"/>
          <w:szCs w:val="28"/>
          <w:highlight w:val="none"/>
        </w:rPr>
        <w:t>安全隐患问题，</w:t>
      </w:r>
      <w:r>
        <w:rPr>
          <w:rFonts w:hint="eastAsia"/>
          <w:sz w:val="28"/>
          <w:szCs w:val="28"/>
          <w:highlight w:val="none"/>
          <w:lang w:val="en-US" w:eastAsia="zh-CN"/>
        </w:rPr>
        <w:t>对露天采坑四周进行围封</w:t>
      </w:r>
      <w:r>
        <w:rPr>
          <w:rFonts w:hint="eastAsia"/>
          <w:sz w:val="28"/>
          <w:szCs w:val="28"/>
          <w:highlight w:val="none"/>
        </w:rPr>
        <w:t>。</w:t>
      </w:r>
    </w:p>
    <w:p w14:paraId="64FE51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③截排水工程：利用矿山周边自然沟谷，在采矿场地外</w:t>
      </w:r>
      <w:r>
        <w:rPr>
          <w:rFonts w:hint="eastAsia"/>
          <w:sz w:val="28"/>
          <w:szCs w:val="28"/>
          <w:highlight w:val="none"/>
          <w:lang w:val="en-US" w:eastAsia="zh-CN"/>
        </w:rPr>
        <w:t>北部汇水地段</w:t>
      </w:r>
      <w:r>
        <w:rPr>
          <w:rFonts w:hint="eastAsia"/>
          <w:sz w:val="28"/>
          <w:szCs w:val="28"/>
          <w:highlight w:val="none"/>
        </w:rPr>
        <w:t>修筑截水沟，将降雨及地表径流直接排出矿区采场外，</w:t>
      </w:r>
      <w:r>
        <w:rPr>
          <w:rFonts w:hint="eastAsia"/>
          <w:sz w:val="28"/>
          <w:szCs w:val="28"/>
          <w:highlight w:val="none"/>
          <w:lang w:val="en-US" w:eastAsia="zh-CN"/>
        </w:rPr>
        <w:t>且</w:t>
      </w:r>
      <w:r>
        <w:rPr>
          <w:rFonts w:hint="eastAsia"/>
          <w:sz w:val="28"/>
          <w:szCs w:val="28"/>
          <w:highlight w:val="none"/>
        </w:rPr>
        <w:t>保障矿坑边坡稳定。</w:t>
      </w:r>
    </w:p>
    <w:p w14:paraId="0B8AE3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（2）含水层的保护措施</w:t>
      </w:r>
    </w:p>
    <w:p w14:paraId="2681A7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根据含水层影响评估结果，矿山开采对矿区及周边的含水层及地表水影响较轻；矿山生产过程中，应严格按设计对生产废水和生活污水集中收集，达标排放，避免矿区及周边含水层水质受到影响。主要保护措施有：</w:t>
      </w:r>
    </w:p>
    <w:p w14:paraId="1E082C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①在采矿场地外围</w:t>
      </w:r>
      <w:r>
        <w:rPr>
          <w:rFonts w:hint="eastAsia"/>
          <w:sz w:val="28"/>
          <w:szCs w:val="28"/>
          <w:highlight w:val="none"/>
          <w:lang w:val="en-US" w:eastAsia="zh-CN"/>
        </w:rPr>
        <w:t>汇水地段</w:t>
      </w:r>
      <w:r>
        <w:rPr>
          <w:rFonts w:hint="eastAsia"/>
          <w:sz w:val="28"/>
          <w:szCs w:val="28"/>
          <w:highlight w:val="none"/>
        </w:rPr>
        <w:t>修筑截水沟，防止矿坑外有毒有害废水进入造成矿坑污染；</w:t>
      </w:r>
    </w:p>
    <w:p w14:paraId="3AA52D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②加强对矿区及周边地表水及地下水动态的监测工作，防止污染物进入，造成局部地下水水位、水质发生剧烈变化。</w:t>
      </w:r>
    </w:p>
    <w:p w14:paraId="6DD426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（3）地形地貌景</w:t>
      </w:r>
      <w:r>
        <w:rPr>
          <w:rFonts w:hint="eastAsia"/>
          <w:sz w:val="28"/>
          <w:szCs w:val="28"/>
          <w:highlight w:val="none"/>
          <w:lang w:val="en-US" w:eastAsia="zh-CN"/>
        </w:rPr>
        <w:t>观</w:t>
      </w:r>
      <w:r>
        <w:rPr>
          <w:rFonts w:hint="eastAsia"/>
          <w:sz w:val="28"/>
          <w:szCs w:val="28"/>
          <w:highlight w:val="none"/>
        </w:rPr>
        <w:t>保护措施</w:t>
      </w:r>
    </w:p>
    <w:p w14:paraId="7EDF3C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①优化施工方案，尽量避免或减少破坏土地；</w:t>
      </w:r>
    </w:p>
    <w:p w14:paraId="5512E0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②合理堆放固体废弃物，综合利用废岩、废土，加大综合利用量，减少对地形地貌的破坏。</w:t>
      </w:r>
    </w:p>
    <w:p w14:paraId="504CF3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（4）水土环境污染预防措施</w:t>
      </w:r>
    </w:p>
    <w:p w14:paraId="3327DB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①对表土和适于植物生长的壤层均应进行保护性堆存和利用，可优先用作废弃地复垦时的土壤重构用土；</w:t>
      </w:r>
    </w:p>
    <w:p w14:paraId="1B1C02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②采取修筑排水沟，预先截堵矿山降水、生活污水，对生活污水排水沟要进行防渗漏处理，排水沟要设置沉沙池。防止或减少各种水源对场地的冲刷；</w:t>
      </w:r>
    </w:p>
    <w:p w14:paraId="2E33F6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③采用完善的防渗、集排水措施，防止淋溶水污染地表水和地下水。</w:t>
      </w:r>
    </w:p>
    <w:p w14:paraId="59AA2053">
      <w:pPr>
        <w:pStyle w:val="7"/>
        <w:keepNext w:val="0"/>
        <w:keepLines w:val="0"/>
        <w:pageBreakBefore w:val="0"/>
        <w:widowControl w:val="0"/>
        <w:kinsoku/>
        <w:wordWrap/>
        <w:overflowPunct/>
        <w:topLinePunct w:val="0"/>
        <w:autoSpaceDE/>
        <w:autoSpaceDN/>
        <w:bidi w:val="0"/>
        <w:adjustRightInd/>
        <w:snapToGrid/>
        <w:spacing w:line="240" w:lineRule="auto"/>
        <w:ind w:firstLine="562" w:firstLineChars="200"/>
        <w:jc w:val="left"/>
        <w:textAlignment w:val="auto"/>
        <w:rPr>
          <w:rFonts w:hint="eastAsia"/>
          <w:sz w:val="28"/>
          <w:szCs w:val="28"/>
        </w:rPr>
      </w:pPr>
      <w:r>
        <w:rPr>
          <w:rFonts w:hint="eastAsia"/>
          <w:sz w:val="28"/>
          <w:szCs w:val="28"/>
        </w:rPr>
        <w:t>2、矿山土地复垦预防控制措施</w:t>
      </w:r>
    </w:p>
    <w:p w14:paraId="6EA6F5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（1）预防控制原则</w:t>
      </w:r>
    </w:p>
    <w:p w14:paraId="162912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①土地复垦与</w:t>
      </w:r>
      <w:bookmarkStart w:id="338" w:name="_Hlk531783166"/>
      <w:r>
        <w:rPr>
          <w:rFonts w:hint="eastAsia"/>
          <w:sz w:val="28"/>
          <w:szCs w:val="28"/>
          <w:highlight w:val="none"/>
        </w:rPr>
        <w:t>恢复治理</w:t>
      </w:r>
      <w:bookmarkEnd w:id="338"/>
      <w:r>
        <w:rPr>
          <w:rFonts w:hint="eastAsia"/>
          <w:sz w:val="28"/>
          <w:szCs w:val="28"/>
          <w:highlight w:val="none"/>
        </w:rPr>
        <w:t>要统一规划。按照边治理、边复垦的原则将土地复垦方案纳入到恢复治理与保护计划中，土地复垦要与恢复治理施工同步进行，将恢复治理施工对当地的环境影响降到最低。</w:t>
      </w:r>
    </w:p>
    <w:p w14:paraId="40C6E8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②源头控制、防复结合的原则。找出损毁源，从源头寻求对策，有针对性的采取预防、控制措施，尽量减少或者避免对土地不必要的损毁。坚持预防为主、防治结合、节约用地的原则，使土地资源损毁面积和程度控制在最小范围和最低限度。</w:t>
      </w:r>
    </w:p>
    <w:p w14:paraId="29CFAC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③因地制宜，综合利用的原则。土地复垦要结合矿区所处的地理位置以及自然条件，按照土地利用总体规划，参照当地的社会经济条件，合理确定复垦土地的用途，宜农则农，宜林则林，使复垦后的土地得到综合、有效、合理的利用。</w:t>
      </w:r>
    </w:p>
    <w:p w14:paraId="1F2759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（2）预防控制措施</w:t>
      </w:r>
    </w:p>
    <w:p w14:paraId="4393EFD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预防控制措施执行“统一规划、源头控制、防复结合”的原则。在施工过程中，依据水土保持方案采取各种防护措施，如表层土剥离防护采取临时防护措施以减少水土流失，在施工结束后立即对损毁的土地进行整治，恢复土地利用功能。这些预防管理措施，对于减少恢复治理施工造成的土地损毁具有重要意义。主要的预防控制措施如下：</w:t>
      </w:r>
    </w:p>
    <w:p w14:paraId="1D6571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①施工区使用的沙石、水泥，应使用不透水的蛇皮布或其它雨布或钢板隔垫，防止沙石、水泥散落进入土壤从而影响复垦；</w:t>
      </w:r>
    </w:p>
    <w:p w14:paraId="57BAB7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②施工机械应维护良好、防止渗油，施工机械放置场地应采取隔垫措施防止渗油进入土壤从而污染土壤；</w:t>
      </w:r>
    </w:p>
    <w:p w14:paraId="31141F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8"/>
          <w:szCs w:val="28"/>
          <w:highlight w:val="none"/>
        </w:rPr>
      </w:pPr>
      <w:r>
        <w:rPr>
          <w:rFonts w:hint="eastAsia"/>
          <w:sz w:val="28"/>
          <w:szCs w:val="28"/>
          <w:highlight w:val="none"/>
        </w:rPr>
        <w:t>③场地施工时先确定施工场地的边界，施工时严格控制施工范围，保证在划定的边界范围内，进而减少施工过程中的临时占地，减少土地的扰动损毁。</w:t>
      </w:r>
    </w:p>
    <w:p w14:paraId="7D973D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sz w:val="28"/>
          <w:szCs w:val="28"/>
          <w:highlight w:val="none"/>
          <w:lang w:val="en-US" w:eastAsia="zh-CN"/>
        </w:rPr>
      </w:pPr>
      <w:r>
        <w:rPr>
          <w:rFonts w:hint="eastAsia"/>
          <w:sz w:val="28"/>
          <w:szCs w:val="28"/>
          <w:highlight w:val="none"/>
        </w:rPr>
        <w:t>④各区域施工期产生的建筑垃圾，要及时清运，堆放至指定的场所，并进行平整、碾压，补种适宜植被。</w:t>
      </w:r>
    </w:p>
    <w:p w14:paraId="24277A47">
      <w:pPr>
        <w:pStyle w:val="5"/>
        <w:spacing w:before="263" w:after="263"/>
        <w:rPr>
          <w:rFonts w:hint="eastAsia" w:ascii="宋体" w:hAnsi="宋体" w:eastAsia="宋体" w:cs="宋体"/>
          <w:b/>
          <w:bCs w:val="0"/>
        </w:rPr>
      </w:pPr>
      <w:bookmarkStart w:id="339" w:name="_Toc5038_WPSOffice_Level2"/>
      <w:bookmarkStart w:id="340" w:name="_Toc509344835"/>
      <w:bookmarkStart w:id="341" w:name="_Toc502045037"/>
      <w:bookmarkStart w:id="342" w:name="_Toc509345123"/>
      <w:bookmarkStart w:id="343" w:name="_Toc502684789"/>
      <w:bookmarkStart w:id="344" w:name="_Toc502045811"/>
      <w:bookmarkStart w:id="345" w:name="_Toc18482_WPSOffice_Level2"/>
      <w:bookmarkStart w:id="346" w:name="_Toc514858674"/>
      <w:bookmarkStart w:id="347" w:name="_Toc509345019"/>
      <w:bookmarkStart w:id="348" w:name="_Toc510594076"/>
      <w:bookmarkStart w:id="349" w:name="_Toc502063950"/>
      <w:bookmarkStart w:id="350" w:name="_Toc32133_WPSOffice_Level2"/>
      <w:bookmarkStart w:id="351" w:name="_Toc46047453"/>
      <w:bookmarkStart w:id="352" w:name="_Toc502047649"/>
      <w:bookmarkStart w:id="353" w:name="_Toc502047853"/>
      <w:bookmarkStart w:id="354" w:name="_Toc17781"/>
      <w:r>
        <w:rPr>
          <w:rFonts w:hint="eastAsia" w:ascii="宋体" w:hAnsi="宋体" w:eastAsia="宋体" w:cs="宋体"/>
          <w:b/>
          <w:bCs w:val="0"/>
        </w:rPr>
        <w:t>二、</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Fonts w:hint="eastAsia" w:ascii="宋体" w:hAnsi="宋体" w:eastAsia="宋体" w:cs="宋体"/>
          <w:b/>
          <w:bCs w:val="0"/>
        </w:rPr>
        <w:t>修复措施</w:t>
      </w:r>
      <w:bookmarkEnd w:id="354"/>
    </w:p>
    <w:p w14:paraId="198AB2CA">
      <w:pPr>
        <w:pStyle w:val="6"/>
        <w:spacing w:before="131" w:after="131"/>
        <w:rPr>
          <w:rFonts w:hint="eastAsia" w:ascii="宋体" w:hAnsi="宋体" w:eastAsia="宋体" w:cs="宋体"/>
          <w:b/>
          <w:bCs/>
          <w:lang w:val="en-US" w:eastAsia="zh-CN"/>
        </w:rPr>
      </w:pPr>
      <w:bookmarkStart w:id="355" w:name="_Toc502047854"/>
      <w:bookmarkStart w:id="356" w:name="_Toc502044860"/>
      <w:bookmarkStart w:id="357" w:name="_Toc502047650"/>
      <w:bookmarkStart w:id="358" w:name="_Toc502045038"/>
      <w:bookmarkStart w:id="359" w:name="_Toc502045812"/>
      <w:r>
        <w:rPr>
          <w:rFonts w:hint="eastAsia" w:ascii="宋体" w:hAnsi="宋体" w:eastAsia="宋体" w:cs="宋体"/>
          <w:b/>
          <w:bCs/>
          <w:lang w:val="en-US" w:eastAsia="zh-CN"/>
        </w:rPr>
        <w:t>（一）</w:t>
      </w:r>
      <w:bookmarkEnd w:id="355"/>
      <w:bookmarkEnd w:id="356"/>
      <w:bookmarkEnd w:id="357"/>
      <w:bookmarkEnd w:id="358"/>
      <w:bookmarkEnd w:id="359"/>
      <w:r>
        <w:rPr>
          <w:rFonts w:hint="eastAsia" w:ascii="宋体" w:hAnsi="宋体" w:eastAsia="宋体" w:cs="宋体"/>
          <w:b/>
          <w:bCs/>
          <w:lang w:val="en-US" w:eastAsia="zh-CN"/>
        </w:rPr>
        <w:t>地貌重塑</w:t>
      </w:r>
    </w:p>
    <w:p w14:paraId="0C17F968">
      <w:pPr>
        <w:spacing w:line="360" w:lineRule="auto"/>
        <w:rPr>
          <w:rFonts w:hint="eastAsia"/>
          <w:sz w:val="28"/>
          <w:szCs w:val="28"/>
          <w:highlight w:val="none"/>
        </w:rPr>
      </w:pPr>
      <w:bookmarkStart w:id="360" w:name="_Toc217374059"/>
      <w:bookmarkStart w:id="361" w:name="_Toc502045813"/>
      <w:bookmarkStart w:id="362" w:name="_Toc502045039"/>
      <w:bookmarkStart w:id="363" w:name="_Toc502047855"/>
      <w:bookmarkStart w:id="364" w:name="_Toc502047651"/>
      <w:bookmarkStart w:id="365" w:name="_Toc502044861"/>
      <w:r>
        <w:rPr>
          <w:rFonts w:hint="eastAsia"/>
          <w:sz w:val="28"/>
          <w:szCs w:val="28"/>
          <w:highlight w:val="none"/>
          <w:lang w:val="en-US" w:eastAsia="zh-CN"/>
        </w:rPr>
        <w:t>1、</w:t>
      </w:r>
      <w:r>
        <w:rPr>
          <w:rFonts w:hint="eastAsia"/>
          <w:sz w:val="28"/>
          <w:szCs w:val="28"/>
          <w:highlight w:val="none"/>
        </w:rPr>
        <w:t>目标任务</w:t>
      </w:r>
      <w:bookmarkEnd w:id="360"/>
    </w:p>
    <w:p w14:paraId="63D77920">
      <w:pPr>
        <w:spacing w:line="360" w:lineRule="auto"/>
        <w:rPr>
          <w:rFonts w:hint="eastAsia"/>
          <w:sz w:val="28"/>
          <w:szCs w:val="28"/>
          <w:highlight w:val="none"/>
        </w:rPr>
      </w:pPr>
      <w:r>
        <w:rPr>
          <w:rFonts w:hint="eastAsia"/>
          <w:sz w:val="28"/>
          <w:szCs w:val="28"/>
          <w:highlight w:val="none"/>
        </w:rPr>
        <w:t>矿区现状地质灾害不发育。</w:t>
      </w:r>
      <w:r>
        <w:rPr>
          <w:rFonts w:hint="eastAsia"/>
          <w:sz w:val="28"/>
          <w:szCs w:val="28"/>
          <w:highlight w:val="none"/>
          <w:lang w:val="en-US" w:eastAsia="zh-CN"/>
        </w:rPr>
        <w:t>但矿山开采会形成一定的边坡</w:t>
      </w:r>
      <w:r>
        <w:rPr>
          <w:rFonts w:hint="eastAsia"/>
          <w:sz w:val="28"/>
          <w:szCs w:val="28"/>
          <w:highlight w:val="none"/>
        </w:rPr>
        <w:t>，潜在发生小规模的崩塌/滑坡可能性。目标是消除矿山潜在地质灾害的危害性及危险性，最大限度减轻灾害对人民生命财产的危害性，保障施工人员和设备安全。</w:t>
      </w:r>
    </w:p>
    <w:p w14:paraId="5C4EB882">
      <w:pPr>
        <w:spacing w:line="360" w:lineRule="auto"/>
        <w:rPr>
          <w:rFonts w:hint="eastAsia"/>
          <w:sz w:val="28"/>
          <w:szCs w:val="28"/>
          <w:highlight w:val="none"/>
        </w:rPr>
      </w:pPr>
      <w:r>
        <w:rPr>
          <w:rFonts w:hint="eastAsia"/>
          <w:sz w:val="28"/>
          <w:szCs w:val="28"/>
          <w:highlight w:val="none"/>
        </w:rPr>
        <w:t>任务是对矿坑进行防治及监测；暴雨时加强对边坡的监测工作，发现崩塌/滑坡时，应及时停止施工并撤离，雨停后对崩塌/滑坡进行清除，必要时要进行的削坡减载等工作，以确保施工人员和设备安全。</w:t>
      </w:r>
    </w:p>
    <w:p w14:paraId="76540025">
      <w:pPr>
        <w:spacing w:line="360" w:lineRule="auto"/>
        <w:rPr>
          <w:rFonts w:hint="eastAsia"/>
          <w:sz w:val="28"/>
          <w:szCs w:val="28"/>
          <w:highlight w:val="none"/>
        </w:rPr>
      </w:pPr>
      <w:bookmarkStart w:id="366" w:name="_Toc217374060"/>
      <w:bookmarkStart w:id="367" w:name="_Toc497377710"/>
      <w:bookmarkStart w:id="368" w:name="_Toc530668218"/>
      <w:r>
        <w:rPr>
          <w:rFonts w:hint="eastAsia"/>
          <w:sz w:val="28"/>
          <w:szCs w:val="28"/>
          <w:highlight w:val="none"/>
          <w:lang w:val="en-US" w:eastAsia="zh-CN"/>
        </w:rPr>
        <w:t>2、</w:t>
      </w:r>
      <w:r>
        <w:rPr>
          <w:rFonts w:hint="eastAsia"/>
          <w:sz w:val="28"/>
          <w:szCs w:val="28"/>
          <w:highlight w:val="none"/>
        </w:rPr>
        <w:t>技术措施</w:t>
      </w:r>
      <w:bookmarkEnd w:id="366"/>
      <w:bookmarkEnd w:id="367"/>
      <w:bookmarkEnd w:id="368"/>
    </w:p>
    <w:p w14:paraId="4FB75944">
      <w:pPr>
        <w:spacing w:line="360" w:lineRule="auto"/>
        <w:rPr>
          <w:rFonts w:hint="eastAsia"/>
          <w:sz w:val="28"/>
          <w:szCs w:val="28"/>
          <w:highlight w:val="none"/>
        </w:rPr>
      </w:pPr>
      <w:r>
        <w:rPr>
          <w:rFonts w:hint="eastAsia"/>
          <w:sz w:val="28"/>
          <w:szCs w:val="28"/>
          <w:highlight w:val="none"/>
        </w:rPr>
        <w:t>技术措施包括工程措施、生物措施和监测措施。</w:t>
      </w:r>
      <w:r>
        <w:rPr>
          <w:rFonts w:hint="eastAsia"/>
          <w:sz w:val="28"/>
          <w:szCs w:val="28"/>
          <w:highlight w:val="none"/>
          <w:lang w:val="en-US" w:eastAsia="zh-CN"/>
        </w:rPr>
        <w:t>在露天采场北部汇水地段修筑截排水沟</w:t>
      </w:r>
      <w:r>
        <w:rPr>
          <w:rFonts w:hint="eastAsia"/>
          <w:sz w:val="28"/>
          <w:szCs w:val="28"/>
          <w:highlight w:val="none"/>
        </w:rPr>
        <w:t>对露天</w:t>
      </w:r>
      <w:r>
        <w:rPr>
          <w:rFonts w:hint="eastAsia"/>
          <w:sz w:val="28"/>
          <w:szCs w:val="28"/>
          <w:highlight w:val="none"/>
          <w:lang w:val="en-US" w:eastAsia="zh-CN"/>
        </w:rPr>
        <w:t>边坡及</w:t>
      </w:r>
      <w:r>
        <w:rPr>
          <w:rFonts w:hint="eastAsia"/>
          <w:sz w:val="28"/>
          <w:szCs w:val="28"/>
          <w:highlight w:val="none"/>
        </w:rPr>
        <w:t>采场</w:t>
      </w:r>
      <w:r>
        <w:rPr>
          <w:rFonts w:hint="eastAsia"/>
          <w:sz w:val="28"/>
          <w:szCs w:val="28"/>
          <w:highlight w:val="none"/>
          <w:lang w:val="en-US" w:eastAsia="zh-CN"/>
        </w:rPr>
        <w:t>平台进行防护。矿山达到服务年限后构筑物拆除、场地平整</w:t>
      </w:r>
      <w:r>
        <w:rPr>
          <w:rFonts w:hint="eastAsia"/>
          <w:sz w:val="28"/>
          <w:szCs w:val="28"/>
          <w:highlight w:val="none"/>
        </w:rPr>
        <w:t>。</w:t>
      </w:r>
    </w:p>
    <w:p w14:paraId="2E64ABB9">
      <w:pPr>
        <w:pStyle w:val="7"/>
        <w:bidi w:val="0"/>
        <w:spacing w:line="360" w:lineRule="auto"/>
        <w:ind w:firstLine="560" w:firstLineChars="200"/>
        <w:rPr>
          <w:rFonts w:hint="eastAsia"/>
          <w:b w:val="0"/>
          <w:bCs/>
          <w:sz w:val="28"/>
          <w:szCs w:val="28"/>
          <w:lang w:val="en-US" w:eastAsia="zh-CN"/>
        </w:rPr>
      </w:pPr>
      <w:r>
        <w:rPr>
          <w:rFonts w:hint="eastAsia"/>
          <w:b w:val="0"/>
          <w:bCs/>
          <w:sz w:val="28"/>
          <w:szCs w:val="28"/>
          <w:lang w:val="en-US" w:eastAsia="zh-CN"/>
        </w:rPr>
        <w:t>（1）截排水工程</w:t>
      </w:r>
    </w:p>
    <w:p w14:paraId="2B08E49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lang w:val="en-US" w:eastAsia="zh-CN"/>
        </w:rPr>
      </w:pPr>
      <w:r>
        <w:rPr>
          <w:sz w:val="28"/>
          <w:szCs w:val="28"/>
        </w:rPr>
        <w:t>在露天采场</w:t>
      </w:r>
      <w:r>
        <w:rPr>
          <w:rFonts w:hint="eastAsia"/>
          <w:sz w:val="28"/>
          <w:szCs w:val="28"/>
          <w:lang w:val="en-US" w:eastAsia="zh-CN"/>
        </w:rPr>
        <w:t>北部</w:t>
      </w:r>
      <w:r>
        <w:rPr>
          <w:sz w:val="28"/>
          <w:szCs w:val="28"/>
        </w:rPr>
        <w:t>修筑截排水沟，主要是暴雨期间</w:t>
      </w:r>
      <w:r>
        <w:rPr>
          <w:rFonts w:hint="eastAsia" w:ascii="宋体" w:hAnsi="宋体" w:cs="宋体"/>
          <w:kern w:val="0"/>
          <w:sz w:val="28"/>
          <w:szCs w:val="28"/>
        </w:rPr>
        <w:t>截留场外汇水，并最终汇流至矿区外围设置的1</w:t>
      </w:r>
      <w:r>
        <w:rPr>
          <w:rFonts w:ascii="宋体" w:hAnsi="宋体" w:cs="宋体"/>
          <w:kern w:val="0"/>
          <w:sz w:val="28"/>
          <w:szCs w:val="28"/>
        </w:rPr>
        <w:t>#</w:t>
      </w:r>
      <w:r>
        <w:rPr>
          <w:rFonts w:hint="eastAsia" w:ascii="宋体" w:hAnsi="宋体" w:cs="宋体"/>
          <w:kern w:val="0"/>
          <w:sz w:val="28"/>
          <w:szCs w:val="28"/>
        </w:rPr>
        <w:t>沉砂池内，经过沉淀处理并达到排放标准后方进行外排。</w:t>
      </w:r>
      <w:r>
        <w:rPr>
          <w:rFonts w:hint="eastAsia" w:ascii="宋体" w:hAnsi="宋体" w:cs="宋体"/>
          <w:kern w:val="0"/>
          <w:sz w:val="28"/>
          <w:szCs w:val="28"/>
          <w:lang w:val="en-US" w:eastAsia="zh-CN"/>
        </w:rPr>
        <w:t>截排水沟与矿区外围现有水渠贯通，</w:t>
      </w:r>
      <w:r>
        <w:rPr>
          <w:rFonts w:hint="eastAsia"/>
          <w:sz w:val="28"/>
          <w:szCs w:val="28"/>
          <w:lang w:val="en-US" w:eastAsia="zh-CN"/>
        </w:rPr>
        <w:t>将场外汇水排出。</w:t>
      </w:r>
    </w:p>
    <w:p w14:paraId="6FBD9709">
      <w:pPr>
        <w:pStyle w:val="7"/>
        <w:bidi w:val="0"/>
        <w:spacing w:line="360" w:lineRule="auto"/>
        <w:ind w:firstLine="560" w:firstLineChars="200"/>
        <w:rPr>
          <w:rFonts w:hint="default"/>
          <w:b w:val="0"/>
          <w:bCs/>
          <w:sz w:val="28"/>
          <w:szCs w:val="28"/>
          <w:lang w:val="en-US" w:eastAsia="zh-CN"/>
        </w:rPr>
      </w:pPr>
      <w:r>
        <w:rPr>
          <w:rFonts w:hint="eastAsia"/>
          <w:b w:val="0"/>
          <w:bCs/>
          <w:sz w:val="28"/>
          <w:szCs w:val="28"/>
          <w:lang w:val="en-US" w:eastAsia="zh-CN"/>
        </w:rPr>
        <w:t>（2）清除工程</w:t>
      </w:r>
    </w:p>
    <w:p w14:paraId="7C28E3B3">
      <w:pPr>
        <w:spacing w:line="360" w:lineRule="auto"/>
        <w:rPr>
          <w:rFonts w:hint="default"/>
          <w:sz w:val="28"/>
          <w:szCs w:val="28"/>
          <w:lang w:val="en-US" w:eastAsia="zh-CN"/>
        </w:rPr>
      </w:pPr>
      <w:r>
        <w:rPr>
          <w:rFonts w:hint="eastAsia"/>
          <w:sz w:val="28"/>
          <w:szCs w:val="28"/>
          <w:lang w:val="en-US" w:eastAsia="zh-CN"/>
        </w:rPr>
        <w:t>矿山生产达到服务年限后，将破碎站设备及构筑物拆除，破除硬化地面，清理外运建筑垃圾。</w:t>
      </w:r>
    </w:p>
    <w:p w14:paraId="1F945695">
      <w:pPr>
        <w:pStyle w:val="7"/>
        <w:bidi w:val="0"/>
        <w:spacing w:line="360" w:lineRule="auto"/>
        <w:ind w:firstLine="560" w:firstLineChars="200"/>
        <w:rPr>
          <w:rFonts w:hint="eastAsia"/>
          <w:b w:val="0"/>
          <w:bCs/>
          <w:sz w:val="28"/>
          <w:szCs w:val="28"/>
          <w:lang w:val="en-US" w:eastAsia="zh-CN"/>
        </w:rPr>
      </w:pPr>
      <w:r>
        <w:rPr>
          <w:rFonts w:hint="eastAsia"/>
          <w:b w:val="0"/>
          <w:bCs/>
          <w:sz w:val="28"/>
          <w:szCs w:val="28"/>
          <w:lang w:val="en-US" w:eastAsia="zh-CN"/>
        </w:rPr>
        <w:t>（3）场地平整</w:t>
      </w:r>
    </w:p>
    <w:p w14:paraId="1014B450">
      <w:pPr>
        <w:spacing w:line="360" w:lineRule="auto"/>
        <w:rPr>
          <w:sz w:val="28"/>
          <w:szCs w:val="28"/>
          <w:highlight w:val="none"/>
        </w:rPr>
      </w:pPr>
      <w:r>
        <w:rPr>
          <w:rFonts w:hint="eastAsia"/>
          <w:sz w:val="28"/>
          <w:szCs w:val="28"/>
          <w:lang w:val="en-US" w:eastAsia="zh-CN"/>
        </w:rPr>
        <w:t>包含矿山露天采场的平台平整，复垦用土临时堆场待复垦用土拉运完成后平整，破碎站场地进行地面平整，</w:t>
      </w:r>
      <w:r>
        <w:rPr>
          <w:sz w:val="28"/>
          <w:szCs w:val="28"/>
          <w:highlight w:val="none"/>
        </w:rPr>
        <w:t>平整时应考虑原有的地形地貌，有利于地表水自然径流。</w:t>
      </w:r>
    </w:p>
    <w:p w14:paraId="4A112308">
      <w:pPr>
        <w:pStyle w:val="7"/>
        <w:bidi w:val="0"/>
        <w:spacing w:line="360" w:lineRule="auto"/>
        <w:ind w:firstLine="560" w:firstLineChars="200"/>
        <w:rPr>
          <w:rFonts w:hint="eastAsia"/>
          <w:b w:val="0"/>
          <w:bCs/>
          <w:sz w:val="28"/>
          <w:szCs w:val="28"/>
          <w:lang w:val="en-US" w:eastAsia="zh-CN"/>
        </w:rPr>
      </w:pPr>
      <w:r>
        <w:rPr>
          <w:rFonts w:hint="eastAsia"/>
          <w:b w:val="0"/>
          <w:bCs/>
          <w:sz w:val="28"/>
          <w:szCs w:val="28"/>
          <w:lang w:val="en-US" w:eastAsia="zh-CN"/>
        </w:rPr>
        <w:t>（4）防护栏及警示牌</w:t>
      </w:r>
    </w:p>
    <w:p w14:paraId="4BF424F9">
      <w:pPr>
        <w:bidi w:val="0"/>
        <w:spacing w:line="360" w:lineRule="auto"/>
        <w:ind w:firstLine="560" w:firstLineChars="200"/>
        <w:outlineLvl w:val="9"/>
        <w:rPr>
          <w:rFonts w:hint="eastAsia"/>
          <w:b w:val="0"/>
          <w:bCs/>
          <w:sz w:val="28"/>
          <w:szCs w:val="28"/>
          <w:lang w:val="en-US" w:eastAsia="zh-CN"/>
        </w:rPr>
      </w:pPr>
      <w:r>
        <w:rPr>
          <w:rFonts w:hint="eastAsia"/>
          <w:b w:val="0"/>
          <w:bCs/>
          <w:sz w:val="28"/>
          <w:szCs w:val="28"/>
          <w:lang w:val="en-US" w:eastAsia="zh-CN"/>
        </w:rPr>
        <w:t>在采场周围采用刺死围墙和警示标牌进行防护，防止无关人员及牲口进入或跌入矿坑。</w:t>
      </w:r>
    </w:p>
    <w:p w14:paraId="45E48CBD">
      <w:pPr>
        <w:pStyle w:val="7"/>
        <w:bidi w:val="0"/>
        <w:spacing w:line="360" w:lineRule="auto"/>
        <w:ind w:firstLine="560" w:firstLineChars="200"/>
        <w:rPr>
          <w:rFonts w:hint="eastAsia"/>
          <w:b w:val="0"/>
          <w:bCs/>
          <w:sz w:val="28"/>
          <w:szCs w:val="28"/>
          <w:lang w:val="en-US" w:eastAsia="zh-CN"/>
        </w:rPr>
      </w:pPr>
      <w:r>
        <w:rPr>
          <w:rFonts w:hint="eastAsia"/>
          <w:b w:val="0"/>
          <w:bCs/>
          <w:sz w:val="28"/>
          <w:szCs w:val="28"/>
          <w:lang w:val="en-US" w:eastAsia="zh-CN"/>
        </w:rPr>
        <w:t>（5）复垦用土临时堆场坡脚防护工程</w:t>
      </w:r>
    </w:p>
    <w:p w14:paraId="70EE4EBD">
      <w:pPr>
        <w:numPr>
          <w:ilvl w:val="0"/>
          <w:numId w:val="0"/>
        </w:numPr>
        <w:bidi w:val="0"/>
        <w:spacing w:line="360" w:lineRule="auto"/>
        <w:ind w:left="0" w:leftChars="0" w:firstLine="560" w:firstLineChars="200"/>
        <w:outlineLvl w:val="9"/>
        <w:rPr>
          <w:rFonts w:hint="default"/>
          <w:sz w:val="28"/>
          <w:szCs w:val="28"/>
          <w:highlight w:val="none"/>
          <w:lang w:val="en-US" w:eastAsia="zh-CN"/>
        </w:rPr>
      </w:pPr>
      <w:r>
        <w:rPr>
          <w:rFonts w:hint="eastAsia"/>
          <w:b w:val="0"/>
          <w:bCs/>
          <w:sz w:val="28"/>
          <w:szCs w:val="28"/>
          <w:lang w:val="en-US" w:eastAsia="zh-CN"/>
        </w:rPr>
        <w:t>将土/砂装入编织袋堆叠在复垦用土临时堆场坡脚，防止堆场水土流失。利用自身重量阻挡坡面坍塌，同时袋体具有透水性，能消减径流冲刷力。</w:t>
      </w:r>
    </w:p>
    <w:p w14:paraId="1B14ED2B">
      <w:pPr>
        <w:pStyle w:val="6"/>
        <w:numPr>
          <w:ilvl w:val="0"/>
          <w:numId w:val="0"/>
        </w:numPr>
        <w:spacing w:before="131" w:after="131"/>
        <w:ind w:firstLine="0" w:firstLineChars="0"/>
        <w:rPr>
          <w:rFonts w:hint="eastAsia" w:ascii="宋体" w:hAnsi="宋体" w:eastAsia="宋体" w:cs="宋体"/>
          <w:b/>
          <w:bCs/>
          <w:lang w:val="en-US" w:eastAsia="zh-CN"/>
        </w:rPr>
      </w:pPr>
      <w:r>
        <w:rPr>
          <w:rFonts w:hint="eastAsia" w:ascii="宋体" w:hAnsi="宋体" w:eastAsia="宋体" w:cs="宋体"/>
          <w:b/>
          <w:bCs/>
          <w:sz w:val="28"/>
          <w:szCs w:val="28"/>
          <w:lang w:val="en-US" w:eastAsia="zh-CN" w:bidi="ar-SA"/>
        </w:rPr>
        <w:t>（二）</w:t>
      </w:r>
      <w:r>
        <w:rPr>
          <w:rFonts w:hint="eastAsia" w:ascii="宋体" w:hAnsi="宋体" w:eastAsia="宋体" w:cs="宋体"/>
          <w:b/>
          <w:bCs/>
          <w:lang w:val="en-US" w:eastAsia="zh-CN"/>
        </w:rPr>
        <w:t>土壤重构</w:t>
      </w:r>
    </w:p>
    <w:p w14:paraId="4AF5CB73">
      <w:pPr>
        <w:spacing w:line="360" w:lineRule="auto"/>
        <w:rPr>
          <w:rFonts w:hint="default"/>
          <w:sz w:val="28"/>
          <w:szCs w:val="28"/>
          <w:lang w:val="en-US" w:eastAsia="zh-CN"/>
        </w:rPr>
      </w:pPr>
      <w:r>
        <w:rPr>
          <w:rFonts w:hint="eastAsia"/>
          <w:sz w:val="28"/>
          <w:szCs w:val="28"/>
          <w:lang w:val="en-US" w:eastAsia="zh-CN"/>
        </w:rPr>
        <w:t>1、目标任务</w:t>
      </w:r>
    </w:p>
    <w:p w14:paraId="77C10B94">
      <w:pPr>
        <w:spacing w:line="360" w:lineRule="auto"/>
        <w:rPr>
          <w:rFonts w:hint="eastAsia"/>
          <w:sz w:val="28"/>
          <w:szCs w:val="28"/>
          <w:lang w:val="en-US" w:eastAsia="zh-CN"/>
        </w:rPr>
      </w:pPr>
      <w:r>
        <w:rPr>
          <w:rFonts w:hint="eastAsia"/>
          <w:sz w:val="28"/>
          <w:szCs w:val="28"/>
          <w:lang w:val="en-US" w:eastAsia="zh-CN"/>
        </w:rPr>
        <w:t>根据《土地损毁预测图》，预测土地复垦责任范围内拟复垦土地面积17.9371hm</w:t>
      </w:r>
      <w:r>
        <w:rPr>
          <w:rFonts w:hint="eastAsia"/>
          <w:sz w:val="28"/>
          <w:szCs w:val="28"/>
          <w:vertAlign w:val="superscript"/>
          <w:lang w:val="en-US" w:eastAsia="zh-CN"/>
        </w:rPr>
        <w:t>2</w:t>
      </w:r>
      <w:r>
        <w:rPr>
          <w:rFonts w:hint="eastAsia"/>
          <w:sz w:val="28"/>
          <w:szCs w:val="28"/>
          <w:lang w:val="en-US" w:eastAsia="zh-CN"/>
        </w:rPr>
        <w:t>，依据土地复垦适宜性评价结果，确定按乔木林地和坑塘水面复垦，均采用人工修复。</w:t>
      </w:r>
    </w:p>
    <w:p w14:paraId="3D59D800">
      <w:pPr>
        <w:spacing w:line="360" w:lineRule="auto"/>
        <w:rPr>
          <w:rFonts w:hint="default"/>
          <w:sz w:val="28"/>
          <w:szCs w:val="28"/>
          <w:highlight w:val="none"/>
          <w:lang w:val="en-US" w:eastAsia="zh-CN"/>
        </w:rPr>
      </w:pPr>
      <w:r>
        <w:rPr>
          <w:rFonts w:hint="eastAsia"/>
          <w:sz w:val="28"/>
          <w:szCs w:val="28"/>
          <w:highlight w:val="none"/>
          <w:lang w:val="en-US" w:eastAsia="zh-CN"/>
        </w:rPr>
        <w:t>2、技术措施</w:t>
      </w:r>
    </w:p>
    <w:p w14:paraId="3515224B">
      <w:pPr>
        <w:spacing w:line="360" w:lineRule="auto"/>
        <w:rPr>
          <w:rFonts w:hint="eastAsia"/>
          <w:sz w:val="28"/>
          <w:szCs w:val="28"/>
          <w:highlight w:val="none"/>
          <w:lang w:val="en-US" w:eastAsia="zh-CN"/>
        </w:rPr>
      </w:pPr>
      <w:r>
        <w:rPr>
          <w:rFonts w:hint="eastAsia"/>
          <w:sz w:val="28"/>
          <w:szCs w:val="28"/>
          <w:highlight w:val="none"/>
          <w:lang w:val="en-US" w:eastAsia="zh-CN"/>
        </w:rPr>
        <w:t>本矿区土地复垦项目施工建设、施工工艺及土地复垦各个环节要联系成一个完整的系统，从而达到土地垦前、垦中及垦后的土地开发利用、生产等环节的一体化经营，形成土地复垦的规模效益和良性循环机制。</w:t>
      </w:r>
    </w:p>
    <w:p w14:paraId="17A4B0BD">
      <w:pPr>
        <w:spacing w:line="360" w:lineRule="auto"/>
        <w:rPr>
          <w:rFonts w:hint="eastAsia"/>
          <w:sz w:val="28"/>
          <w:szCs w:val="28"/>
          <w:highlight w:val="none"/>
          <w:lang w:val="en-US" w:eastAsia="zh-CN"/>
        </w:rPr>
      </w:pPr>
      <w:r>
        <w:rPr>
          <w:rFonts w:hint="eastAsia"/>
          <w:sz w:val="28"/>
          <w:szCs w:val="28"/>
          <w:highlight w:val="none"/>
          <w:lang w:val="en-US" w:eastAsia="zh-CN"/>
        </w:rPr>
        <w:t>在复垦后的土地，要采取一定量的生物化学措施，生物化学措施主要包括改良土壤和恢复植被等工程。</w:t>
      </w:r>
    </w:p>
    <w:p w14:paraId="0CDB3BB4">
      <w:pPr>
        <w:pStyle w:val="7"/>
        <w:bidi w:val="0"/>
        <w:spacing w:line="360" w:lineRule="auto"/>
        <w:ind w:firstLine="560" w:firstLineChars="200"/>
        <w:rPr>
          <w:rFonts w:hint="eastAsia"/>
          <w:b w:val="0"/>
          <w:bCs/>
          <w:sz w:val="28"/>
          <w:szCs w:val="28"/>
          <w:highlight w:val="none"/>
          <w:lang w:val="en-US" w:eastAsia="zh-CN"/>
        </w:rPr>
      </w:pPr>
      <w:r>
        <w:rPr>
          <w:rFonts w:hint="eastAsia"/>
          <w:b w:val="0"/>
          <w:bCs/>
          <w:sz w:val="28"/>
          <w:szCs w:val="28"/>
          <w:highlight w:val="none"/>
          <w:lang w:val="en-US" w:eastAsia="zh-CN"/>
        </w:rPr>
        <w:t>（1）表土覆盖</w:t>
      </w:r>
    </w:p>
    <w:p w14:paraId="00AA146D">
      <w:pPr>
        <w:spacing w:line="360" w:lineRule="auto"/>
        <w:rPr>
          <w:rFonts w:hint="default"/>
          <w:sz w:val="28"/>
          <w:szCs w:val="28"/>
          <w:lang w:val="en-US" w:eastAsia="zh-CN"/>
        </w:rPr>
      </w:pPr>
      <w:r>
        <w:rPr>
          <w:rFonts w:hint="eastAsia"/>
          <w:sz w:val="28"/>
          <w:szCs w:val="28"/>
          <w:highlight w:val="none"/>
          <w:lang w:val="en-US" w:eastAsia="zh-CN"/>
        </w:rPr>
        <w:t>优先采用采矿过程剥离堆存的表土，终了台阶+55m标高以上平台覆土；破碎站及原废石堆场、排土场、复垦用土临时堆场覆土。复垦方向为乔木林地的土地覆土厚度为40cm。</w:t>
      </w:r>
    </w:p>
    <w:p w14:paraId="4C6229F1">
      <w:pPr>
        <w:pStyle w:val="7"/>
        <w:bidi w:val="0"/>
        <w:spacing w:line="360" w:lineRule="auto"/>
        <w:ind w:firstLine="560" w:firstLineChars="200"/>
        <w:rPr>
          <w:rFonts w:hint="eastAsia"/>
          <w:b w:val="0"/>
          <w:bCs/>
          <w:sz w:val="28"/>
          <w:szCs w:val="28"/>
          <w:lang w:val="en-US" w:eastAsia="zh-CN"/>
        </w:rPr>
      </w:pPr>
      <w:r>
        <w:rPr>
          <w:rFonts w:hint="eastAsia"/>
          <w:b w:val="0"/>
          <w:bCs/>
          <w:sz w:val="28"/>
          <w:szCs w:val="28"/>
          <w:lang w:val="en-US" w:eastAsia="zh-CN"/>
        </w:rPr>
        <w:t>（2）培肥改良</w:t>
      </w:r>
    </w:p>
    <w:p w14:paraId="090C73D2">
      <w:pPr>
        <w:spacing w:line="360" w:lineRule="auto"/>
        <w:rPr>
          <w:rFonts w:hint="default"/>
          <w:sz w:val="28"/>
          <w:szCs w:val="28"/>
          <w:lang w:val="en-US" w:eastAsia="zh-CN"/>
        </w:rPr>
      </w:pPr>
      <w:r>
        <w:rPr>
          <w:rFonts w:hint="default"/>
          <w:sz w:val="28"/>
          <w:szCs w:val="28"/>
          <w:lang w:val="en-US" w:eastAsia="zh-CN"/>
        </w:rPr>
        <w:t>覆盖后的土壤通常贫瘠、微生物活性低下，必须进行快速、高效的培肥改良，以激活土壤生态功能。</w:t>
      </w:r>
      <w:r>
        <w:rPr>
          <w:rFonts w:hint="eastAsia"/>
          <w:sz w:val="28"/>
          <w:szCs w:val="28"/>
          <w:lang w:val="en-US" w:eastAsia="zh-CN"/>
        </w:rPr>
        <w:t>在复垦种植乔木、灌木、攀爬植物时植生槽适当追加复合肥</w:t>
      </w:r>
      <w:r>
        <w:rPr>
          <w:rFonts w:hint="default"/>
          <w:sz w:val="28"/>
          <w:szCs w:val="28"/>
          <w:lang w:val="en-US" w:eastAsia="zh-CN"/>
        </w:rPr>
        <w:t>。</w:t>
      </w:r>
    </w:p>
    <w:p w14:paraId="518E1AE4">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（三）植被重建</w:t>
      </w:r>
    </w:p>
    <w:p w14:paraId="452C2ED5">
      <w:pPr>
        <w:spacing w:line="360" w:lineRule="auto"/>
        <w:rPr>
          <w:rFonts w:hint="eastAsia"/>
          <w:bCs/>
          <w:color w:val="000000"/>
          <w:sz w:val="28"/>
          <w:szCs w:val="28"/>
          <w:highlight w:val="none"/>
          <w:lang w:val="en-US" w:eastAsia="zh-CN"/>
        </w:rPr>
      </w:pPr>
      <w:r>
        <w:rPr>
          <w:rFonts w:hint="default"/>
          <w:sz w:val="28"/>
          <w:szCs w:val="28"/>
          <w:highlight w:val="none"/>
          <w:lang w:val="en-US" w:eastAsia="zh-CN"/>
        </w:rPr>
        <w:t>按“适地适树，适地适草”的原则，选择项目区内已有且优良的绿化植物种。</w:t>
      </w:r>
      <w:r>
        <w:rPr>
          <w:rFonts w:hint="eastAsia"/>
          <w:bCs/>
          <w:color w:val="000000"/>
          <w:sz w:val="28"/>
          <w:szCs w:val="28"/>
          <w:highlight w:val="none"/>
        </w:rPr>
        <w:t>乔木选择木麻黄，</w:t>
      </w:r>
      <w:r>
        <w:rPr>
          <w:rFonts w:hint="eastAsia"/>
          <w:bCs/>
          <w:color w:val="000000"/>
          <w:sz w:val="28"/>
          <w:szCs w:val="28"/>
          <w:highlight w:val="none"/>
          <w:lang w:val="en-US" w:eastAsia="zh-CN"/>
        </w:rPr>
        <w:t>灌木选择</w:t>
      </w:r>
      <w:r>
        <w:rPr>
          <w:rFonts w:hint="eastAsia" w:ascii="Times New Roman" w:hAnsi="Times New Roman" w:eastAsia="宋体" w:cs="Times New Roman"/>
          <w:sz w:val="28"/>
          <w:szCs w:val="28"/>
          <w:highlight w:val="none"/>
          <w:lang w:val="en-US" w:eastAsia="zh-CN"/>
        </w:rPr>
        <w:t>黄槿</w:t>
      </w:r>
      <w:r>
        <w:rPr>
          <w:rFonts w:hint="eastAsia"/>
          <w:bCs/>
          <w:color w:val="000000"/>
          <w:sz w:val="28"/>
          <w:szCs w:val="28"/>
          <w:highlight w:val="none"/>
          <w:lang w:val="en-US" w:eastAsia="zh-CN"/>
        </w:rPr>
        <w:t>，草种选择狗牙根，</w:t>
      </w:r>
      <w:r>
        <w:rPr>
          <w:rFonts w:hint="eastAsia"/>
          <w:sz w:val="28"/>
          <w:szCs w:val="28"/>
          <w:highlight w:val="none"/>
          <w:lang w:val="en-US" w:eastAsia="zh-CN"/>
        </w:rPr>
        <w:t>攀爬植物选择爬山虎</w:t>
      </w:r>
      <w:r>
        <w:rPr>
          <w:rFonts w:hint="default"/>
          <w:sz w:val="28"/>
          <w:szCs w:val="28"/>
          <w:highlight w:val="none"/>
          <w:lang w:val="en-US" w:eastAsia="zh-CN"/>
        </w:rPr>
        <w:t>等</w:t>
      </w:r>
      <w:r>
        <w:rPr>
          <w:rFonts w:hint="eastAsia"/>
          <w:sz w:val="28"/>
          <w:szCs w:val="28"/>
          <w:highlight w:val="none"/>
          <w:lang w:val="en-US" w:eastAsia="zh-CN"/>
        </w:rPr>
        <w:t>。</w:t>
      </w:r>
      <w:r>
        <w:rPr>
          <w:rFonts w:hint="eastAsia"/>
          <w:bCs/>
          <w:color w:val="000000"/>
          <w:sz w:val="28"/>
          <w:szCs w:val="28"/>
          <w:highlight w:val="none"/>
          <w:lang w:val="en-US" w:eastAsia="zh-CN"/>
        </w:rPr>
        <w:t>形成乔灌草藤立体结构，</w:t>
      </w:r>
      <w:r>
        <w:rPr>
          <w:rFonts w:hint="eastAsia"/>
          <w:bCs/>
          <w:color w:val="000000"/>
          <w:sz w:val="28"/>
          <w:szCs w:val="28"/>
          <w:highlight w:val="none"/>
        </w:rPr>
        <w:t>提高抗逆性与覆盖率。</w:t>
      </w:r>
    </w:p>
    <w:p w14:paraId="22A2B8EC">
      <w:pPr>
        <w:numPr>
          <w:ilvl w:val="0"/>
          <w:numId w:val="0"/>
        </w:numPr>
        <w:spacing w:line="360" w:lineRule="auto"/>
        <w:ind w:firstLine="560" w:firstLineChars="200"/>
        <w:rPr>
          <w:rFonts w:hint="eastAsia"/>
          <w:sz w:val="28"/>
          <w:szCs w:val="28"/>
          <w:highlight w:val="none"/>
          <w:lang w:val="en-US" w:eastAsia="zh-CN"/>
        </w:rPr>
      </w:pPr>
      <w:r>
        <w:rPr>
          <w:rFonts w:hint="eastAsia" w:ascii="Times New Roman" w:hAnsi="Times New Roman" w:eastAsia="宋体" w:cs="Times New Roman"/>
          <w:sz w:val="28"/>
          <w:szCs w:val="28"/>
          <w:lang w:val="en-US" w:eastAsia="zh-CN" w:bidi="ar-SA"/>
        </w:rPr>
        <w:t>1、</w:t>
      </w:r>
      <w:r>
        <w:rPr>
          <w:rFonts w:hint="eastAsia" w:cs="Times New Roman"/>
          <w:sz w:val="28"/>
          <w:szCs w:val="28"/>
          <w:lang w:val="en-US" w:eastAsia="zh-CN" w:bidi="ar-SA"/>
        </w:rPr>
        <w:t>乔木－</w:t>
      </w:r>
      <w:r>
        <w:rPr>
          <w:rFonts w:hint="eastAsia"/>
          <w:sz w:val="28"/>
          <w:szCs w:val="28"/>
          <w:highlight w:val="none"/>
          <w:lang w:val="en-US" w:eastAsia="zh-CN"/>
        </w:rPr>
        <w:t>木麻黄</w:t>
      </w:r>
    </w:p>
    <w:p w14:paraId="3A64AA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木麻黄是木麻黄科木麻黄属常绿乔木。高可达30米，树皮暗褐色，狭长形条片状脱落；小枝细长，为灰绿色；喜光不耐阴、耐旱亦耐水湿、耐贫瘠、耐沙埋，适应性强，不拘土质，生长速度快，萌芽力强。木麻黄是海岸防风、固沙造林的速生优良树种；在改善生态环境和发展沿海地区经济等方面发挥着巨大的作用；其枝叶青翠，树形高大，可作行道树或孤植、列植于庭院，起到绿化、美化的效果。木麻黄是强阳性树种，生长期间喜高温多湿。适生于海岸的疏松沙地，在离海较远的酸性土壤亦能生长良好。</w:t>
      </w:r>
    </w:p>
    <w:p w14:paraId="693BF9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lang w:val="en-US" w:eastAsia="zh-CN" w:bidi="ar-SA"/>
        </w:rPr>
        <w:t>2、</w:t>
      </w:r>
      <w:r>
        <w:rPr>
          <w:rFonts w:hint="eastAsia" w:cs="Times New Roman"/>
          <w:sz w:val="28"/>
          <w:szCs w:val="28"/>
          <w:lang w:val="en-US" w:eastAsia="zh-CN" w:bidi="ar-SA"/>
        </w:rPr>
        <w:t>灌木－</w:t>
      </w:r>
      <w:r>
        <w:rPr>
          <w:rFonts w:hint="eastAsia" w:ascii="Times New Roman" w:hAnsi="Times New Roman" w:eastAsia="宋体" w:cs="Times New Roman"/>
          <w:sz w:val="28"/>
          <w:szCs w:val="28"/>
          <w:highlight w:val="none"/>
          <w:lang w:val="en-US" w:eastAsia="zh-CN"/>
        </w:rPr>
        <w:t>黄槿</w:t>
      </w:r>
    </w:p>
    <w:p w14:paraId="430FDF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黄槿是一种常绿灌木，叶子呈心型，叶先端尖、基部心形，全缘或微波状齿缘。喜光、喜温暖湿润气候，适应性特别强，也略耐阴、耐寒、耐水湿、耐盐、耐干旱和瘠薄。徐闻县位于沿海地区，经常受到台风和海风的侵袭。黄槿耐盐性强，抗风抗沙，可作为海岸防沙、防风、防潮的工具树种，有助于保护当地的生态环境和农业生产。黄槿为强抗盐植物，能大量富集铜、锌和镉，其抗重金属能力很强。</w:t>
      </w:r>
    </w:p>
    <w:p w14:paraId="67DDB08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highlight w:val="none"/>
          <w:lang w:val="en-US" w:eastAsia="zh-CN"/>
        </w:rPr>
      </w:pPr>
      <w:r>
        <w:rPr>
          <w:rFonts w:hint="eastAsia" w:cs="Times New Roman"/>
          <w:sz w:val="28"/>
          <w:szCs w:val="28"/>
          <w:highlight w:val="none"/>
          <w:lang w:val="en-US" w:eastAsia="zh-CN"/>
        </w:rPr>
        <w:t>3、草种</w:t>
      </w:r>
      <w:r>
        <w:rPr>
          <w:rFonts w:hint="eastAsia" w:cs="Times New Roman"/>
          <w:sz w:val="28"/>
          <w:szCs w:val="28"/>
          <w:lang w:val="en-US" w:eastAsia="zh-CN" w:bidi="ar-SA"/>
        </w:rPr>
        <w:t>－</w:t>
      </w:r>
      <w:r>
        <w:rPr>
          <w:rFonts w:hint="eastAsia" w:ascii="Times New Roman" w:hAnsi="Times New Roman" w:eastAsia="宋体" w:cs="Times New Roman"/>
          <w:sz w:val="28"/>
          <w:szCs w:val="28"/>
          <w:highlight w:val="none"/>
          <w:lang w:val="en-US" w:eastAsia="zh-CN"/>
        </w:rPr>
        <w:t>狗牙根</w:t>
      </w:r>
      <w:r>
        <w:rPr>
          <w:rFonts w:hint="eastAsia" w:cs="Times New Roman"/>
          <w:sz w:val="28"/>
          <w:szCs w:val="28"/>
          <w:highlight w:val="none"/>
          <w:lang w:val="en-US" w:eastAsia="zh-CN"/>
        </w:rPr>
        <w:t>与柱花草混播</w:t>
      </w:r>
    </w:p>
    <w:p w14:paraId="7B77D4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highlight w:val="none"/>
          <w:lang w:val="en-US" w:eastAsia="zh-CN"/>
        </w:rPr>
      </w:pPr>
      <w:r>
        <w:rPr>
          <w:rFonts w:hint="eastAsia" w:cs="Times New Roman"/>
          <w:sz w:val="28"/>
          <w:szCs w:val="28"/>
          <w:highlight w:val="none"/>
          <w:lang w:val="en-US" w:eastAsia="zh-CN"/>
        </w:rPr>
        <w:t>本方案选择</w:t>
      </w:r>
      <w:r>
        <w:rPr>
          <w:rFonts w:hint="eastAsia" w:ascii="Times New Roman" w:hAnsi="Times New Roman" w:eastAsia="宋体" w:cs="Times New Roman"/>
          <w:sz w:val="28"/>
          <w:szCs w:val="28"/>
          <w:highlight w:val="none"/>
          <w:lang w:val="en-US" w:eastAsia="zh-CN"/>
        </w:rPr>
        <w:t>狗牙根</w:t>
      </w:r>
      <w:r>
        <w:rPr>
          <w:rFonts w:hint="eastAsia" w:cs="Times New Roman"/>
          <w:sz w:val="28"/>
          <w:szCs w:val="28"/>
          <w:highlight w:val="none"/>
          <w:lang w:val="en-US" w:eastAsia="zh-CN"/>
        </w:rPr>
        <w:t>与柱花草混播模式。狗牙根与柱花草混播比例1:1。狗牙根种子通常3-4公斤/亩，柱花草种子通常4-6公斤/亩。狗牙根根系纤维状、密集，匍匐茎蔓延快，主要作用是快速抓地、固定表土、防止水土流失。但它不固氮，长期单一生长会使土壤氮素更贫乏。柱花草主根明显，根瘤菌能固定空气中的氮，增加土壤有机质，死后的枯落物还能覆盖地表减少蒸发。它解决了狗牙根不能改土的问题，逐步提升土壤肥力。二者组合成本低、见效快、改土效果好，非常契合南方热带亚热带地区的生态修复需求。</w:t>
      </w:r>
    </w:p>
    <w:p w14:paraId="28B74C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highlight w:val="none"/>
          <w:lang w:val="en-US" w:eastAsia="zh-CN"/>
        </w:rPr>
      </w:pPr>
      <w:r>
        <w:rPr>
          <w:rFonts w:hint="eastAsia" w:cs="Times New Roman"/>
          <w:sz w:val="28"/>
          <w:szCs w:val="28"/>
          <w:highlight w:val="none"/>
          <w:lang w:val="en-US" w:eastAsia="zh-CN"/>
        </w:rPr>
        <w:t>4、</w:t>
      </w:r>
      <w:r>
        <w:rPr>
          <w:rFonts w:hint="eastAsia"/>
          <w:sz w:val="28"/>
          <w:szCs w:val="28"/>
          <w:highlight w:val="none"/>
          <w:lang w:val="en-US" w:eastAsia="zh-CN"/>
        </w:rPr>
        <w:t>攀爬植物</w:t>
      </w:r>
      <w:r>
        <w:rPr>
          <w:rFonts w:hint="eastAsia" w:cs="Times New Roman"/>
          <w:sz w:val="28"/>
          <w:szCs w:val="28"/>
          <w:lang w:val="en-US" w:eastAsia="zh-CN" w:bidi="ar-SA"/>
        </w:rPr>
        <w:t>－</w:t>
      </w:r>
      <w:r>
        <w:rPr>
          <w:rFonts w:hint="eastAsia" w:cs="Times New Roman"/>
          <w:sz w:val="28"/>
          <w:szCs w:val="28"/>
          <w:highlight w:val="none"/>
          <w:lang w:val="en-US" w:eastAsia="zh-CN"/>
        </w:rPr>
        <w:t>爬山虎</w:t>
      </w:r>
    </w:p>
    <w:p w14:paraId="5EA88A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广东属亚热带和热带季风气候，夏季高温多雨、冬季温暖少霜，符合爬山虎喜温暖湿润、耐热耐旱的生长需求。利用攀爬植物的攀爬、匍匐、垂吊的特性，对露天采场裸露坡面进行垂直复垦绿化，沿坡顶线种植攀爬植物顺势而下覆盖裸露的陡坎坡面。‌</w:t>
      </w:r>
    </w:p>
    <w:p w14:paraId="5009F399">
      <w:pPr>
        <w:pStyle w:val="6"/>
        <w:spacing w:before="131" w:after="131"/>
        <w:rPr>
          <w:rFonts w:hint="default" w:ascii="宋体" w:hAnsi="宋体" w:eastAsia="宋体" w:cs="宋体"/>
          <w:b/>
          <w:bCs/>
          <w:lang w:val="en-US" w:eastAsia="zh-CN"/>
        </w:rPr>
      </w:pPr>
      <w:r>
        <w:rPr>
          <w:rFonts w:hint="eastAsia" w:ascii="宋体" w:hAnsi="宋体" w:eastAsia="宋体" w:cs="宋体"/>
          <w:b/>
          <w:bCs/>
          <w:lang w:val="en-US" w:eastAsia="zh-CN"/>
        </w:rPr>
        <w:t>（四）景观营建</w:t>
      </w:r>
    </w:p>
    <w:p w14:paraId="56D9FD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结合修复分区，将矿区划分为</w:t>
      </w:r>
      <w:r>
        <w:rPr>
          <w:rFonts w:hint="default" w:ascii="Times New Roman" w:hAnsi="Times New Roman" w:eastAsia="宋体" w:cs="Times New Roman"/>
          <w:sz w:val="28"/>
          <w:szCs w:val="28"/>
          <w:highlight w:val="none"/>
          <w:lang w:val="en-US" w:eastAsia="zh-CN"/>
        </w:rPr>
        <w:t>2</w:t>
      </w:r>
      <w:r>
        <w:rPr>
          <w:rFonts w:hint="eastAsia" w:ascii="Times New Roman" w:hAnsi="Times New Roman" w:eastAsia="宋体" w:cs="Times New Roman"/>
          <w:sz w:val="28"/>
          <w:szCs w:val="28"/>
          <w:highlight w:val="none"/>
          <w:lang w:val="en-US" w:eastAsia="zh-CN"/>
        </w:rPr>
        <w:t>类景观功能区：露天采场+5</w:t>
      </w:r>
      <w:r>
        <w:rPr>
          <w:rFonts w:hint="eastAsia" w:cs="Times New Roman"/>
          <w:sz w:val="28"/>
          <w:szCs w:val="28"/>
          <w:highlight w:val="none"/>
          <w:lang w:val="en-US" w:eastAsia="zh-CN"/>
        </w:rPr>
        <w:t>5</w:t>
      </w:r>
      <w:r>
        <w:rPr>
          <w:rFonts w:hint="eastAsia" w:ascii="Times New Roman" w:hAnsi="Times New Roman" w:eastAsia="宋体" w:cs="Times New Roman"/>
          <w:sz w:val="28"/>
          <w:szCs w:val="28"/>
          <w:highlight w:val="none"/>
          <w:lang w:val="en-US" w:eastAsia="zh-CN"/>
        </w:rPr>
        <w:t>m标高以下采场平台及坑底</w:t>
      </w:r>
      <w:r>
        <w:rPr>
          <w:rFonts w:hint="default" w:ascii="Times New Roman" w:hAnsi="Times New Roman" w:eastAsia="宋体" w:cs="Times New Roman"/>
          <w:sz w:val="28"/>
          <w:szCs w:val="28"/>
          <w:highlight w:val="none"/>
          <w:lang w:val="en-US" w:eastAsia="zh-CN"/>
        </w:rPr>
        <w:t>“</w:t>
      </w:r>
      <w:r>
        <w:rPr>
          <w:rFonts w:hint="eastAsia" w:ascii="Times New Roman" w:hAnsi="Times New Roman" w:eastAsia="宋体" w:cs="Times New Roman"/>
          <w:sz w:val="28"/>
          <w:szCs w:val="28"/>
          <w:highlight w:val="none"/>
          <w:lang w:val="en-US" w:eastAsia="zh-CN"/>
        </w:rPr>
        <w:t>坑塘景观区</w:t>
      </w:r>
      <w:r>
        <w:rPr>
          <w:rFonts w:hint="default" w:ascii="Times New Roman" w:hAnsi="Times New Roman" w:eastAsia="宋体" w:cs="Times New Roman"/>
          <w:sz w:val="28"/>
          <w:szCs w:val="28"/>
          <w:highlight w:val="none"/>
          <w:lang w:val="en-US" w:eastAsia="zh-CN"/>
        </w:rPr>
        <w:t>”</w:t>
      </w:r>
      <w:r>
        <w:rPr>
          <w:rFonts w:hint="eastAsia" w:ascii="Times New Roman" w:hAnsi="Times New Roman" w:eastAsia="宋体" w:cs="Times New Roman"/>
          <w:sz w:val="28"/>
          <w:szCs w:val="28"/>
          <w:highlight w:val="none"/>
          <w:lang w:val="en-US" w:eastAsia="zh-CN"/>
        </w:rPr>
        <w:t>（以坑塘为主，突出生态水循环功能）；其余各功能区</w:t>
      </w:r>
      <w:r>
        <w:rPr>
          <w:rFonts w:hint="default" w:ascii="Times New Roman" w:hAnsi="Times New Roman" w:eastAsia="宋体" w:cs="Times New Roman"/>
          <w:sz w:val="28"/>
          <w:szCs w:val="28"/>
          <w:highlight w:val="none"/>
          <w:lang w:val="en-US" w:eastAsia="zh-CN"/>
        </w:rPr>
        <w:t>“</w:t>
      </w:r>
      <w:r>
        <w:rPr>
          <w:rFonts w:hint="eastAsia" w:cs="Times New Roman"/>
          <w:sz w:val="28"/>
          <w:szCs w:val="28"/>
          <w:highlight w:val="none"/>
          <w:lang w:val="en-US" w:eastAsia="zh-CN"/>
        </w:rPr>
        <w:t>稀疏林</w:t>
      </w:r>
      <w:r>
        <w:rPr>
          <w:rFonts w:hint="eastAsia" w:ascii="Times New Roman" w:hAnsi="Times New Roman" w:eastAsia="宋体" w:cs="Times New Roman"/>
          <w:sz w:val="28"/>
          <w:szCs w:val="28"/>
          <w:highlight w:val="none"/>
          <w:lang w:val="en-US" w:eastAsia="zh-CN"/>
        </w:rPr>
        <w:t>景观区</w:t>
      </w:r>
      <w:r>
        <w:rPr>
          <w:rFonts w:hint="default" w:ascii="Times New Roman" w:hAnsi="Times New Roman" w:eastAsia="宋体" w:cs="Times New Roman"/>
          <w:sz w:val="28"/>
          <w:szCs w:val="28"/>
          <w:highlight w:val="none"/>
          <w:lang w:val="en-US" w:eastAsia="zh-CN"/>
        </w:rPr>
        <w:t>”</w:t>
      </w:r>
      <w:r>
        <w:rPr>
          <w:rFonts w:hint="eastAsia" w:ascii="Times New Roman" w:hAnsi="Times New Roman" w:eastAsia="宋体" w:cs="Times New Roman"/>
          <w:sz w:val="28"/>
          <w:szCs w:val="28"/>
          <w:highlight w:val="none"/>
          <w:lang w:val="en-US" w:eastAsia="zh-CN"/>
        </w:rPr>
        <w:t>（以</w:t>
      </w:r>
      <w:r>
        <w:rPr>
          <w:rFonts w:hint="eastAsia" w:cs="Times New Roman"/>
          <w:sz w:val="28"/>
          <w:szCs w:val="28"/>
          <w:highlight w:val="none"/>
          <w:lang w:val="en-US" w:eastAsia="zh-CN"/>
        </w:rPr>
        <w:t>乔木</w:t>
      </w:r>
      <w:r>
        <w:rPr>
          <w:rFonts w:hint="eastAsia"/>
          <w:bCs/>
          <w:color w:val="000000"/>
          <w:sz w:val="28"/>
          <w:szCs w:val="28"/>
          <w:highlight w:val="none"/>
        </w:rPr>
        <w:t>木麻黄，</w:t>
      </w:r>
      <w:r>
        <w:rPr>
          <w:rFonts w:hint="eastAsia"/>
          <w:bCs/>
          <w:color w:val="000000"/>
          <w:sz w:val="28"/>
          <w:szCs w:val="28"/>
          <w:highlight w:val="none"/>
          <w:lang w:val="en-US" w:eastAsia="zh-CN"/>
        </w:rPr>
        <w:t>灌木</w:t>
      </w:r>
      <w:r>
        <w:rPr>
          <w:rFonts w:hint="eastAsia" w:ascii="Times New Roman" w:hAnsi="Times New Roman" w:eastAsia="宋体" w:cs="Times New Roman"/>
          <w:sz w:val="28"/>
          <w:szCs w:val="28"/>
          <w:highlight w:val="none"/>
          <w:lang w:val="en-US" w:eastAsia="zh-CN"/>
        </w:rPr>
        <w:t>黄槿</w:t>
      </w:r>
      <w:r>
        <w:rPr>
          <w:rFonts w:hint="eastAsia"/>
          <w:bCs/>
          <w:color w:val="000000"/>
          <w:sz w:val="28"/>
          <w:szCs w:val="28"/>
          <w:highlight w:val="none"/>
          <w:lang w:val="en-US" w:eastAsia="zh-CN"/>
        </w:rPr>
        <w:t>，草种狗牙根与柱花草混播模式，</w:t>
      </w:r>
      <w:r>
        <w:rPr>
          <w:rFonts w:hint="eastAsia"/>
          <w:sz w:val="28"/>
          <w:szCs w:val="28"/>
          <w:highlight w:val="none"/>
          <w:lang w:val="en-US" w:eastAsia="zh-CN"/>
        </w:rPr>
        <w:t>攀爬植物</w:t>
      </w:r>
      <w:r>
        <w:rPr>
          <w:rFonts w:hint="eastAsia" w:ascii="Times New Roman" w:hAnsi="Times New Roman" w:eastAsia="宋体" w:cs="Times New Roman"/>
          <w:sz w:val="28"/>
          <w:szCs w:val="28"/>
          <w:highlight w:val="none"/>
          <w:lang w:val="en-US" w:eastAsia="zh-CN"/>
        </w:rPr>
        <w:t>为主，侧重水土保持与景观覆盖），各区域通过矿山周边两侧植被衔接，避免景观碎片化。</w:t>
      </w:r>
    </w:p>
    <w:p w14:paraId="505BE03E">
      <w:pPr>
        <w:pStyle w:val="6"/>
        <w:spacing w:before="131" w:after="131"/>
        <w:rPr>
          <w:rFonts w:hint="eastAsia" w:ascii="宋体" w:hAnsi="宋体" w:eastAsia="宋体" w:cs="宋体"/>
          <w:b/>
          <w:bCs/>
          <w:lang w:val="en-US" w:eastAsia="zh-CN"/>
        </w:rPr>
      </w:pPr>
      <w:bookmarkStart w:id="369" w:name="_Toc217374067"/>
      <w:r>
        <w:rPr>
          <w:rFonts w:hint="eastAsia" w:ascii="宋体" w:hAnsi="宋体" w:eastAsia="宋体" w:cs="宋体"/>
          <w:b/>
          <w:bCs/>
          <w:lang w:val="en-US" w:eastAsia="zh-CN"/>
        </w:rPr>
        <w:t>（五）水环境污染修复</w:t>
      </w:r>
      <w:bookmarkEnd w:id="369"/>
    </w:p>
    <w:p w14:paraId="6FB67A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lang w:val="en-US" w:eastAsia="zh-CN"/>
        </w:rPr>
      </w:pPr>
      <w:bookmarkStart w:id="370" w:name="_Toc497377723"/>
      <w:bookmarkStart w:id="371" w:name="_Toc217374068"/>
      <w:r>
        <w:rPr>
          <w:rFonts w:hint="eastAsia"/>
          <w:sz w:val="28"/>
          <w:szCs w:val="28"/>
          <w:highlight w:val="none"/>
          <w:lang w:val="en-US" w:eastAsia="zh-CN"/>
        </w:rPr>
        <w:t>1、目标任务</w:t>
      </w:r>
      <w:bookmarkEnd w:id="370"/>
      <w:bookmarkEnd w:id="371"/>
    </w:p>
    <w:p w14:paraId="468546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lang w:val="en-US" w:eastAsia="zh-CN"/>
        </w:rPr>
      </w:pPr>
      <w:r>
        <w:rPr>
          <w:rFonts w:hint="eastAsia"/>
          <w:sz w:val="28"/>
          <w:szCs w:val="28"/>
          <w:highlight w:val="none"/>
          <w:lang w:val="en-US" w:eastAsia="zh-CN"/>
        </w:rPr>
        <w:t>目标：根据“谁污染，谁治理”的原则，对水环境破坏修复，修复其原有平衡，最大限度达到生态环境平衡。</w:t>
      </w:r>
    </w:p>
    <w:p w14:paraId="01EF89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lang w:val="en-US" w:eastAsia="zh-CN"/>
        </w:rPr>
      </w:pPr>
      <w:r>
        <w:rPr>
          <w:rFonts w:hint="eastAsia"/>
          <w:sz w:val="28"/>
          <w:szCs w:val="28"/>
          <w:highlight w:val="none"/>
          <w:lang w:val="en-US" w:eastAsia="zh-CN"/>
        </w:rPr>
        <w:t>任务：通过一定的技术措施恢复被污染的水环境，根据土地复垦利用方向，尽可能恢复其原土地利用类型，防止污染进一步恶化。</w:t>
      </w:r>
    </w:p>
    <w:p w14:paraId="5D79DE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lang w:val="en-US" w:eastAsia="zh-CN"/>
        </w:rPr>
      </w:pPr>
      <w:bookmarkStart w:id="372" w:name="_Toc217374069"/>
      <w:bookmarkStart w:id="373" w:name="_Toc497377724"/>
      <w:r>
        <w:rPr>
          <w:rFonts w:hint="eastAsia"/>
          <w:sz w:val="28"/>
          <w:szCs w:val="28"/>
          <w:highlight w:val="none"/>
          <w:lang w:val="en-US" w:eastAsia="zh-CN"/>
        </w:rPr>
        <w:t>2、技术措施</w:t>
      </w:r>
      <w:bookmarkEnd w:id="372"/>
      <w:bookmarkEnd w:id="373"/>
    </w:p>
    <w:p w14:paraId="36BD37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8"/>
          <w:szCs w:val="28"/>
          <w:highlight w:val="none"/>
          <w:lang w:val="en-US" w:eastAsia="zh-CN"/>
        </w:rPr>
      </w:pPr>
      <w:r>
        <w:rPr>
          <w:rFonts w:hint="eastAsia"/>
          <w:sz w:val="28"/>
          <w:szCs w:val="28"/>
          <w:highlight w:val="none"/>
          <w:lang w:val="en-US" w:eastAsia="zh-CN"/>
        </w:rPr>
        <w:t>评估区水土环境污染根据前述评估结果，采矿活动产生的污染源、污染物及有毒有害物少，总体上矿山建设及开采活动对水土环境污染程度较轻，无需对其进行专门的治理修复措施。</w:t>
      </w:r>
    </w:p>
    <w:bookmarkEnd w:id="361"/>
    <w:bookmarkEnd w:id="362"/>
    <w:bookmarkEnd w:id="363"/>
    <w:bookmarkEnd w:id="364"/>
    <w:bookmarkEnd w:id="365"/>
    <w:p w14:paraId="47247125">
      <w:pPr>
        <w:pStyle w:val="5"/>
        <w:spacing w:before="263" w:after="263"/>
        <w:rPr>
          <w:rFonts w:hint="eastAsia" w:ascii="宋体" w:hAnsi="宋体" w:eastAsia="宋体" w:cs="宋体"/>
          <w:b/>
          <w:bCs w:val="0"/>
        </w:rPr>
      </w:pPr>
      <w:bookmarkStart w:id="374" w:name="_Toc502045816"/>
      <w:bookmarkStart w:id="375" w:name="_Toc28697_WPSOffice_Level2"/>
      <w:bookmarkStart w:id="376" w:name="_Toc502063951"/>
      <w:bookmarkStart w:id="377" w:name="_Toc509345124"/>
      <w:bookmarkStart w:id="378" w:name="_Toc502047858"/>
      <w:bookmarkStart w:id="379" w:name="_Toc8460_WPSOffice_Level2"/>
      <w:bookmarkStart w:id="380" w:name="_Toc46047454"/>
      <w:bookmarkStart w:id="381" w:name="_Toc6679_WPSOffice_Level2"/>
      <w:bookmarkStart w:id="382" w:name="_Toc509345020"/>
      <w:bookmarkStart w:id="383" w:name="_Toc510594077"/>
      <w:bookmarkStart w:id="384" w:name="_Toc509344836"/>
      <w:bookmarkStart w:id="385" w:name="_Toc502047654"/>
      <w:bookmarkStart w:id="386" w:name="_Toc502684790"/>
      <w:bookmarkStart w:id="387" w:name="_Toc514858675"/>
      <w:bookmarkStart w:id="388" w:name="_Toc502045042"/>
      <w:bookmarkStart w:id="389" w:name="_Toc14391"/>
      <w:r>
        <w:rPr>
          <w:rFonts w:hint="eastAsia" w:ascii="宋体" w:hAnsi="宋体" w:eastAsia="宋体" w:cs="宋体"/>
          <w:b/>
          <w:bCs w:val="0"/>
        </w:rPr>
        <w:t>三、</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Fonts w:hint="eastAsia" w:ascii="宋体" w:hAnsi="宋体" w:eastAsia="宋体" w:cs="宋体"/>
          <w:b/>
          <w:bCs w:val="0"/>
        </w:rPr>
        <w:t>工程内容</w:t>
      </w:r>
      <w:bookmarkEnd w:id="389"/>
    </w:p>
    <w:p w14:paraId="0BCF36F8">
      <w:pPr>
        <w:pStyle w:val="6"/>
        <w:spacing w:before="131" w:after="131"/>
        <w:rPr>
          <w:rFonts w:hint="default" w:ascii="宋体" w:hAnsi="宋体" w:eastAsia="宋体" w:cs="宋体"/>
          <w:b/>
          <w:bCs/>
          <w:lang w:val="en-US" w:eastAsia="zh-CN"/>
        </w:rPr>
      </w:pPr>
      <w:r>
        <w:rPr>
          <w:rFonts w:hint="eastAsia" w:ascii="宋体" w:hAnsi="宋体" w:eastAsia="宋体" w:cs="宋体"/>
          <w:b/>
          <w:bCs/>
          <w:lang w:val="en-US" w:eastAsia="zh-CN"/>
        </w:rPr>
        <w:t>（一）地貌重塑</w:t>
      </w:r>
    </w:p>
    <w:p w14:paraId="49F0BFAE">
      <w:pPr>
        <w:pStyle w:val="7"/>
        <w:bidi w:val="0"/>
        <w:spacing w:line="360" w:lineRule="auto"/>
        <w:ind w:firstLine="562" w:firstLineChars="200"/>
        <w:rPr>
          <w:rFonts w:hint="eastAsia"/>
          <w:b/>
          <w:bCs w:val="0"/>
          <w:sz w:val="28"/>
          <w:szCs w:val="28"/>
          <w:lang w:val="en-US" w:eastAsia="zh-CN"/>
        </w:rPr>
      </w:pPr>
      <w:bookmarkStart w:id="390" w:name="_Toc493688856"/>
      <w:bookmarkStart w:id="391" w:name="_Hlk128984444"/>
      <w:bookmarkStart w:id="392" w:name="_Toc493688855"/>
      <w:bookmarkStart w:id="393" w:name="_Toc197084785"/>
      <w:bookmarkStart w:id="394" w:name="_Toc225743644"/>
      <w:r>
        <w:rPr>
          <w:rFonts w:hint="eastAsia"/>
          <w:b/>
          <w:bCs w:val="0"/>
          <w:sz w:val="28"/>
          <w:szCs w:val="28"/>
          <w:lang w:val="en-US" w:eastAsia="zh-CN"/>
        </w:rPr>
        <w:t>1、截排水工程</w:t>
      </w:r>
    </w:p>
    <w:p w14:paraId="00F2C0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kern w:val="0"/>
          <w:sz w:val="28"/>
          <w:szCs w:val="28"/>
        </w:rPr>
      </w:pPr>
      <w:r>
        <w:rPr>
          <w:sz w:val="28"/>
          <w:szCs w:val="28"/>
        </w:rPr>
        <w:t>在露天采场</w:t>
      </w:r>
      <w:r>
        <w:rPr>
          <w:rFonts w:hint="eastAsia"/>
          <w:sz w:val="28"/>
          <w:szCs w:val="28"/>
          <w:lang w:val="en-US" w:eastAsia="zh-CN"/>
        </w:rPr>
        <w:t>北部汇水地段</w:t>
      </w:r>
      <w:r>
        <w:rPr>
          <w:sz w:val="28"/>
          <w:szCs w:val="28"/>
        </w:rPr>
        <w:t>修筑截排水沟，主要是暴雨期间</w:t>
      </w:r>
      <w:r>
        <w:rPr>
          <w:rFonts w:hint="eastAsia" w:ascii="宋体" w:hAnsi="宋体" w:cs="宋体"/>
          <w:kern w:val="0"/>
          <w:sz w:val="28"/>
          <w:szCs w:val="28"/>
        </w:rPr>
        <w:t>截留场外汇水，并最终汇流至矿区外围设置的1</w:t>
      </w:r>
      <w:r>
        <w:rPr>
          <w:rFonts w:ascii="宋体" w:hAnsi="宋体" w:cs="宋体"/>
          <w:kern w:val="0"/>
          <w:sz w:val="28"/>
          <w:szCs w:val="28"/>
        </w:rPr>
        <w:t>#</w:t>
      </w:r>
      <w:r>
        <w:rPr>
          <w:rFonts w:hint="eastAsia" w:ascii="宋体" w:hAnsi="宋体" w:cs="宋体"/>
          <w:kern w:val="0"/>
          <w:sz w:val="28"/>
          <w:szCs w:val="28"/>
        </w:rPr>
        <w:t>沉砂池内，经过沉淀处理并达到排放标准后方进行外排。</w:t>
      </w:r>
      <w:r>
        <w:rPr>
          <w:rFonts w:hint="eastAsia" w:ascii="宋体" w:hAnsi="宋体" w:cs="宋体"/>
          <w:kern w:val="0"/>
          <w:sz w:val="28"/>
          <w:szCs w:val="28"/>
          <w:lang w:val="en-US" w:eastAsia="zh-CN"/>
        </w:rPr>
        <w:t>截排水沟与矿区外围现有水渠贯通，</w:t>
      </w:r>
      <w:r>
        <w:rPr>
          <w:rFonts w:hint="eastAsia"/>
          <w:sz w:val="28"/>
          <w:szCs w:val="28"/>
          <w:lang w:val="en-US" w:eastAsia="zh-CN"/>
        </w:rPr>
        <w:t>将场外汇水排出。</w:t>
      </w:r>
    </w:p>
    <w:p w14:paraId="4664D4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kern w:val="0"/>
          <w:sz w:val="28"/>
          <w:szCs w:val="28"/>
        </w:rPr>
      </w:pPr>
      <w:r>
        <w:rPr>
          <w:rFonts w:hint="eastAsia" w:ascii="宋体" w:hAnsi="宋体" w:cs="宋体"/>
          <w:kern w:val="0"/>
          <w:sz w:val="28"/>
          <w:szCs w:val="28"/>
          <w:lang w:eastAsia="zh-CN"/>
        </w:rPr>
        <w:t>（</w:t>
      </w:r>
      <w:r>
        <w:rPr>
          <w:rFonts w:hint="eastAsia" w:ascii="宋体" w:hAnsi="宋体" w:cs="宋体"/>
          <w:kern w:val="0"/>
          <w:sz w:val="28"/>
          <w:szCs w:val="28"/>
          <w:lang w:val="en-US" w:eastAsia="zh-CN"/>
        </w:rPr>
        <w:t>1</w:t>
      </w:r>
      <w:r>
        <w:rPr>
          <w:rFonts w:hint="eastAsia" w:ascii="宋体" w:hAnsi="宋体" w:cs="宋体"/>
          <w:kern w:val="0"/>
          <w:sz w:val="28"/>
          <w:szCs w:val="28"/>
          <w:lang w:eastAsia="zh-CN"/>
        </w:rPr>
        <w:t>）</w:t>
      </w:r>
      <w:r>
        <w:rPr>
          <w:rFonts w:hint="eastAsia" w:ascii="宋体" w:hAnsi="宋体" w:cs="宋体"/>
          <w:kern w:val="0"/>
          <w:sz w:val="28"/>
          <w:szCs w:val="28"/>
        </w:rPr>
        <w:t>矿区外部截水沟</w:t>
      </w:r>
    </w:p>
    <w:p w14:paraId="17BE55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为减少外围汇水进入矿区，</w:t>
      </w:r>
      <w:r>
        <w:rPr>
          <w:rFonts w:hint="default" w:ascii="Times New Roman" w:hAnsi="Times New Roman" w:cs="Times New Roman"/>
          <w:kern w:val="0"/>
          <w:sz w:val="28"/>
          <w:szCs w:val="28"/>
          <w:lang w:val="en-US" w:eastAsia="zh-CN"/>
        </w:rPr>
        <w:t>防止</w:t>
      </w:r>
      <w:r>
        <w:rPr>
          <w:rFonts w:hint="default" w:ascii="Times New Roman" w:hAnsi="Times New Roman" w:cs="Times New Roman"/>
          <w:kern w:val="0"/>
          <w:sz w:val="28"/>
          <w:szCs w:val="28"/>
        </w:rPr>
        <w:t>暴雨期间地表迳流涌入采场，防止水土流失、开采边坡失稳及山洪暴发等对采场造成的威胁。</w:t>
      </w:r>
      <w:r>
        <w:rPr>
          <w:rFonts w:hint="default" w:ascii="Times New Roman" w:hAnsi="Times New Roman" w:cs="Times New Roman"/>
          <w:kern w:val="0"/>
          <w:sz w:val="28"/>
          <w:szCs w:val="28"/>
          <w:lang w:val="en-US" w:eastAsia="zh-CN"/>
        </w:rPr>
        <w:t>矿区整体地形平坦，</w:t>
      </w:r>
      <w:r>
        <w:rPr>
          <w:rFonts w:hint="eastAsia" w:cs="Times New Roman"/>
          <w:kern w:val="0"/>
          <w:sz w:val="28"/>
          <w:szCs w:val="28"/>
          <w:lang w:val="en-US" w:eastAsia="zh-CN"/>
        </w:rPr>
        <w:t>仅在</w:t>
      </w:r>
      <w:r>
        <w:rPr>
          <w:rFonts w:hint="default" w:ascii="Times New Roman" w:hAnsi="Times New Roman" w:cs="Times New Roman"/>
          <w:kern w:val="0"/>
          <w:sz w:val="28"/>
          <w:szCs w:val="28"/>
          <w:lang w:val="en-US" w:eastAsia="zh-CN"/>
        </w:rPr>
        <w:t>露天采场北部</w:t>
      </w:r>
      <w:r>
        <w:rPr>
          <w:rFonts w:hint="eastAsia" w:cs="Times New Roman"/>
          <w:kern w:val="0"/>
          <w:sz w:val="28"/>
          <w:szCs w:val="28"/>
          <w:lang w:val="en-US" w:eastAsia="zh-CN"/>
        </w:rPr>
        <w:t>存在</w:t>
      </w:r>
      <w:r>
        <w:rPr>
          <w:rFonts w:hint="default" w:ascii="Times New Roman" w:hAnsi="Times New Roman" w:cs="Times New Roman"/>
          <w:kern w:val="0"/>
          <w:sz w:val="28"/>
          <w:szCs w:val="28"/>
          <w:lang w:val="en-US" w:eastAsia="zh-CN"/>
        </w:rPr>
        <w:t>汇水地段</w:t>
      </w:r>
      <w:r>
        <w:rPr>
          <w:rFonts w:hint="eastAsia" w:cs="Times New Roman"/>
          <w:kern w:val="0"/>
          <w:sz w:val="28"/>
          <w:szCs w:val="28"/>
          <w:lang w:val="en-US" w:eastAsia="zh-CN"/>
        </w:rPr>
        <w:t>。本方案对开发利用方案中设计的截排水工程进行了优化调整。因此本方案将截水沟设置在</w:t>
      </w:r>
      <w:r>
        <w:rPr>
          <w:rFonts w:hint="default" w:ascii="Times New Roman" w:hAnsi="Times New Roman" w:cs="Times New Roman"/>
          <w:kern w:val="0"/>
          <w:sz w:val="28"/>
          <w:szCs w:val="28"/>
          <w:lang w:val="en-US" w:eastAsia="zh-CN"/>
        </w:rPr>
        <w:t>露天采场北部局部汇水地段。截水沟</w:t>
      </w:r>
      <w:r>
        <w:rPr>
          <w:rFonts w:hint="default" w:ascii="Times New Roman" w:hAnsi="Times New Roman" w:cs="Times New Roman"/>
          <w:kern w:val="0"/>
          <w:sz w:val="28"/>
          <w:szCs w:val="28"/>
        </w:rPr>
        <w:t>设</w:t>
      </w:r>
      <w:r>
        <w:rPr>
          <w:rFonts w:hint="default" w:ascii="Times New Roman" w:hAnsi="Times New Roman" w:cs="Times New Roman"/>
          <w:kern w:val="0"/>
          <w:sz w:val="28"/>
          <w:szCs w:val="28"/>
          <w:highlight w:val="none"/>
        </w:rPr>
        <w:t>计</w:t>
      </w:r>
      <w:r>
        <w:rPr>
          <w:rFonts w:hint="eastAsia" w:ascii="Times New Roman" w:hAnsi="Times New Roman" w:cs="Times New Roman"/>
          <w:kern w:val="0"/>
          <w:sz w:val="28"/>
          <w:szCs w:val="28"/>
          <w:highlight w:val="none"/>
          <w:lang w:val="en-US" w:eastAsia="zh-CN"/>
        </w:rPr>
        <w:t>为（图4-1a、b）</w:t>
      </w:r>
      <w:r>
        <w:rPr>
          <w:rFonts w:hint="default" w:ascii="Times New Roman" w:hAnsi="Times New Roman" w:cs="Times New Roman"/>
          <w:kern w:val="0"/>
          <w:sz w:val="28"/>
          <w:szCs w:val="28"/>
          <w:highlight w:val="none"/>
        </w:rPr>
        <w:t>：</w:t>
      </w:r>
      <w:r>
        <w:rPr>
          <w:rFonts w:hint="default" w:ascii="Times New Roman" w:hAnsi="Times New Roman" w:cs="Times New Roman"/>
          <w:kern w:val="0"/>
          <w:sz w:val="28"/>
          <w:szCs w:val="28"/>
        </w:rPr>
        <w:t>顶宽0.80m，底宽0.40m，深度0.40m。设计</w:t>
      </w:r>
      <w:r>
        <w:rPr>
          <w:rFonts w:hint="default" w:ascii="Times New Roman" w:hAnsi="Times New Roman" w:cs="Times New Roman"/>
          <w:kern w:val="0"/>
          <w:sz w:val="28"/>
          <w:szCs w:val="28"/>
          <w:lang w:val="en-US" w:eastAsia="zh-CN"/>
        </w:rPr>
        <w:t>截</w:t>
      </w:r>
      <w:r>
        <w:rPr>
          <w:rFonts w:hint="default" w:ascii="Times New Roman" w:hAnsi="Times New Roman" w:cs="Times New Roman"/>
          <w:kern w:val="0"/>
          <w:sz w:val="28"/>
          <w:szCs w:val="28"/>
        </w:rPr>
        <w:t>水沟长度</w:t>
      </w:r>
      <w:r>
        <w:rPr>
          <w:rFonts w:hint="default" w:ascii="Times New Roman" w:hAnsi="Times New Roman" w:cs="Times New Roman"/>
          <w:kern w:val="0"/>
          <w:sz w:val="28"/>
          <w:szCs w:val="28"/>
          <w:lang w:val="en-US" w:eastAsia="zh-CN"/>
        </w:rPr>
        <w:t>520</w:t>
      </w:r>
      <w:r>
        <w:rPr>
          <w:rFonts w:hint="default" w:ascii="Times New Roman" w:hAnsi="Times New Roman" w:cs="Times New Roman"/>
          <w:kern w:val="0"/>
          <w:sz w:val="28"/>
          <w:szCs w:val="28"/>
        </w:rPr>
        <w:t>m。沟底现铺设水泥</w:t>
      </w:r>
      <w:r>
        <w:rPr>
          <w:rFonts w:hint="eastAsia" w:cs="Times New Roman"/>
          <w:kern w:val="0"/>
          <w:sz w:val="28"/>
          <w:szCs w:val="28"/>
          <w:lang w:eastAsia="zh-CN"/>
        </w:rPr>
        <w:t>毯</w:t>
      </w:r>
      <w:r>
        <w:rPr>
          <w:rFonts w:hint="default" w:ascii="Times New Roman" w:hAnsi="Times New Roman" w:cs="Times New Roman"/>
          <w:kern w:val="0"/>
          <w:sz w:val="28"/>
          <w:szCs w:val="28"/>
        </w:rPr>
        <w:t>，边壁砂浆抹面</w:t>
      </w:r>
      <w:r>
        <w:rPr>
          <w:rFonts w:hint="default" w:ascii="Times New Roman" w:hAnsi="Times New Roman" w:cs="Times New Roman"/>
          <w:kern w:val="0"/>
          <w:sz w:val="28"/>
          <w:szCs w:val="28"/>
          <w:lang w:eastAsia="zh-CN"/>
        </w:rPr>
        <w:t>。</w:t>
      </w:r>
      <w:r>
        <w:rPr>
          <w:rFonts w:hint="default" w:ascii="Times New Roman" w:hAnsi="Times New Roman" w:cs="Times New Roman"/>
          <w:kern w:val="0"/>
          <w:sz w:val="28"/>
          <w:szCs w:val="28"/>
          <w:lang w:val="en-US" w:eastAsia="zh-CN"/>
        </w:rPr>
        <w:t>截水沟土方开挖157.95m</w:t>
      </w:r>
      <w:r>
        <w:rPr>
          <w:rFonts w:hint="default" w:ascii="Times New Roman" w:hAnsi="Times New Roman" w:cs="Times New Roman"/>
          <w:kern w:val="0"/>
          <w:sz w:val="28"/>
          <w:szCs w:val="28"/>
          <w:vertAlign w:val="superscript"/>
          <w:lang w:val="en-US" w:eastAsia="zh-CN"/>
        </w:rPr>
        <w:t>3</w:t>
      </w:r>
      <w:r>
        <w:rPr>
          <w:rFonts w:hint="eastAsia" w:cs="Times New Roman"/>
          <w:kern w:val="0"/>
          <w:sz w:val="28"/>
          <w:szCs w:val="28"/>
          <w:vertAlign w:val="baseline"/>
          <w:lang w:val="en-US" w:eastAsia="zh-CN"/>
        </w:rPr>
        <w:t>，</w:t>
      </w:r>
      <w:r>
        <w:rPr>
          <w:rFonts w:hint="default" w:ascii="Times New Roman" w:hAnsi="Times New Roman" w:cs="Times New Roman"/>
          <w:kern w:val="0"/>
          <w:sz w:val="28"/>
          <w:szCs w:val="28"/>
        </w:rPr>
        <w:t>水泥</w:t>
      </w:r>
      <w:r>
        <w:rPr>
          <w:rFonts w:hint="eastAsia" w:cs="Times New Roman"/>
          <w:kern w:val="0"/>
          <w:sz w:val="28"/>
          <w:szCs w:val="28"/>
          <w:lang w:eastAsia="zh-CN"/>
        </w:rPr>
        <w:t>毯</w:t>
      </w:r>
      <w:r>
        <w:rPr>
          <w:rFonts w:hint="default" w:ascii="Times New Roman" w:hAnsi="Times New Roman" w:cs="Times New Roman"/>
          <w:kern w:val="0"/>
          <w:sz w:val="28"/>
          <w:szCs w:val="28"/>
        </w:rPr>
        <w:t>面积</w:t>
      </w:r>
      <w:r>
        <w:rPr>
          <w:rFonts w:hint="default" w:ascii="Times New Roman" w:hAnsi="Times New Roman" w:cs="Times New Roman"/>
          <w:kern w:val="0"/>
          <w:sz w:val="28"/>
          <w:szCs w:val="28"/>
          <w:lang w:val="en-US" w:eastAsia="zh-CN"/>
        </w:rPr>
        <w:t>676m</w:t>
      </w:r>
      <w:r>
        <w:rPr>
          <w:rFonts w:hint="default" w:ascii="Times New Roman" w:hAnsi="Times New Roman" w:cs="Times New Roman"/>
          <w:kern w:val="0"/>
          <w:sz w:val="28"/>
          <w:szCs w:val="28"/>
          <w:vertAlign w:val="superscript"/>
          <w:lang w:val="en-US" w:eastAsia="zh-CN"/>
        </w:rPr>
        <w:t>2</w:t>
      </w:r>
      <w:r>
        <w:rPr>
          <w:rFonts w:hint="default" w:ascii="Times New Roman" w:hAnsi="Times New Roman" w:cs="Times New Roman"/>
          <w:kern w:val="0"/>
          <w:sz w:val="28"/>
          <w:szCs w:val="28"/>
        </w:rPr>
        <w:t>，砂浆抹面工程量为</w:t>
      </w:r>
      <w:r>
        <w:rPr>
          <w:rFonts w:hint="default" w:ascii="Times New Roman" w:hAnsi="Times New Roman" w:cs="Times New Roman"/>
          <w:kern w:val="0"/>
          <w:sz w:val="28"/>
          <w:szCs w:val="28"/>
          <w:lang w:val="en-US" w:eastAsia="zh-CN"/>
        </w:rPr>
        <w:t>676</w:t>
      </w:r>
      <w:r>
        <w:rPr>
          <w:rFonts w:hint="default" w:ascii="Times New Roman" w:hAnsi="Times New Roman" w:cs="Times New Roman"/>
          <w:kern w:val="0"/>
          <w:sz w:val="28"/>
          <w:szCs w:val="28"/>
        </w:rPr>
        <w:t>m</w:t>
      </w:r>
      <w:r>
        <w:rPr>
          <w:rFonts w:hint="default" w:ascii="Times New Roman" w:hAnsi="Times New Roman" w:cs="Times New Roman"/>
          <w:kern w:val="0"/>
          <w:sz w:val="28"/>
          <w:szCs w:val="28"/>
          <w:vertAlign w:val="superscript"/>
          <w:lang w:val="en-US" w:eastAsia="zh-CN"/>
        </w:rPr>
        <w:t>2</w:t>
      </w:r>
      <w:r>
        <w:rPr>
          <w:rFonts w:hint="default" w:ascii="Times New Roman" w:hAnsi="Times New Roman" w:cs="Times New Roman"/>
          <w:kern w:val="0"/>
          <w:sz w:val="28"/>
          <w:szCs w:val="28"/>
        </w:rPr>
        <w:t>。</w:t>
      </w:r>
    </w:p>
    <w:p w14:paraId="240DEC6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cs="Times New Roman"/>
          <w:kern w:val="0"/>
          <w:sz w:val="28"/>
          <w:szCs w:val="28"/>
        </w:rPr>
      </w:pPr>
      <w:r>
        <w:rPr>
          <w:rFonts w:hint="eastAsia" w:ascii="Times New Roman" w:hAnsi="Times New Roman" w:cs="Times New Roman"/>
          <w:kern w:val="0"/>
          <w:sz w:val="28"/>
          <w:szCs w:val="28"/>
        </w:rPr>
        <w:t>（</w:t>
      </w:r>
      <w:r>
        <w:rPr>
          <w:rFonts w:hint="eastAsia" w:cs="Times New Roman"/>
          <w:kern w:val="0"/>
          <w:sz w:val="28"/>
          <w:szCs w:val="28"/>
          <w:lang w:val="en-US" w:eastAsia="zh-CN"/>
        </w:rPr>
        <w:t>2</w:t>
      </w:r>
      <w:r>
        <w:rPr>
          <w:rFonts w:hint="eastAsia" w:ascii="Times New Roman" w:hAnsi="Times New Roman" w:cs="Times New Roman"/>
          <w:kern w:val="0"/>
          <w:sz w:val="28"/>
          <w:szCs w:val="28"/>
        </w:rPr>
        <w:t>）沉砂池</w:t>
      </w:r>
    </w:p>
    <w:p w14:paraId="0B7C8BD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kern w:val="0"/>
          <w:sz w:val="28"/>
          <w:szCs w:val="28"/>
        </w:rPr>
      </w:pPr>
      <w:r>
        <w:rPr>
          <w:rFonts w:hint="eastAsia" w:cs="Times New Roman"/>
          <w:kern w:val="0"/>
          <w:sz w:val="28"/>
          <w:szCs w:val="28"/>
          <w:lang w:val="en-US" w:eastAsia="zh-CN"/>
        </w:rPr>
        <w:t>设计</w:t>
      </w:r>
      <w:r>
        <w:rPr>
          <w:rFonts w:hint="eastAsia" w:ascii="Times New Roman" w:hAnsi="Times New Roman" w:cs="Times New Roman"/>
          <w:kern w:val="0"/>
          <w:sz w:val="28"/>
          <w:szCs w:val="28"/>
        </w:rPr>
        <w:t>沉淀池</w:t>
      </w:r>
      <w:r>
        <w:rPr>
          <w:rFonts w:hint="eastAsia" w:cs="Times New Roman"/>
          <w:kern w:val="0"/>
          <w:sz w:val="28"/>
          <w:szCs w:val="28"/>
          <w:lang w:val="en-US" w:eastAsia="zh-CN"/>
        </w:rPr>
        <w:t>1座，</w:t>
      </w:r>
      <w:r>
        <w:rPr>
          <w:rFonts w:hint="eastAsia" w:ascii="Times New Roman" w:hAnsi="Times New Roman" w:cs="Times New Roman"/>
          <w:kern w:val="0"/>
          <w:sz w:val="28"/>
          <w:szCs w:val="28"/>
        </w:rPr>
        <w:t>位</w:t>
      </w:r>
      <w:r>
        <w:rPr>
          <w:rFonts w:hint="eastAsia" w:cs="Times New Roman"/>
          <w:kern w:val="0"/>
          <w:sz w:val="28"/>
          <w:szCs w:val="28"/>
          <w:lang w:val="en-US" w:eastAsia="zh-CN"/>
        </w:rPr>
        <w:t>与</w:t>
      </w:r>
      <w:r>
        <w:rPr>
          <w:rFonts w:hint="eastAsia" w:ascii="Times New Roman" w:hAnsi="Times New Roman" w:cs="Times New Roman"/>
          <w:kern w:val="0"/>
          <w:sz w:val="28"/>
          <w:szCs w:val="28"/>
        </w:rPr>
        <w:t>采场</w:t>
      </w:r>
      <w:r>
        <w:rPr>
          <w:rFonts w:hint="eastAsia" w:cs="Times New Roman"/>
          <w:kern w:val="0"/>
          <w:sz w:val="28"/>
          <w:szCs w:val="28"/>
          <w:lang w:val="en-US" w:eastAsia="zh-CN"/>
        </w:rPr>
        <w:t>截</w:t>
      </w:r>
      <w:r>
        <w:rPr>
          <w:rFonts w:hint="eastAsia" w:ascii="Times New Roman" w:hAnsi="Times New Roman" w:cs="Times New Roman"/>
          <w:kern w:val="0"/>
          <w:sz w:val="28"/>
          <w:szCs w:val="28"/>
        </w:rPr>
        <w:t>水沟末端，</w:t>
      </w:r>
      <w:r>
        <w:rPr>
          <w:rFonts w:hint="eastAsia" w:cs="Times New Roman"/>
          <w:kern w:val="0"/>
          <w:sz w:val="28"/>
          <w:szCs w:val="28"/>
          <w:lang w:val="en-US" w:eastAsia="zh-CN"/>
        </w:rPr>
        <w:t>位于露天采场西侧。</w:t>
      </w:r>
      <w:r>
        <w:rPr>
          <w:rFonts w:hint="eastAsia" w:ascii="Times New Roman" w:hAnsi="Times New Roman" w:cs="Times New Roman"/>
          <w:kern w:val="0"/>
          <w:sz w:val="28"/>
          <w:szCs w:val="28"/>
        </w:rPr>
        <w:t>采用</w:t>
      </w:r>
      <w:r>
        <w:rPr>
          <w:rFonts w:hint="default" w:ascii="Times New Roman" w:hAnsi="Times New Roman" w:cs="Times New Roman"/>
          <w:kern w:val="0"/>
          <w:sz w:val="28"/>
          <w:szCs w:val="28"/>
        </w:rPr>
        <w:t>C</w:t>
      </w:r>
      <w:r>
        <w:rPr>
          <w:rFonts w:hint="eastAsia" w:cs="Times New Roman"/>
          <w:kern w:val="0"/>
          <w:sz w:val="28"/>
          <w:szCs w:val="28"/>
          <w:lang w:val="en-US" w:eastAsia="zh-CN"/>
        </w:rPr>
        <w:t>25</w:t>
      </w:r>
      <w:r>
        <w:rPr>
          <w:rFonts w:hint="default" w:ascii="Times New Roman" w:hAnsi="Times New Roman" w:cs="Times New Roman"/>
          <w:kern w:val="0"/>
          <w:sz w:val="28"/>
          <w:szCs w:val="28"/>
        </w:rPr>
        <w:t>混凝土现场浇筑。</w:t>
      </w:r>
      <w:r>
        <w:rPr>
          <w:rFonts w:hint="eastAsia" w:ascii="Times New Roman" w:hAnsi="Times New Roman" w:cs="Times New Roman"/>
          <w:kern w:val="0"/>
          <w:sz w:val="28"/>
          <w:szCs w:val="28"/>
        </w:rPr>
        <w:t>沉</w:t>
      </w:r>
      <w:r>
        <w:rPr>
          <w:rFonts w:hint="default" w:ascii="Times New Roman" w:hAnsi="Times New Roman" w:cs="Times New Roman"/>
          <w:kern w:val="0"/>
          <w:sz w:val="28"/>
          <w:szCs w:val="28"/>
        </w:rPr>
        <w:t>沙池</w:t>
      </w:r>
      <w:r>
        <w:rPr>
          <w:rFonts w:hint="eastAsia" w:ascii="Times New Roman" w:hAnsi="Times New Roman" w:cs="Times New Roman"/>
          <w:kern w:val="0"/>
          <w:sz w:val="28"/>
          <w:szCs w:val="28"/>
        </w:rPr>
        <w:t>规格设计</w:t>
      </w:r>
      <w:r>
        <w:rPr>
          <w:rFonts w:hint="default" w:ascii="Times New Roman" w:hAnsi="Times New Roman" w:cs="Times New Roman"/>
          <w:kern w:val="0"/>
          <w:sz w:val="28"/>
          <w:szCs w:val="28"/>
        </w:rPr>
        <w:t>为(图</w:t>
      </w:r>
      <w:r>
        <w:rPr>
          <w:rFonts w:hint="eastAsia" w:cs="Times New Roman"/>
          <w:kern w:val="0"/>
          <w:sz w:val="28"/>
          <w:szCs w:val="28"/>
          <w:lang w:val="en-US" w:eastAsia="zh-CN"/>
        </w:rPr>
        <w:t>4</w:t>
      </w:r>
      <w:r>
        <w:rPr>
          <w:rFonts w:hint="default" w:ascii="Times New Roman" w:hAnsi="Times New Roman" w:cs="Times New Roman"/>
          <w:kern w:val="0"/>
          <w:sz w:val="28"/>
          <w:szCs w:val="28"/>
        </w:rPr>
        <w:t>-</w:t>
      </w:r>
      <w:r>
        <w:rPr>
          <w:rFonts w:hint="eastAsia" w:cs="Times New Roman"/>
          <w:kern w:val="0"/>
          <w:sz w:val="28"/>
          <w:szCs w:val="28"/>
          <w:lang w:val="en-US" w:eastAsia="zh-CN"/>
        </w:rPr>
        <w:t>2</w:t>
      </w:r>
      <w:r>
        <w:rPr>
          <w:rFonts w:hint="default" w:ascii="Times New Roman" w:hAnsi="Times New Roman" w:cs="Times New Roman"/>
          <w:kern w:val="0"/>
          <w:sz w:val="28"/>
          <w:szCs w:val="28"/>
        </w:rPr>
        <w:t>a、b、c)：</w:t>
      </w:r>
      <w:r>
        <w:rPr>
          <w:rFonts w:hint="eastAsia" w:ascii="Times New Roman" w:hAnsi="Times New Roman" w:cs="Times New Roman"/>
          <w:kern w:val="0"/>
          <w:sz w:val="28"/>
          <w:szCs w:val="28"/>
        </w:rPr>
        <w:t>长</w:t>
      </w:r>
      <w:r>
        <w:rPr>
          <w:rFonts w:hint="eastAsia" w:cs="Times New Roman"/>
          <w:kern w:val="0"/>
          <w:sz w:val="28"/>
          <w:szCs w:val="28"/>
          <w:lang w:val="en-US" w:eastAsia="zh-CN"/>
        </w:rPr>
        <w:t>5.0</w:t>
      </w:r>
      <w:r>
        <w:rPr>
          <w:rFonts w:hint="default" w:ascii="Times New Roman" w:hAnsi="Times New Roman" w:cs="Times New Roman"/>
          <w:kern w:val="0"/>
          <w:sz w:val="28"/>
          <w:szCs w:val="28"/>
        </w:rPr>
        <w:t>m</w:t>
      </w:r>
      <w:r>
        <w:rPr>
          <w:rFonts w:hint="eastAsia" w:ascii="Times New Roman" w:hAnsi="Times New Roman" w:cs="Times New Roman"/>
          <w:kern w:val="0"/>
          <w:sz w:val="28"/>
          <w:szCs w:val="28"/>
        </w:rPr>
        <w:t>、</w:t>
      </w:r>
      <w:r>
        <w:rPr>
          <w:rFonts w:hint="default" w:ascii="Times New Roman" w:hAnsi="Times New Roman" w:cs="Times New Roman"/>
          <w:kern w:val="0"/>
          <w:sz w:val="28"/>
          <w:szCs w:val="28"/>
        </w:rPr>
        <w:t>宽</w:t>
      </w:r>
      <w:r>
        <w:rPr>
          <w:rFonts w:hint="eastAsia" w:cs="Times New Roman"/>
          <w:kern w:val="0"/>
          <w:sz w:val="28"/>
          <w:szCs w:val="28"/>
          <w:lang w:val="en-US" w:eastAsia="zh-CN"/>
        </w:rPr>
        <w:t>3.0</w:t>
      </w:r>
      <w:r>
        <w:rPr>
          <w:rFonts w:hint="default" w:ascii="Times New Roman" w:hAnsi="Times New Roman" w:cs="Times New Roman"/>
          <w:kern w:val="0"/>
          <w:sz w:val="28"/>
          <w:szCs w:val="28"/>
        </w:rPr>
        <w:t>m</w:t>
      </w:r>
      <w:r>
        <w:rPr>
          <w:rFonts w:hint="eastAsia" w:ascii="Times New Roman" w:hAnsi="Times New Roman" w:cs="Times New Roman"/>
          <w:kern w:val="0"/>
          <w:sz w:val="28"/>
          <w:szCs w:val="28"/>
        </w:rPr>
        <w:t>、</w:t>
      </w:r>
      <w:r>
        <w:rPr>
          <w:rFonts w:hint="default" w:ascii="Times New Roman" w:hAnsi="Times New Roman" w:cs="Times New Roman"/>
          <w:kern w:val="0"/>
          <w:sz w:val="28"/>
          <w:szCs w:val="28"/>
        </w:rPr>
        <w:t>深度</w:t>
      </w:r>
      <w:r>
        <w:rPr>
          <w:rFonts w:hint="eastAsia" w:ascii="Times New Roman" w:hAnsi="Times New Roman" w:cs="Times New Roman"/>
          <w:kern w:val="0"/>
          <w:sz w:val="28"/>
          <w:szCs w:val="28"/>
        </w:rPr>
        <w:t>2</w:t>
      </w:r>
      <w:r>
        <w:rPr>
          <w:rFonts w:hint="eastAsia" w:cs="Times New Roman"/>
          <w:kern w:val="0"/>
          <w:sz w:val="28"/>
          <w:szCs w:val="28"/>
          <w:lang w:val="en-US" w:eastAsia="zh-CN"/>
        </w:rPr>
        <w:t>.0</w:t>
      </w:r>
      <w:r>
        <w:rPr>
          <w:rFonts w:hint="default" w:ascii="Times New Roman" w:hAnsi="Times New Roman" w:cs="Times New Roman"/>
          <w:kern w:val="0"/>
          <w:sz w:val="28"/>
          <w:szCs w:val="28"/>
        </w:rPr>
        <w:t>m</w:t>
      </w:r>
      <w:r>
        <w:rPr>
          <w:rFonts w:hint="eastAsia" w:cs="Times New Roman"/>
          <w:kern w:val="0"/>
          <w:sz w:val="28"/>
          <w:szCs w:val="28"/>
          <w:lang w:eastAsia="zh-CN"/>
        </w:rPr>
        <w:t>，</w:t>
      </w:r>
      <w:r>
        <w:rPr>
          <w:rFonts w:hint="eastAsia" w:ascii="Times New Roman" w:hAnsi="Times New Roman" w:cs="Times New Roman"/>
          <w:kern w:val="0"/>
          <w:sz w:val="28"/>
          <w:szCs w:val="28"/>
        </w:rPr>
        <w:t>设计沉沙池边壁厚度0.2</w:t>
      </w:r>
      <w:r>
        <w:rPr>
          <w:rFonts w:hint="default" w:ascii="Times New Roman" w:hAnsi="Times New Roman" w:cs="Times New Roman"/>
          <w:kern w:val="0"/>
          <w:sz w:val="28"/>
          <w:szCs w:val="28"/>
        </w:rPr>
        <w:t>m</w:t>
      </w:r>
      <w:r>
        <w:rPr>
          <w:rFonts w:hint="eastAsia" w:cs="Times New Roman"/>
          <w:kern w:val="0"/>
          <w:sz w:val="28"/>
          <w:szCs w:val="28"/>
          <w:lang w:eastAsia="zh-CN"/>
        </w:rPr>
        <w:t>，</w:t>
      </w:r>
      <w:r>
        <w:rPr>
          <w:rFonts w:hint="eastAsia" w:cs="Times New Roman"/>
          <w:kern w:val="0"/>
          <w:sz w:val="28"/>
          <w:szCs w:val="28"/>
          <w:lang w:val="en-US" w:eastAsia="zh-CN"/>
        </w:rPr>
        <w:t>设计沉砂池按1:0.75坡比开挖。沉砂池土方开挖</w:t>
      </w:r>
      <w:r>
        <w:rPr>
          <w:rFonts w:hint="eastAsia" w:ascii="Times New Roman" w:hAnsi="Times New Roman" w:cs="Times New Roman"/>
          <w:kern w:val="0"/>
          <w:sz w:val="28"/>
          <w:szCs w:val="28"/>
        </w:rPr>
        <w:t>为</w:t>
      </w:r>
      <w:r>
        <w:rPr>
          <w:rFonts w:hint="eastAsia" w:cs="Times New Roman"/>
          <w:kern w:val="0"/>
          <w:sz w:val="28"/>
          <w:szCs w:val="28"/>
          <w:lang w:val="en-US" w:eastAsia="zh-CN"/>
        </w:rPr>
        <w:t>69</w:t>
      </w:r>
      <w:r>
        <w:rPr>
          <w:rFonts w:hint="default" w:ascii="Times New Roman" w:hAnsi="Times New Roman" w:cs="Times New Roman"/>
          <w:kern w:val="0"/>
          <w:sz w:val="28"/>
          <w:szCs w:val="28"/>
        </w:rPr>
        <w:t>m</w:t>
      </w:r>
      <w:r>
        <w:rPr>
          <w:rFonts w:hint="eastAsia" w:cs="Times New Roman"/>
          <w:kern w:val="0"/>
          <w:sz w:val="28"/>
          <w:szCs w:val="28"/>
          <w:vertAlign w:val="superscript"/>
          <w:lang w:val="en-US" w:eastAsia="zh-CN"/>
        </w:rPr>
        <w:t>3</w:t>
      </w:r>
      <w:r>
        <w:rPr>
          <w:rFonts w:hint="eastAsia" w:cs="Times New Roman"/>
          <w:kern w:val="0"/>
          <w:sz w:val="28"/>
          <w:szCs w:val="28"/>
          <w:lang w:eastAsia="zh-CN"/>
        </w:rPr>
        <w:t>，</w:t>
      </w:r>
      <w:r>
        <w:rPr>
          <w:rFonts w:hint="eastAsia" w:ascii="Times New Roman" w:hAnsi="Times New Roman" w:cs="Times New Roman"/>
          <w:kern w:val="0"/>
          <w:sz w:val="28"/>
          <w:szCs w:val="28"/>
        </w:rPr>
        <w:t>混凝土量为</w:t>
      </w:r>
      <w:r>
        <w:rPr>
          <w:rFonts w:hint="eastAsia" w:ascii="Times New Roman" w:hAnsi="Times New Roman" w:cs="Times New Roman"/>
          <w:kern w:val="0"/>
          <w:sz w:val="28"/>
          <w:szCs w:val="28"/>
          <w:lang w:val="en-US" w:eastAsia="zh-CN"/>
        </w:rPr>
        <w:t>10.1</w:t>
      </w:r>
      <w:r>
        <w:rPr>
          <w:rFonts w:hint="eastAsia" w:ascii="Times New Roman" w:hAnsi="Times New Roman" w:cs="Times New Roman"/>
          <w:kern w:val="0"/>
          <w:sz w:val="28"/>
          <w:szCs w:val="28"/>
        </w:rPr>
        <w:t>m³。</w:t>
      </w:r>
    </w:p>
    <w:p w14:paraId="454820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drawing>
          <wp:inline distT="0" distB="0" distL="114300" distR="114300">
            <wp:extent cx="4707255" cy="1360170"/>
            <wp:effectExtent l="9525" t="9525" r="22860" b="17145"/>
            <wp:docPr id="28" name="图片 28" descr="排水沟截面设计图-模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排水沟截面设计图-模型_01"/>
                    <pic:cNvPicPr>
                      <a:picLocks noChangeAspect="1"/>
                    </pic:cNvPicPr>
                  </pic:nvPicPr>
                  <pic:blipFill>
                    <a:blip r:embed="rId22"/>
                    <a:stretch>
                      <a:fillRect/>
                    </a:stretch>
                  </pic:blipFill>
                  <pic:spPr>
                    <a:xfrm>
                      <a:off x="0" y="0"/>
                      <a:ext cx="4707255" cy="1360170"/>
                    </a:xfrm>
                    <a:prstGeom prst="rect">
                      <a:avLst/>
                    </a:prstGeom>
                    <a:ln>
                      <a:solidFill>
                        <a:schemeClr val="tx1"/>
                      </a:solidFill>
                    </a:ln>
                  </pic:spPr>
                </pic:pic>
              </a:graphicData>
            </a:graphic>
          </wp:inline>
        </w:drawing>
      </w:r>
    </w:p>
    <w:p w14:paraId="7DBD17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黑体" w:hAnsi="黑体" w:eastAsia="黑体"/>
          <w:bCs/>
          <w:sz w:val="24"/>
        </w:rPr>
      </w:pPr>
      <w:r>
        <w:rPr>
          <w:rFonts w:hint="eastAsia" w:ascii="黑体" w:hAnsi="黑体" w:eastAsia="黑体"/>
          <w:bCs/>
          <w:sz w:val="24"/>
          <w:lang w:val="en-US" w:eastAsia="zh-CN"/>
        </w:rPr>
        <w:t>图4-1  截</w:t>
      </w:r>
      <w:r>
        <w:rPr>
          <w:rFonts w:ascii="黑体" w:hAnsi="黑体" w:eastAsia="黑体"/>
          <w:bCs/>
          <w:sz w:val="24"/>
        </w:rPr>
        <w:t>水沟截面</w:t>
      </w:r>
      <w:r>
        <w:rPr>
          <w:rFonts w:hint="eastAsia" w:ascii="黑体" w:hAnsi="黑体" w:eastAsia="黑体"/>
          <w:bCs/>
          <w:sz w:val="24"/>
        </w:rPr>
        <w:t>设计</w:t>
      </w:r>
      <w:r>
        <w:rPr>
          <w:rFonts w:ascii="黑体" w:hAnsi="黑体" w:eastAsia="黑体"/>
          <w:bCs/>
          <w:sz w:val="24"/>
        </w:rPr>
        <w:t>图</w:t>
      </w:r>
    </w:p>
    <w:p w14:paraId="5EFA755A">
      <w:pPr>
        <w:pStyle w:val="31"/>
        <w:keepNext w:val="0"/>
        <w:keepLines w:val="0"/>
        <w:pageBreakBefore w:val="0"/>
        <w:widowControl/>
        <w:suppressLineNumbers w:val="0"/>
        <w:kinsoku/>
        <w:wordWrap/>
        <w:overflowPunct/>
        <w:topLinePunct w:val="0"/>
        <w:autoSpaceDE/>
        <w:autoSpaceDN/>
        <w:bidi w:val="0"/>
        <w:adjustRightInd/>
        <w:snapToGrid w:val="0"/>
        <w:spacing w:beforeAutospacing="1" w:afterAutospacing="1"/>
        <w:ind w:firstLine="0" w:firstLineChars="0"/>
        <w:textAlignment w:val="auto"/>
      </w:pPr>
      <w:r>
        <w:drawing>
          <wp:inline distT="0" distB="0" distL="114300" distR="114300">
            <wp:extent cx="4723130" cy="3088640"/>
            <wp:effectExtent l="0" t="0" r="1270" b="5080"/>
            <wp:docPr id="3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descr="IMG_256"/>
                    <pic:cNvPicPr>
                      <a:picLocks noChangeAspect="1"/>
                    </pic:cNvPicPr>
                  </pic:nvPicPr>
                  <pic:blipFill>
                    <a:blip r:embed="rId23"/>
                    <a:srcRect t="7514"/>
                    <a:stretch>
                      <a:fillRect/>
                    </a:stretch>
                  </pic:blipFill>
                  <pic:spPr>
                    <a:xfrm>
                      <a:off x="0" y="0"/>
                      <a:ext cx="4723130" cy="3088640"/>
                    </a:xfrm>
                    <a:prstGeom prst="rect">
                      <a:avLst/>
                    </a:prstGeom>
                    <a:noFill/>
                    <a:ln w="9525">
                      <a:noFill/>
                    </a:ln>
                  </pic:spPr>
                </pic:pic>
              </a:graphicData>
            </a:graphic>
          </wp:inline>
        </w:drawing>
      </w:r>
    </w:p>
    <w:p w14:paraId="13622B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黑体" w:hAnsi="黑体" w:eastAsia="黑体"/>
          <w:bCs/>
          <w:sz w:val="24"/>
        </w:rPr>
      </w:pPr>
      <w:r>
        <w:rPr>
          <w:rFonts w:ascii="黑体" w:hAnsi="黑体" w:eastAsia="黑体"/>
          <w:sz w:val="24"/>
        </w:rPr>
        <w:t>图</w:t>
      </w:r>
      <w:r>
        <w:rPr>
          <w:rFonts w:hint="eastAsia" w:ascii="黑体" w:hAnsi="黑体" w:eastAsia="黑体"/>
          <w:sz w:val="24"/>
          <w:lang w:val="en-US" w:eastAsia="zh-CN"/>
        </w:rPr>
        <w:t>4</w:t>
      </w:r>
      <w:r>
        <w:rPr>
          <w:rFonts w:ascii="黑体" w:hAnsi="黑体" w:eastAsia="黑体"/>
          <w:sz w:val="24"/>
        </w:rPr>
        <w:t>-</w:t>
      </w:r>
      <w:r>
        <w:rPr>
          <w:rFonts w:hint="eastAsia" w:ascii="黑体" w:hAnsi="黑体" w:eastAsia="黑体"/>
          <w:sz w:val="24"/>
          <w:lang w:val="en-US" w:eastAsia="zh-CN"/>
        </w:rPr>
        <w:t>2</w:t>
      </w:r>
      <w:r>
        <w:rPr>
          <w:rFonts w:ascii="黑体" w:hAnsi="黑体" w:eastAsia="黑体"/>
          <w:sz w:val="24"/>
        </w:rPr>
        <w:t xml:space="preserve">  </w:t>
      </w:r>
      <w:bookmarkStart w:id="395" w:name="OLE_LINK54"/>
      <w:r>
        <w:rPr>
          <w:rFonts w:hint="eastAsia" w:ascii="黑体" w:hAnsi="黑体" w:eastAsia="黑体"/>
          <w:sz w:val="24"/>
        </w:rPr>
        <w:t>沉砂池</w:t>
      </w:r>
      <w:r>
        <w:rPr>
          <w:rFonts w:ascii="黑体" w:hAnsi="黑体" w:eastAsia="黑体"/>
          <w:sz w:val="24"/>
        </w:rPr>
        <w:t>设计规格</w:t>
      </w:r>
      <w:r>
        <w:rPr>
          <w:rFonts w:hint="eastAsia" w:ascii="黑体" w:hAnsi="黑体" w:eastAsia="黑体"/>
          <w:sz w:val="24"/>
        </w:rPr>
        <w:t>图</w:t>
      </w:r>
      <w:bookmarkEnd w:id="395"/>
    </w:p>
    <w:p w14:paraId="100FFD83">
      <w:pPr>
        <w:pStyle w:val="7"/>
        <w:bidi w:val="0"/>
        <w:spacing w:line="360" w:lineRule="auto"/>
        <w:ind w:firstLine="562" w:firstLineChars="200"/>
        <w:rPr>
          <w:rFonts w:hint="eastAsia"/>
          <w:b/>
          <w:bCs w:val="0"/>
          <w:sz w:val="28"/>
          <w:szCs w:val="28"/>
          <w:lang w:val="en-US" w:eastAsia="zh-CN"/>
        </w:rPr>
      </w:pPr>
      <w:r>
        <w:rPr>
          <w:rFonts w:hint="eastAsia"/>
          <w:b/>
          <w:bCs w:val="0"/>
          <w:sz w:val="28"/>
          <w:szCs w:val="28"/>
          <w:lang w:val="en-US" w:eastAsia="zh-CN"/>
        </w:rPr>
        <w:t>2、清理工程</w:t>
      </w:r>
    </w:p>
    <w:p w14:paraId="2D8F27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rPr>
      </w:pPr>
      <w:r>
        <w:rPr>
          <w:rFonts w:hint="eastAsia"/>
          <w:sz w:val="28"/>
          <w:szCs w:val="28"/>
          <w:highlight w:val="none"/>
        </w:rPr>
        <w:t>清理工程是指矿山开采结束后，对</w:t>
      </w:r>
      <w:r>
        <w:rPr>
          <w:rFonts w:hint="eastAsia"/>
          <w:sz w:val="28"/>
          <w:szCs w:val="28"/>
          <w:highlight w:val="none"/>
          <w:lang w:val="en-US" w:eastAsia="zh-CN"/>
        </w:rPr>
        <w:t>矿区</w:t>
      </w:r>
      <w:r>
        <w:rPr>
          <w:rFonts w:hint="eastAsia"/>
          <w:sz w:val="28"/>
          <w:szCs w:val="28"/>
          <w:highlight w:val="none"/>
        </w:rPr>
        <w:t>内的建（构）筑物砌体的拆除外运和各场区地面硬化物的全部拆除外运。</w:t>
      </w:r>
    </w:p>
    <w:p w14:paraId="24FF9D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Cs/>
          <w:color w:val="000000"/>
          <w:highlight w:val="none"/>
        </w:rPr>
      </w:pPr>
      <w:r>
        <w:rPr>
          <w:rFonts w:hint="eastAsia"/>
          <w:sz w:val="28"/>
          <w:szCs w:val="28"/>
          <w:highlight w:val="none"/>
        </w:rPr>
        <w:t>本方案设计在矿山闭坑后，对</w:t>
      </w:r>
      <w:r>
        <w:rPr>
          <w:rFonts w:hint="eastAsia"/>
          <w:sz w:val="28"/>
          <w:szCs w:val="28"/>
          <w:highlight w:val="none"/>
          <w:lang w:val="en-US" w:eastAsia="zh-CN"/>
        </w:rPr>
        <w:t>破碎站</w:t>
      </w:r>
      <w:r>
        <w:rPr>
          <w:rFonts w:hint="eastAsia"/>
          <w:sz w:val="28"/>
          <w:szCs w:val="28"/>
          <w:highlight w:val="none"/>
        </w:rPr>
        <w:t>系统内的</w:t>
      </w:r>
      <w:r>
        <w:rPr>
          <w:rFonts w:hint="eastAsia"/>
          <w:sz w:val="28"/>
          <w:szCs w:val="28"/>
          <w:highlight w:val="none"/>
          <w:lang w:val="en-US" w:eastAsia="zh-CN"/>
        </w:rPr>
        <w:t>变电系统、汽车维修间</w:t>
      </w:r>
      <w:r>
        <w:rPr>
          <w:rFonts w:hint="eastAsia"/>
          <w:sz w:val="28"/>
          <w:szCs w:val="28"/>
          <w:highlight w:val="none"/>
        </w:rPr>
        <w:t>、</w:t>
      </w:r>
      <w:r>
        <w:rPr>
          <w:rFonts w:hint="eastAsia"/>
          <w:sz w:val="28"/>
          <w:szCs w:val="28"/>
          <w:highlight w:val="none"/>
          <w:lang w:val="en-US" w:eastAsia="zh-CN"/>
        </w:rPr>
        <w:t>破碎系统、办公生活区及原综合服务区</w:t>
      </w:r>
      <w:r>
        <w:rPr>
          <w:rFonts w:hint="eastAsia"/>
          <w:sz w:val="28"/>
          <w:szCs w:val="28"/>
          <w:highlight w:val="none"/>
        </w:rPr>
        <w:t>等建（构）筑物拆除外运清理，并对该</w:t>
      </w:r>
      <w:r>
        <w:rPr>
          <w:rFonts w:hint="eastAsia"/>
          <w:sz w:val="28"/>
          <w:szCs w:val="28"/>
          <w:highlight w:val="none"/>
          <w:lang w:val="en-US" w:eastAsia="zh-CN"/>
        </w:rPr>
        <w:t>区域内</w:t>
      </w:r>
      <w:r>
        <w:rPr>
          <w:rFonts w:hint="eastAsia"/>
          <w:sz w:val="28"/>
          <w:szCs w:val="28"/>
          <w:highlight w:val="none"/>
        </w:rPr>
        <w:t>混凝土地面硬化层进行拆除外运清理。</w:t>
      </w:r>
    </w:p>
    <w:p w14:paraId="1C6B6D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sz w:val="28"/>
          <w:szCs w:val="28"/>
          <w:lang w:eastAsia="zh-CN"/>
        </w:rPr>
      </w:pPr>
      <w:r>
        <w:rPr>
          <w:rFonts w:hint="eastAsia"/>
          <w:sz w:val="28"/>
          <w:szCs w:val="28"/>
        </w:rPr>
        <w:t>（</w:t>
      </w:r>
      <w:r>
        <w:rPr>
          <w:rFonts w:hint="eastAsia"/>
          <w:sz w:val="28"/>
          <w:szCs w:val="28"/>
          <w:lang w:val="en-US" w:eastAsia="zh-CN"/>
        </w:rPr>
        <w:t>1</w:t>
      </w:r>
      <w:r>
        <w:rPr>
          <w:rFonts w:hint="eastAsia"/>
          <w:sz w:val="28"/>
          <w:szCs w:val="28"/>
        </w:rPr>
        <w:t>）建构筑物拆除</w:t>
      </w:r>
    </w:p>
    <w:p w14:paraId="0B421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矿山内需拆除的建筑</w:t>
      </w:r>
      <w:r>
        <w:rPr>
          <w:rFonts w:hint="eastAsia"/>
          <w:sz w:val="28"/>
          <w:szCs w:val="28"/>
          <w:lang w:val="en-US" w:eastAsia="zh-CN"/>
        </w:rPr>
        <w:t>设施</w:t>
      </w:r>
      <w:r>
        <w:rPr>
          <w:rFonts w:hint="eastAsia"/>
          <w:sz w:val="28"/>
          <w:szCs w:val="28"/>
        </w:rPr>
        <w:t>有</w:t>
      </w:r>
      <w:r>
        <w:rPr>
          <w:rFonts w:hint="eastAsia"/>
          <w:sz w:val="28"/>
          <w:szCs w:val="28"/>
          <w:highlight w:val="none"/>
          <w:lang w:val="en-US" w:eastAsia="zh-CN"/>
        </w:rPr>
        <w:t>变电系统、汽车维修间</w:t>
      </w:r>
      <w:r>
        <w:rPr>
          <w:rFonts w:hint="eastAsia"/>
          <w:sz w:val="28"/>
          <w:szCs w:val="28"/>
          <w:highlight w:val="none"/>
        </w:rPr>
        <w:t>、</w:t>
      </w:r>
      <w:r>
        <w:rPr>
          <w:rFonts w:hint="eastAsia"/>
          <w:sz w:val="28"/>
          <w:szCs w:val="28"/>
          <w:highlight w:val="none"/>
          <w:lang w:val="en-US" w:eastAsia="zh-CN"/>
        </w:rPr>
        <w:t>破碎系统、办公生活区及原综合服务区</w:t>
      </w:r>
      <w:r>
        <w:rPr>
          <w:rFonts w:hint="eastAsia"/>
          <w:sz w:val="28"/>
          <w:szCs w:val="28"/>
          <w:lang w:val="en-US" w:eastAsia="zh-CN"/>
        </w:rPr>
        <w:t>等</w:t>
      </w:r>
      <w:r>
        <w:rPr>
          <w:rFonts w:hint="eastAsia"/>
          <w:sz w:val="28"/>
          <w:szCs w:val="28"/>
        </w:rPr>
        <w:t>，</w:t>
      </w:r>
      <w:r>
        <w:rPr>
          <w:rFonts w:hint="eastAsia"/>
          <w:sz w:val="28"/>
          <w:szCs w:val="28"/>
          <w:lang w:val="en-US" w:eastAsia="zh-CN"/>
        </w:rPr>
        <w:t>使用作图软件直接量取建筑物的尺寸，</w:t>
      </w:r>
      <w:r>
        <w:rPr>
          <w:rFonts w:hint="eastAsia"/>
          <w:sz w:val="28"/>
          <w:szCs w:val="28"/>
        </w:rPr>
        <w:t>共计</w:t>
      </w:r>
      <w:r>
        <w:rPr>
          <w:rFonts w:hint="eastAsia"/>
          <w:sz w:val="28"/>
          <w:szCs w:val="28"/>
          <w:lang w:val="en-US" w:eastAsia="zh-CN"/>
        </w:rPr>
        <w:t>拆除约130</w:t>
      </w:r>
      <w:r>
        <w:rPr>
          <w:rFonts w:hint="eastAsia"/>
          <w:sz w:val="28"/>
          <w:szCs w:val="28"/>
        </w:rPr>
        <w:t>m</w:t>
      </w:r>
      <w:r>
        <w:rPr>
          <w:rFonts w:hint="eastAsia"/>
          <w:sz w:val="28"/>
          <w:szCs w:val="28"/>
          <w:vertAlign w:val="superscript"/>
        </w:rPr>
        <w:t>3</w:t>
      </w:r>
      <w:r>
        <w:rPr>
          <w:rFonts w:hint="eastAsia"/>
          <w:sz w:val="28"/>
          <w:szCs w:val="28"/>
        </w:rPr>
        <w:t>。</w:t>
      </w:r>
    </w:p>
    <w:tbl>
      <w:tblPr>
        <w:tblStyle w:val="3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03"/>
      </w:tblGrid>
      <w:tr w14:paraId="5CB33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03" w:type="dxa"/>
          </w:tcPr>
          <w:p w14:paraId="45DCD0AF">
            <w:pPr>
              <w:pStyle w:val="50"/>
              <w:keepNext w:val="0"/>
              <w:keepLines w:val="0"/>
              <w:pageBreakBefore w:val="0"/>
              <w:widowControl w:val="0"/>
              <w:kinsoku/>
              <w:wordWrap/>
              <w:overflowPunct/>
              <w:topLinePunct w:val="0"/>
              <w:autoSpaceDE w:val="0"/>
              <w:autoSpaceDN w:val="0"/>
              <w:bidi w:val="0"/>
              <w:adjustRightInd w:val="0"/>
              <w:snapToGrid/>
              <w:textAlignment w:val="auto"/>
              <w:rPr>
                <w:rFonts w:hint="eastAsia"/>
              </w:rPr>
            </w:pPr>
            <w:r>
              <w:drawing>
                <wp:inline distT="0" distB="0" distL="114300" distR="114300">
                  <wp:extent cx="2796540" cy="1140460"/>
                  <wp:effectExtent l="0" t="0" r="7620" b="254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24"/>
                          <a:stretch>
                            <a:fillRect/>
                          </a:stretch>
                        </pic:blipFill>
                        <pic:spPr>
                          <a:xfrm>
                            <a:off x="0" y="0"/>
                            <a:ext cx="2796540" cy="1140460"/>
                          </a:xfrm>
                          <a:prstGeom prst="rect">
                            <a:avLst/>
                          </a:prstGeom>
                        </pic:spPr>
                      </pic:pic>
                    </a:graphicData>
                  </a:graphic>
                </wp:inline>
              </w:drawing>
            </w:r>
          </w:p>
        </w:tc>
      </w:tr>
      <w:tr w14:paraId="39507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003" w:type="dxa"/>
          </w:tcPr>
          <w:p w14:paraId="3E1EAF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rPr>
            </w:pPr>
            <w:r>
              <w:rPr>
                <w:rFonts w:hint="eastAsia" w:ascii="黑体" w:hAnsi="黑体" w:eastAsia="黑体"/>
                <w:sz w:val="24"/>
              </w:rPr>
              <w:t>图</w:t>
            </w:r>
            <w:r>
              <w:rPr>
                <w:rFonts w:hint="eastAsia" w:ascii="黑体" w:hAnsi="黑体" w:eastAsia="黑体"/>
                <w:sz w:val="24"/>
                <w:lang w:val="en-US" w:eastAsia="zh-CN"/>
              </w:rPr>
              <w:t>4-3</w:t>
            </w:r>
            <w:r>
              <w:rPr>
                <w:rFonts w:hint="eastAsia" w:ascii="黑体" w:hAnsi="黑体" w:eastAsia="黑体"/>
                <w:sz w:val="24"/>
              </w:rPr>
              <w:t xml:space="preserve"> </w:t>
            </w:r>
            <w:r>
              <w:rPr>
                <w:rFonts w:hint="eastAsia" w:ascii="黑体" w:hAnsi="黑体" w:eastAsia="黑体"/>
                <w:sz w:val="24"/>
                <w:lang w:val="en-US" w:eastAsia="zh-CN"/>
              </w:rPr>
              <w:t xml:space="preserve"> </w:t>
            </w:r>
            <w:r>
              <w:rPr>
                <w:rFonts w:hint="eastAsia" w:ascii="黑体" w:hAnsi="黑体" w:eastAsia="黑体"/>
                <w:sz w:val="24"/>
              </w:rPr>
              <w:t>地面建筑物拆除示意图</w:t>
            </w:r>
          </w:p>
        </w:tc>
      </w:tr>
    </w:tbl>
    <w:p w14:paraId="3BE9B8B9">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r>
        <w:rPr>
          <w:rFonts w:hint="eastAsia"/>
          <w:sz w:val="28"/>
          <w:szCs w:val="28"/>
        </w:rPr>
        <w:t>（</w:t>
      </w:r>
      <w:r>
        <w:rPr>
          <w:rFonts w:hint="eastAsia"/>
          <w:sz w:val="28"/>
          <w:szCs w:val="28"/>
          <w:lang w:val="en-US" w:eastAsia="zh-CN"/>
        </w:rPr>
        <w:t>2</w:t>
      </w:r>
      <w:r>
        <w:rPr>
          <w:rFonts w:hint="eastAsia"/>
          <w:sz w:val="28"/>
          <w:szCs w:val="28"/>
        </w:rPr>
        <w:t>）</w:t>
      </w:r>
      <w:r>
        <w:rPr>
          <w:rFonts w:hint="eastAsia"/>
          <w:sz w:val="28"/>
          <w:szCs w:val="28"/>
          <w:lang w:val="en-US" w:eastAsia="zh-CN"/>
        </w:rPr>
        <w:t>硬化</w:t>
      </w:r>
      <w:r>
        <w:rPr>
          <w:rFonts w:hint="eastAsia"/>
          <w:sz w:val="28"/>
          <w:szCs w:val="28"/>
        </w:rPr>
        <w:t>地面拆除</w:t>
      </w:r>
    </w:p>
    <w:p w14:paraId="03E422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highlight w:val="none"/>
        </w:rPr>
        <w:t>矿山内硬化地面</w:t>
      </w:r>
      <w:r>
        <w:rPr>
          <w:rFonts w:hint="eastAsia"/>
          <w:sz w:val="28"/>
          <w:szCs w:val="28"/>
          <w:highlight w:val="none"/>
          <w:lang w:val="en-US" w:eastAsia="zh-CN"/>
        </w:rPr>
        <w:t>分布在破碎站、办公生活区及原综合服务区。现状及预测硬化面积约为1200m</w:t>
      </w:r>
      <w:r>
        <w:rPr>
          <w:rFonts w:hint="eastAsia"/>
          <w:sz w:val="28"/>
          <w:szCs w:val="28"/>
          <w:highlight w:val="none"/>
          <w:vertAlign w:val="superscript"/>
          <w:lang w:val="en-US" w:eastAsia="zh-CN"/>
        </w:rPr>
        <w:t>2</w:t>
      </w:r>
      <w:r>
        <w:rPr>
          <w:rFonts w:hint="eastAsia"/>
          <w:sz w:val="28"/>
          <w:szCs w:val="28"/>
          <w:highlight w:val="none"/>
          <w:lang w:val="en-US" w:eastAsia="zh-CN"/>
        </w:rPr>
        <w:t>，平均硬化</w:t>
      </w:r>
      <w:r>
        <w:rPr>
          <w:rFonts w:hint="eastAsia"/>
          <w:sz w:val="28"/>
          <w:szCs w:val="28"/>
          <w:highlight w:val="none"/>
        </w:rPr>
        <w:t>混凝土</w:t>
      </w:r>
      <w:r>
        <w:rPr>
          <w:rFonts w:hint="eastAsia"/>
          <w:sz w:val="28"/>
          <w:szCs w:val="28"/>
          <w:highlight w:val="none"/>
          <w:lang w:eastAsia="zh-CN"/>
        </w:rPr>
        <w:t>厚度</w:t>
      </w:r>
      <w:r>
        <w:rPr>
          <w:rFonts w:hint="eastAsia"/>
          <w:sz w:val="28"/>
          <w:szCs w:val="28"/>
          <w:highlight w:val="none"/>
        </w:rPr>
        <w:t>0.</w:t>
      </w:r>
      <w:r>
        <w:rPr>
          <w:rFonts w:hint="eastAsia"/>
          <w:sz w:val="28"/>
          <w:szCs w:val="28"/>
          <w:highlight w:val="none"/>
          <w:lang w:val="en-US" w:eastAsia="zh-CN"/>
        </w:rPr>
        <w:t>2</w:t>
      </w:r>
      <w:r>
        <w:rPr>
          <w:rFonts w:hint="eastAsia"/>
          <w:sz w:val="28"/>
          <w:szCs w:val="28"/>
          <w:highlight w:val="none"/>
        </w:rPr>
        <w:t>m；</w:t>
      </w:r>
      <w:r>
        <w:rPr>
          <w:rFonts w:hint="eastAsia"/>
          <w:sz w:val="28"/>
          <w:szCs w:val="28"/>
          <w:highlight w:val="none"/>
          <w:lang w:val="en-US" w:eastAsia="zh-CN"/>
        </w:rPr>
        <w:t>其他区域为碎石堆场、排土场、复垦用土临时堆场等均不需要硬化。需</w:t>
      </w:r>
      <w:r>
        <w:rPr>
          <w:sz w:val="28"/>
          <w:szCs w:val="28"/>
        </w:rPr>
        <w:t>对硬化的场地进行人工打孔、撬移、翻碴，然后清理建筑垃圾</w:t>
      </w:r>
      <w:r>
        <w:rPr>
          <w:rFonts w:hint="eastAsia"/>
          <w:sz w:val="28"/>
          <w:szCs w:val="28"/>
          <w:lang w:eastAsia="zh-CN"/>
        </w:rPr>
        <w:t>。</w:t>
      </w:r>
      <w:r>
        <w:rPr>
          <w:rFonts w:hint="eastAsia"/>
          <w:sz w:val="28"/>
          <w:szCs w:val="28"/>
        </w:rPr>
        <w:t>共计拆除混凝土地面</w:t>
      </w:r>
      <w:r>
        <w:rPr>
          <w:rFonts w:hint="eastAsia"/>
          <w:sz w:val="28"/>
          <w:szCs w:val="28"/>
          <w:lang w:val="en-US" w:eastAsia="zh-CN"/>
        </w:rPr>
        <w:t>面积为1200m</w:t>
      </w:r>
      <w:r>
        <w:rPr>
          <w:rFonts w:hint="eastAsia"/>
          <w:sz w:val="28"/>
          <w:szCs w:val="28"/>
          <w:vertAlign w:val="superscript"/>
          <w:lang w:val="en-US" w:eastAsia="zh-CN"/>
        </w:rPr>
        <w:t>2</w:t>
      </w:r>
      <w:r>
        <w:rPr>
          <w:rFonts w:hint="eastAsia"/>
          <w:sz w:val="28"/>
          <w:szCs w:val="28"/>
          <w:lang w:val="en-US" w:eastAsia="zh-CN"/>
        </w:rPr>
        <w:t>、拆除混凝土240</w:t>
      </w:r>
      <w:r>
        <w:rPr>
          <w:rFonts w:hint="eastAsia"/>
          <w:sz w:val="28"/>
          <w:szCs w:val="28"/>
        </w:rPr>
        <w:t>m</w:t>
      </w:r>
      <w:r>
        <w:rPr>
          <w:rFonts w:hint="eastAsia"/>
          <w:sz w:val="28"/>
          <w:szCs w:val="28"/>
          <w:vertAlign w:val="superscript"/>
        </w:rPr>
        <w:t>3</w:t>
      </w:r>
      <w:r>
        <w:rPr>
          <w:rFonts w:hint="eastAsia"/>
          <w:sz w:val="28"/>
          <w:szCs w:val="28"/>
        </w:rPr>
        <w:t>。</w:t>
      </w:r>
    </w:p>
    <w:p w14:paraId="5EB8EC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sz w:val="28"/>
          <w:szCs w:val="28"/>
          <w:lang w:val="en-US" w:eastAsia="zh-CN"/>
        </w:rPr>
      </w:pPr>
      <w:r>
        <w:rPr>
          <w:rFonts w:hint="eastAsia" w:ascii="Times New Roman" w:hAnsi="Times New Roman" w:eastAsia="宋体" w:cs="Times New Roman"/>
          <w:sz w:val="28"/>
          <w:szCs w:val="28"/>
          <w:lang w:val="en-US" w:eastAsia="zh-CN" w:bidi="ar-SA"/>
        </w:rPr>
        <w:t>（3）</w:t>
      </w:r>
      <w:r>
        <w:rPr>
          <w:rFonts w:hint="eastAsia"/>
          <w:sz w:val="28"/>
          <w:szCs w:val="28"/>
          <w:lang w:val="en-US" w:eastAsia="zh-CN"/>
        </w:rPr>
        <w:t>建筑垃圾外运</w:t>
      </w:r>
    </w:p>
    <w:p w14:paraId="4D9B71B3">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default"/>
          <w:sz w:val="28"/>
          <w:szCs w:val="28"/>
          <w:lang w:val="en-US" w:eastAsia="zh-CN"/>
        </w:rPr>
      </w:pPr>
      <w:r>
        <w:rPr>
          <w:rFonts w:hint="default"/>
          <w:sz w:val="28"/>
          <w:szCs w:val="28"/>
          <w:lang w:val="en-US" w:eastAsia="zh-CN"/>
        </w:rPr>
        <w:t>对拆除构筑物及硬化地面产生的建筑垃圾外运</w:t>
      </w:r>
      <w:r>
        <w:rPr>
          <w:rFonts w:hint="eastAsia"/>
          <w:sz w:val="28"/>
          <w:szCs w:val="28"/>
          <w:lang w:val="en-US" w:eastAsia="zh-CN"/>
        </w:rPr>
        <w:t>至徐闻县</w:t>
      </w:r>
      <w:r>
        <w:rPr>
          <w:rFonts w:hint="default"/>
          <w:sz w:val="28"/>
          <w:szCs w:val="28"/>
          <w:lang w:val="en-US" w:eastAsia="zh-CN"/>
        </w:rPr>
        <w:t>，</w:t>
      </w:r>
      <w:r>
        <w:rPr>
          <w:rFonts w:hint="eastAsia"/>
          <w:sz w:val="28"/>
          <w:szCs w:val="28"/>
          <w:lang w:val="en-US" w:eastAsia="zh-CN"/>
        </w:rPr>
        <w:t>做建筑工程填方处理</w:t>
      </w:r>
      <w:r>
        <w:rPr>
          <w:rFonts w:hint="default"/>
          <w:sz w:val="28"/>
          <w:szCs w:val="28"/>
          <w:lang w:val="en-US" w:eastAsia="zh-CN"/>
        </w:rPr>
        <w:t>。运距约</w:t>
      </w:r>
      <w:r>
        <w:rPr>
          <w:rFonts w:hint="eastAsia"/>
          <w:sz w:val="28"/>
          <w:szCs w:val="28"/>
          <w:lang w:val="en-US" w:eastAsia="zh-CN"/>
        </w:rPr>
        <w:t>7</w:t>
      </w:r>
      <w:r>
        <w:rPr>
          <w:rFonts w:hint="default"/>
          <w:sz w:val="28"/>
          <w:szCs w:val="28"/>
          <w:lang w:val="en-US" w:eastAsia="zh-CN"/>
        </w:rPr>
        <w:t>.</w:t>
      </w:r>
      <w:r>
        <w:rPr>
          <w:rFonts w:hint="eastAsia"/>
          <w:sz w:val="28"/>
          <w:szCs w:val="28"/>
          <w:lang w:val="en-US" w:eastAsia="zh-CN"/>
        </w:rPr>
        <w:t>7</w:t>
      </w:r>
      <w:r>
        <w:rPr>
          <w:rFonts w:hint="default"/>
          <w:sz w:val="28"/>
          <w:szCs w:val="28"/>
          <w:lang w:val="en-US" w:eastAsia="zh-CN"/>
        </w:rPr>
        <w:t>km，外运方量为</w:t>
      </w:r>
      <w:r>
        <w:rPr>
          <w:rFonts w:hint="eastAsia"/>
          <w:sz w:val="28"/>
          <w:szCs w:val="28"/>
          <w:lang w:val="en-US" w:eastAsia="zh-CN"/>
        </w:rPr>
        <w:t>370</w:t>
      </w:r>
      <w:r>
        <w:rPr>
          <w:rFonts w:hint="default"/>
          <w:sz w:val="28"/>
          <w:szCs w:val="28"/>
          <w:lang w:val="en-US" w:eastAsia="zh-CN"/>
        </w:rPr>
        <w:t>m</w:t>
      </w:r>
      <w:r>
        <w:rPr>
          <w:rFonts w:hint="default"/>
          <w:sz w:val="28"/>
          <w:szCs w:val="28"/>
          <w:vertAlign w:val="superscript"/>
          <w:lang w:val="en-US" w:eastAsia="zh-CN"/>
        </w:rPr>
        <w:t>3</w:t>
      </w:r>
      <w:r>
        <w:rPr>
          <w:rFonts w:hint="default"/>
          <w:sz w:val="28"/>
          <w:szCs w:val="28"/>
          <w:lang w:val="en-US" w:eastAsia="zh-CN"/>
        </w:rPr>
        <w:t>。</w:t>
      </w:r>
    </w:p>
    <w:p w14:paraId="23C95B10">
      <w:pPr>
        <w:pStyle w:val="7"/>
        <w:bidi w:val="0"/>
        <w:spacing w:line="360" w:lineRule="auto"/>
        <w:ind w:firstLine="562" w:firstLineChars="200"/>
        <w:rPr>
          <w:rFonts w:hint="eastAsia"/>
          <w:b/>
          <w:bCs w:val="0"/>
          <w:sz w:val="28"/>
          <w:szCs w:val="28"/>
          <w:lang w:val="en-US" w:eastAsia="zh-CN"/>
        </w:rPr>
      </w:pPr>
      <w:r>
        <w:rPr>
          <w:rFonts w:hint="eastAsia"/>
          <w:b/>
          <w:bCs w:val="0"/>
          <w:sz w:val="28"/>
          <w:szCs w:val="28"/>
          <w:lang w:val="en-US" w:eastAsia="zh-CN"/>
        </w:rPr>
        <w:t>3、场地平整</w:t>
      </w:r>
    </w:p>
    <w:p w14:paraId="46D6D868">
      <w:pPr>
        <w:spacing w:line="360" w:lineRule="auto"/>
        <w:rPr>
          <w:rFonts w:hint="eastAsia"/>
          <w:sz w:val="28"/>
          <w:szCs w:val="28"/>
          <w:highlight w:val="none"/>
          <w:vertAlign w:val="baseline"/>
          <w:lang w:val="en-US" w:eastAsia="zh-CN"/>
        </w:rPr>
      </w:pPr>
      <w:r>
        <w:rPr>
          <w:rFonts w:hint="eastAsia"/>
          <w:sz w:val="28"/>
          <w:szCs w:val="28"/>
          <w:lang w:val="en-US" w:eastAsia="zh-CN"/>
        </w:rPr>
        <w:t>包含矿山露天采场的平台平整，复垦用土临时堆场待复垦用土拉运完成后平整，破碎站场地进行地面平整，</w:t>
      </w:r>
      <w:r>
        <w:rPr>
          <w:sz w:val="28"/>
          <w:szCs w:val="28"/>
          <w:highlight w:val="none"/>
        </w:rPr>
        <w:t>平整时应考虑原有的地形地貌，有利于地表水自然径流。</w:t>
      </w:r>
      <w:r>
        <w:rPr>
          <w:rFonts w:hint="eastAsia"/>
          <w:sz w:val="28"/>
          <w:szCs w:val="28"/>
          <w:highlight w:val="none"/>
          <w:lang w:val="en-US" w:eastAsia="zh-CN"/>
        </w:rPr>
        <w:t>露天采场需要平整的平台长约662m,平台宽度为4m，面积为2648m</w:t>
      </w:r>
      <w:r>
        <w:rPr>
          <w:rFonts w:hint="eastAsia"/>
          <w:sz w:val="28"/>
          <w:szCs w:val="28"/>
          <w:highlight w:val="none"/>
          <w:vertAlign w:val="superscript"/>
          <w:lang w:val="en-US" w:eastAsia="zh-CN"/>
        </w:rPr>
        <w:t>2</w:t>
      </w:r>
      <w:r>
        <w:rPr>
          <w:rFonts w:hint="eastAsia"/>
          <w:sz w:val="28"/>
          <w:szCs w:val="28"/>
          <w:highlight w:val="none"/>
          <w:lang w:val="en-US" w:eastAsia="zh-CN"/>
        </w:rPr>
        <w:t>；复垦用土临时堆场需要平整面积为14921m</w:t>
      </w:r>
      <w:r>
        <w:rPr>
          <w:rFonts w:hint="eastAsia"/>
          <w:sz w:val="28"/>
          <w:szCs w:val="28"/>
          <w:highlight w:val="none"/>
          <w:vertAlign w:val="superscript"/>
          <w:lang w:val="en-US" w:eastAsia="zh-CN"/>
        </w:rPr>
        <w:t>2</w:t>
      </w:r>
      <w:r>
        <w:rPr>
          <w:rFonts w:hint="eastAsia"/>
          <w:sz w:val="28"/>
          <w:szCs w:val="28"/>
          <w:highlight w:val="none"/>
          <w:lang w:val="en-US" w:eastAsia="zh-CN"/>
        </w:rPr>
        <w:t>；破碎站面积为19368m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。场地平整面积共计36937</w:t>
      </w:r>
      <w:r>
        <w:rPr>
          <w:rFonts w:hint="eastAsia"/>
          <w:sz w:val="28"/>
          <w:szCs w:val="28"/>
          <w:highlight w:val="none"/>
          <w:lang w:val="en-US" w:eastAsia="zh-CN"/>
        </w:rPr>
        <w:t>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，平均平整厚度按0.2m，总平整土地方量为7387m</w:t>
      </w:r>
      <w:r>
        <w:rPr>
          <w:rFonts w:hint="eastAsia"/>
          <w:sz w:val="28"/>
          <w:szCs w:val="28"/>
          <w:highlight w:val="none"/>
          <w:vertAlign w:val="superscript"/>
          <w:lang w:val="en-US" w:eastAsia="zh-CN"/>
        </w:rPr>
        <w:t>3</w:t>
      </w:r>
      <w:r>
        <w:rPr>
          <w:rFonts w:hint="eastAsia"/>
          <w:sz w:val="28"/>
          <w:szCs w:val="28"/>
          <w:highlight w:val="none"/>
          <w:vertAlign w:val="baseline"/>
          <w:lang w:val="en-US" w:eastAsia="zh-CN"/>
        </w:rPr>
        <w:t>。</w:t>
      </w:r>
    </w:p>
    <w:p w14:paraId="7EE1C635">
      <w:pPr>
        <w:pStyle w:val="7"/>
        <w:bidi w:val="0"/>
        <w:spacing w:line="360" w:lineRule="auto"/>
        <w:ind w:firstLine="562" w:firstLineChars="200"/>
        <w:rPr>
          <w:rFonts w:hint="eastAsia"/>
          <w:b/>
          <w:bCs w:val="0"/>
          <w:sz w:val="28"/>
          <w:szCs w:val="28"/>
          <w:lang w:val="en-US" w:eastAsia="zh-CN"/>
        </w:rPr>
      </w:pPr>
      <w:r>
        <w:rPr>
          <w:rFonts w:hint="eastAsia"/>
          <w:b/>
          <w:bCs w:val="0"/>
          <w:sz w:val="28"/>
          <w:szCs w:val="28"/>
          <w:lang w:val="en-US" w:eastAsia="zh-CN"/>
        </w:rPr>
        <w:t>4、防护栏及警示牌</w:t>
      </w:r>
    </w:p>
    <w:p w14:paraId="74338A8C">
      <w:pPr>
        <w:bidi w:val="0"/>
        <w:spacing w:line="360" w:lineRule="auto"/>
        <w:ind w:firstLine="560" w:firstLineChars="200"/>
        <w:outlineLvl w:val="9"/>
        <w:rPr>
          <w:rFonts w:hint="eastAsia"/>
          <w:b w:val="0"/>
          <w:bCs/>
          <w:sz w:val="28"/>
          <w:szCs w:val="28"/>
          <w:lang w:val="en-US" w:eastAsia="zh-CN"/>
        </w:rPr>
      </w:pPr>
      <w:r>
        <w:rPr>
          <w:rFonts w:hint="eastAsia"/>
          <w:b w:val="0"/>
          <w:bCs/>
          <w:sz w:val="28"/>
          <w:szCs w:val="28"/>
          <w:lang w:val="en-US" w:eastAsia="zh-CN"/>
        </w:rPr>
        <w:t>在采场周围设置刺死围墙和警示标牌对矿坑进行防护，防止无关人员等进入或跌入矿坑。</w:t>
      </w:r>
    </w:p>
    <w:p w14:paraId="2875EA4A">
      <w:pPr>
        <w:bidi w:val="0"/>
        <w:spacing w:line="360" w:lineRule="auto"/>
        <w:ind w:firstLine="560" w:firstLineChars="200"/>
        <w:outlineLvl w:val="9"/>
        <w:rPr>
          <w:rFonts w:hint="default"/>
          <w:b w:val="0"/>
          <w:bCs/>
          <w:sz w:val="28"/>
          <w:szCs w:val="28"/>
          <w:lang w:val="en-US" w:eastAsia="zh-CN"/>
        </w:rPr>
      </w:pPr>
      <w:r>
        <w:rPr>
          <w:rFonts w:hint="eastAsia"/>
          <w:b w:val="0"/>
          <w:bCs/>
          <w:sz w:val="28"/>
          <w:szCs w:val="28"/>
          <w:lang w:val="en-US" w:eastAsia="zh-CN"/>
        </w:rPr>
        <w:t>刺丝围墙：用水泥柱和钢丝网片将露天采坑外围进行围封，刺死围墙与矿坑边部（采矿权范围界限）保持1.2m距离。钢丝网片高1.8m，钢丝间距0.2m。每隔5m一根预制水泥柱，长2.6m，其中基础埋深0.6m，水泥柱断面规格0.1×0.1m（图4-5）。刺网与立柱须焊点连接，并油漆防腐。刺丝围墙长度1361m，合计面积2450m</w:t>
      </w:r>
      <w:r>
        <w:rPr>
          <w:rFonts w:hint="eastAsia"/>
          <w:b w:val="0"/>
          <w:bCs/>
          <w:sz w:val="28"/>
          <w:szCs w:val="28"/>
          <w:vertAlign w:val="superscript"/>
          <w:lang w:val="en-US" w:eastAsia="zh-CN"/>
        </w:rPr>
        <w:t>2</w:t>
      </w:r>
      <w:r>
        <w:rPr>
          <w:rFonts w:hint="eastAsia"/>
          <w:b w:val="0"/>
          <w:bCs/>
          <w:sz w:val="28"/>
          <w:szCs w:val="28"/>
          <w:lang w:val="en-US" w:eastAsia="zh-CN"/>
        </w:rPr>
        <w:t>，水泥柱707m。</w:t>
      </w:r>
    </w:p>
    <w:p w14:paraId="1B7F3394">
      <w:pPr>
        <w:bidi w:val="0"/>
        <w:spacing w:line="360" w:lineRule="auto"/>
        <w:ind w:firstLine="560" w:firstLineChars="200"/>
        <w:outlineLvl w:val="9"/>
        <w:rPr>
          <w:rFonts w:hint="eastAsia"/>
          <w:b w:val="0"/>
          <w:bCs/>
          <w:sz w:val="28"/>
          <w:szCs w:val="28"/>
          <w:lang w:val="en-US" w:eastAsia="zh-CN"/>
        </w:rPr>
      </w:pPr>
      <w:r>
        <w:rPr>
          <w:rFonts w:hint="eastAsia"/>
          <w:b w:val="0"/>
          <w:bCs/>
          <w:sz w:val="28"/>
          <w:szCs w:val="28"/>
          <w:lang w:val="en-US" w:eastAsia="zh-CN"/>
        </w:rPr>
        <w:t>警示牌：沿采场周围设置警示牌，采用塑料板及镀锌管制作，塑料板牌规格为1.0×1.0m，镀锌管高2m（埋深0.5m，地上1.5m）。警示标牌每隔50m设置一个，合计27个，镀锌管54m。</w:t>
      </w:r>
    </w:p>
    <w:p w14:paraId="5093371F">
      <w:pPr>
        <w:pStyle w:val="3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0" w:firstLineChars="0"/>
        <w:jc w:val="center"/>
        <w:textAlignment w:val="auto"/>
      </w:pPr>
      <w:r>
        <w:drawing>
          <wp:inline distT="0" distB="0" distL="114300" distR="114300">
            <wp:extent cx="3274060" cy="895985"/>
            <wp:effectExtent l="0" t="0" r="2540" b="3175"/>
            <wp:docPr id="3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IMG_256"/>
                    <pic:cNvPicPr>
                      <a:picLocks noChangeAspect="1"/>
                    </pic:cNvPicPr>
                  </pic:nvPicPr>
                  <pic:blipFill>
                    <a:blip r:embed="rId25"/>
                    <a:stretch>
                      <a:fillRect/>
                    </a:stretch>
                  </pic:blipFill>
                  <pic:spPr>
                    <a:xfrm>
                      <a:off x="0" y="0"/>
                      <a:ext cx="3274060" cy="895985"/>
                    </a:xfrm>
                    <a:prstGeom prst="rect">
                      <a:avLst/>
                    </a:prstGeom>
                    <a:noFill/>
                    <a:ln w="9525">
                      <a:noFill/>
                    </a:ln>
                  </pic:spPr>
                </pic:pic>
              </a:graphicData>
            </a:graphic>
          </wp:inline>
        </w:drawing>
      </w:r>
    </w:p>
    <w:p w14:paraId="6C8515DF">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hAnsi="宋体"/>
          <w:b/>
          <w:color w:val="000000"/>
          <w:sz w:val="24"/>
          <w:szCs w:val="24"/>
          <w:lang w:val="en-US"/>
        </w:rPr>
      </w:pPr>
      <w:r>
        <w:rPr>
          <w:rFonts w:hint="eastAsia" w:hAnsi="宋体"/>
          <w:b/>
          <w:color w:val="000000"/>
          <w:sz w:val="24"/>
          <w:szCs w:val="24"/>
          <w:lang w:val="en-US" w:eastAsia="zh-CN"/>
        </w:rPr>
        <w:t>图4-2    刺丝围墙大样图（图中单位以cm计）</w:t>
      </w:r>
    </w:p>
    <w:p w14:paraId="5014A3A6">
      <w:pPr>
        <w:pStyle w:val="7"/>
        <w:bidi w:val="0"/>
        <w:spacing w:line="360" w:lineRule="auto"/>
        <w:ind w:firstLine="562" w:firstLineChars="200"/>
        <w:rPr>
          <w:rFonts w:hint="eastAsia"/>
          <w:b/>
          <w:bCs w:val="0"/>
          <w:sz w:val="28"/>
          <w:szCs w:val="28"/>
          <w:lang w:val="en-US" w:eastAsia="zh-CN"/>
        </w:rPr>
      </w:pPr>
      <w:r>
        <w:rPr>
          <w:rFonts w:hint="eastAsia"/>
          <w:b/>
          <w:bCs w:val="0"/>
          <w:sz w:val="28"/>
          <w:szCs w:val="28"/>
          <w:lang w:val="en-US" w:eastAsia="zh-CN"/>
        </w:rPr>
        <w:t>5、复垦用土临时堆场防护工程</w:t>
      </w:r>
    </w:p>
    <w:p w14:paraId="61BD76E5">
      <w:pPr>
        <w:bidi w:val="0"/>
        <w:spacing w:line="360" w:lineRule="auto"/>
        <w:ind w:firstLine="560" w:firstLineChars="200"/>
        <w:outlineLvl w:val="9"/>
        <w:rPr>
          <w:rFonts w:hint="eastAsia"/>
          <w:b w:val="0"/>
          <w:bCs/>
          <w:sz w:val="28"/>
          <w:szCs w:val="28"/>
          <w:lang w:val="en-US" w:eastAsia="zh-CN"/>
        </w:rPr>
      </w:pPr>
      <w:r>
        <w:rPr>
          <w:rFonts w:hint="eastAsia"/>
          <w:b w:val="0"/>
          <w:bCs/>
          <w:sz w:val="28"/>
          <w:szCs w:val="28"/>
          <w:lang w:val="en-US" w:eastAsia="zh-CN"/>
        </w:rPr>
        <w:t>将砂土装入编织袋堆叠在复垦用土临时堆场坡脚，防止堆场水土流失。利用自身重量阻挡坡面坍塌，同时袋体具有透水性，能消减径流冲刷力。采用矿山自有砂土。设计堆叠高度1.0m，宽度0.5m，长度为986m。砂垒挡墙量为493m</w:t>
      </w:r>
      <w:r>
        <w:rPr>
          <w:rFonts w:hint="eastAsia"/>
          <w:b w:val="0"/>
          <w:bCs/>
          <w:sz w:val="28"/>
          <w:szCs w:val="28"/>
          <w:vertAlign w:val="superscript"/>
          <w:lang w:val="en-US" w:eastAsia="zh-CN"/>
        </w:rPr>
        <w:t>3</w:t>
      </w:r>
      <w:r>
        <w:rPr>
          <w:rFonts w:hint="eastAsia"/>
          <w:b w:val="0"/>
          <w:bCs/>
          <w:sz w:val="28"/>
          <w:szCs w:val="28"/>
          <w:lang w:val="en-US" w:eastAsia="zh-CN"/>
        </w:rPr>
        <w:t>。</w:t>
      </w:r>
    </w:p>
    <w:p w14:paraId="37E168F8">
      <w:pPr>
        <w:pStyle w:val="7"/>
        <w:bidi w:val="0"/>
        <w:spacing w:line="360" w:lineRule="auto"/>
        <w:ind w:firstLine="562" w:firstLineChars="200"/>
        <w:rPr>
          <w:rFonts w:hint="default"/>
          <w:b/>
          <w:bCs w:val="0"/>
          <w:sz w:val="28"/>
          <w:szCs w:val="28"/>
          <w:lang w:val="en-US" w:eastAsia="zh-CN"/>
        </w:rPr>
      </w:pPr>
      <w:r>
        <w:rPr>
          <w:rFonts w:hint="eastAsia"/>
          <w:b/>
          <w:bCs w:val="0"/>
          <w:sz w:val="28"/>
          <w:szCs w:val="28"/>
          <w:lang w:val="en-US" w:eastAsia="zh-CN"/>
        </w:rPr>
        <w:t>6、采矿边坡平台挡土墙工程</w:t>
      </w:r>
    </w:p>
    <w:p w14:paraId="025298A9">
      <w:pPr>
        <w:numPr>
          <w:ilvl w:val="0"/>
          <w:numId w:val="0"/>
        </w:numPr>
        <w:bidi w:val="0"/>
        <w:spacing w:line="360" w:lineRule="auto"/>
        <w:ind w:firstLine="560" w:firstLineChars="200"/>
        <w:outlineLvl w:val="9"/>
        <w:rPr>
          <w:rFonts w:hint="eastAsia"/>
          <w:b w:val="0"/>
          <w:bCs/>
          <w:sz w:val="28"/>
          <w:szCs w:val="28"/>
          <w:lang w:val="en-US" w:eastAsia="zh-CN"/>
        </w:rPr>
      </w:pPr>
      <w:r>
        <w:rPr>
          <w:rFonts w:hint="eastAsia"/>
          <w:b w:val="0"/>
          <w:bCs/>
          <w:sz w:val="28"/>
          <w:szCs w:val="28"/>
          <w:lang w:val="en-US" w:eastAsia="zh-CN"/>
        </w:rPr>
        <w:t>为防止暴雨冲刷坡面以及造成水土流失，在平台边缘砌筑挡土墙，墙内覆土植树种草，边坡种植爬山虎。</w:t>
      </w:r>
    </w:p>
    <w:p w14:paraId="0450F3DD">
      <w:pPr>
        <w:numPr>
          <w:ilvl w:val="0"/>
          <w:numId w:val="0"/>
        </w:numPr>
        <w:bidi w:val="0"/>
        <w:spacing w:line="360" w:lineRule="auto"/>
        <w:ind w:firstLine="560" w:firstLineChars="200"/>
        <w:outlineLvl w:val="9"/>
        <w:rPr>
          <w:rFonts w:hint="default"/>
          <w:b w:val="0"/>
          <w:bCs/>
          <w:sz w:val="28"/>
          <w:szCs w:val="28"/>
          <w:vertAlign w:val="baseline"/>
          <w:lang w:val="en-US" w:eastAsia="zh-CN"/>
        </w:rPr>
      </w:pPr>
      <w:r>
        <w:rPr>
          <w:rFonts w:hint="eastAsia"/>
          <w:b w:val="0"/>
          <w:bCs/>
          <w:sz w:val="28"/>
          <w:szCs w:val="28"/>
          <w:lang w:val="en-US" w:eastAsia="zh-CN"/>
        </w:rPr>
        <w:t>设置浆砌块石挡土墙规格如下（图4-3）：高度0.5m，上宽0.5m，下宽0.7m，背坡比2.7:1。挡土墙量198m</w:t>
      </w:r>
      <w:r>
        <w:rPr>
          <w:rFonts w:hint="eastAsia"/>
          <w:b w:val="0"/>
          <w:bCs/>
          <w:sz w:val="28"/>
          <w:szCs w:val="28"/>
          <w:vertAlign w:val="superscript"/>
          <w:lang w:val="en-US" w:eastAsia="zh-CN"/>
        </w:rPr>
        <w:t>3</w:t>
      </w:r>
      <w:r>
        <w:rPr>
          <w:rFonts w:hint="eastAsia"/>
          <w:b w:val="0"/>
          <w:bCs/>
          <w:sz w:val="28"/>
          <w:szCs w:val="28"/>
          <w:vertAlign w:val="baseline"/>
          <w:lang w:val="en-US" w:eastAsia="zh-CN"/>
        </w:rPr>
        <w:t>。</w:t>
      </w:r>
    </w:p>
    <w:p w14:paraId="1A06F6DD">
      <w:pPr>
        <w:pStyle w:val="2"/>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baseline"/>
        <w:rPr>
          <w:rFonts w:hint="eastAsia"/>
          <w:lang w:val="en-US" w:eastAsia="zh-CN"/>
        </w:rPr>
      </w:pPr>
      <w:r>
        <w:rPr>
          <w:rFonts w:hint="eastAsia"/>
          <w:lang w:val="en-US" w:eastAsia="zh-CN"/>
        </w:rPr>
        <w:drawing>
          <wp:inline distT="0" distB="0" distL="114300" distR="114300">
            <wp:extent cx="2110740" cy="2987675"/>
            <wp:effectExtent l="0" t="0" r="7620" b="14605"/>
            <wp:docPr id="32" name="图片 32" descr="边坡平台复垦设计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边坡平台复垦设计图_01"/>
                    <pic:cNvPicPr>
                      <a:picLocks noChangeAspect="1"/>
                    </pic:cNvPicPr>
                  </pic:nvPicPr>
                  <pic:blipFill>
                    <a:blip r:embed="rId26"/>
                    <a:stretch>
                      <a:fillRect/>
                    </a:stretch>
                  </pic:blipFill>
                  <pic:spPr>
                    <a:xfrm>
                      <a:off x="0" y="0"/>
                      <a:ext cx="2110740" cy="2987675"/>
                    </a:xfrm>
                    <a:prstGeom prst="rect">
                      <a:avLst/>
                    </a:prstGeom>
                  </pic:spPr>
                </pic:pic>
              </a:graphicData>
            </a:graphic>
          </wp:inline>
        </w:drawing>
      </w:r>
    </w:p>
    <w:p w14:paraId="6D6A50E9">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hAnsi="宋体"/>
          <w:b/>
          <w:color w:val="000000"/>
          <w:sz w:val="24"/>
          <w:szCs w:val="24"/>
          <w:lang w:val="en-US" w:eastAsia="zh-CN"/>
        </w:rPr>
      </w:pPr>
      <w:r>
        <w:rPr>
          <w:rFonts w:hint="eastAsia" w:hAnsi="宋体"/>
          <w:b/>
          <w:color w:val="000000"/>
          <w:sz w:val="24"/>
          <w:szCs w:val="24"/>
          <w:lang w:val="en-US" w:eastAsia="zh-CN"/>
        </w:rPr>
        <w:t>图4-3     采矿边坡平台挡土墙规格图</w:t>
      </w:r>
    </w:p>
    <w:p w14:paraId="6E19D760">
      <w:pPr>
        <w:pStyle w:val="6"/>
        <w:spacing w:before="131" w:after="131"/>
        <w:rPr>
          <w:rFonts w:hint="default" w:ascii="宋体" w:hAnsi="宋体" w:eastAsia="宋体" w:cs="宋体"/>
          <w:b/>
          <w:bCs/>
          <w:lang w:val="en-US" w:eastAsia="zh-CN"/>
        </w:rPr>
      </w:pPr>
      <w:r>
        <w:rPr>
          <w:rFonts w:hint="eastAsia" w:ascii="宋体" w:hAnsi="宋体" w:eastAsia="宋体" w:cs="宋体"/>
          <w:b/>
          <w:bCs/>
          <w:lang w:val="en-US" w:eastAsia="zh-CN"/>
        </w:rPr>
        <w:t>（二）土壤重构</w:t>
      </w:r>
    </w:p>
    <w:bookmarkEnd w:id="390"/>
    <w:p w14:paraId="5D810108">
      <w:pPr>
        <w:pStyle w:val="7"/>
        <w:bidi w:val="0"/>
        <w:spacing w:line="360" w:lineRule="auto"/>
        <w:ind w:firstLine="562" w:firstLineChars="200"/>
        <w:rPr>
          <w:rFonts w:hint="default"/>
          <w:sz w:val="28"/>
          <w:szCs w:val="28"/>
          <w:lang w:val="en-US"/>
        </w:rPr>
      </w:pPr>
      <w:r>
        <w:rPr>
          <w:rFonts w:hint="eastAsia"/>
          <w:sz w:val="28"/>
          <w:szCs w:val="28"/>
          <w:lang w:val="en-US" w:eastAsia="zh-CN"/>
        </w:rPr>
        <w:t>1</w:t>
      </w:r>
      <w:r>
        <w:rPr>
          <w:sz w:val="28"/>
          <w:szCs w:val="28"/>
          <w:highlight w:val="none"/>
        </w:rPr>
        <w:t>．</w:t>
      </w:r>
      <w:r>
        <w:rPr>
          <w:rFonts w:hint="eastAsia"/>
          <w:sz w:val="28"/>
          <w:szCs w:val="28"/>
          <w:highlight w:val="none"/>
          <w:lang w:val="en-US" w:eastAsia="zh-CN"/>
        </w:rPr>
        <w:t>表土覆盖</w:t>
      </w:r>
    </w:p>
    <w:p w14:paraId="63FBDE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napToGrid w:val="0"/>
          <w:sz w:val="28"/>
          <w:szCs w:val="28"/>
          <w:highlight w:val="none"/>
          <w:lang w:val="en-US" w:eastAsia="zh-CN"/>
        </w:rPr>
      </w:pPr>
      <w:r>
        <w:rPr>
          <w:rFonts w:hint="eastAsia"/>
          <w:snapToGrid w:val="0"/>
          <w:sz w:val="28"/>
          <w:szCs w:val="28"/>
          <w:highlight w:val="none"/>
          <w:lang w:val="en-US" w:eastAsia="zh-CN"/>
        </w:rPr>
        <w:t>在平整后的场地表层进行覆土，包含破碎站及原废石堆场、复垦用土临时堆场、排土场、露天采场+55m标高以上平台、历史采坑一部分区域、办公生活区及原综合服务区。</w:t>
      </w:r>
    </w:p>
    <w:p w14:paraId="32E04890">
      <w:pPr>
        <w:spacing w:line="360" w:lineRule="auto"/>
        <w:rPr>
          <w:rFonts w:hint="default"/>
          <w:sz w:val="28"/>
          <w:szCs w:val="28"/>
          <w:highlight w:val="none"/>
          <w:lang w:val="en-US" w:eastAsia="zh-CN"/>
        </w:rPr>
      </w:pPr>
      <w:r>
        <w:rPr>
          <w:rFonts w:hint="eastAsia"/>
          <w:sz w:val="28"/>
          <w:szCs w:val="28"/>
          <w:highlight w:val="none"/>
          <w:lang w:val="en-US" w:eastAsia="zh-CN"/>
        </w:rPr>
        <w:t>露天采场需要覆土的平台长约662m,平台宽度为4m，面积为2648m</w:t>
      </w:r>
      <w:r>
        <w:rPr>
          <w:rFonts w:hint="eastAsia"/>
          <w:sz w:val="28"/>
          <w:szCs w:val="28"/>
          <w:highlight w:val="none"/>
          <w:vertAlign w:val="superscript"/>
          <w:lang w:val="en-US" w:eastAsia="zh-CN"/>
        </w:rPr>
        <w:t>2</w:t>
      </w:r>
      <w:r>
        <w:rPr>
          <w:rFonts w:hint="eastAsia"/>
          <w:sz w:val="28"/>
          <w:szCs w:val="28"/>
          <w:highlight w:val="none"/>
          <w:lang w:val="en-US" w:eastAsia="zh-CN"/>
        </w:rPr>
        <w:t>，覆土量为1059</w:t>
      </w:r>
      <w:r>
        <w:rPr>
          <w:rFonts w:hint="eastAsia"/>
          <w:snapToGrid w:val="0"/>
          <w:sz w:val="28"/>
          <w:szCs w:val="28"/>
          <w:highlight w:val="none"/>
        </w:rPr>
        <w:t>m</w:t>
      </w:r>
      <w:r>
        <w:rPr>
          <w:rFonts w:hint="eastAsia"/>
          <w:snapToGrid w:val="0"/>
          <w:sz w:val="28"/>
          <w:szCs w:val="28"/>
          <w:highlight w:val="none"/>
          <w:vertAlign w:val="superscript"/>
        </w:rPr>
        <w:t>3</w:t>
      </w:r>
      <w:r>
        <w:rPr>
          <w:rFonts w:hint="eastAsia"/>
          <w:snapToGrid w:val="0"/>
          <w:sz w:val="28"/>
          <w:szCs w:val="28"/>
          <w:highlight w:val="none"/>
          <w:lang w:eastAsia="zh-CN"/>
        </w:rPr>
        <w:t>。</w:t>
      </w:r>
      <w:r>
        <w:rPr>
          <w:rFonts w:hint="eastAsia"/>
          <w:sz w:val="28"/>
          <w:szCs w:val="28"/>
          <w:highlight w:val="none"/>
          <w:lang w:val="en-US" w:eastAsia="zh-CN"/>
        </w:rPr>
        <w:t>施工方法为人工拉运、人工覆土。</w:t>
      </w:r>
    </w:p>
    <w:p w14:paraId="081CCB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napToGrid w:val="0"/>
          <w:sz w:val="28"/>
          <w:szCs w:val="28"/>
          <w:highlight w:val="none"/>
          <w:lang w:val="en-US" w:eastAsia="zh-CN"/>
        </w:rPr>
      </w:pPr>
      <w:r>
        <w:rPr>
          <w:rFonts w:hint="eastAsia"/>
          <w:sz w:val="28"/>
          <w:szCs w:val="28"/>
          <w:highlight w:val="none"/>
          <w:lang w:val="en-US" w:eastAsia="zh-CN"/>
        </w:rPr>
        <w:t>复垦用土临时堆场需要覆土面积为14921m</w:t>
      </w:r>
      <w:r>
        <w:rPr>
          <w:rFonts w:hint="eastAsia"/>
          <w:sz w:val="28"/>
          <w:szCs w:val="28"/>
          <w:highlight w:val="none"/>
          <w:vertAlign w:val="superscript"/>
          <w:lang w:val="en-US" w:eastAsia="zh-CN"/>
        </w:rPr>
        <w:t>2</w:t>
      </w:r>
      <w:r>
        <w:rPr>
          <w:rFonts w:hint="eastAsia"/>
          <w:sz w:val="28"/>
          <w:szCs w:val="28"/>
          <w:highlight w:val="none"/>
          <w:lang w:val="en-US" w:eastAsia="zh-CN"/>
        </w:rPr>
        <w:t>；排土场需要覆土面积为24635m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。破碎站及原废石堆场需要覆土面积28932</w:t>
      </w:r>
      <w:r>
        <w:rPr>
          <w:rFonts w:hint="eastAsia"/>
          <w:sz w:val="28"/>
          <w:szCs w:val="28"/>
          <w:highlight w:val="none"/>
          <w:lang w:val="en-US" w:eastAsia="zh-CN"/>
        </w:rPr>
        <w:t>m</w:t>
      </w:r>
      <w:r>
        <w:rPr>
          <w:rFonts w:hint="eastAsia"/>
          <w:sz w:val="28"/>
          <w:szCs w:val="28"/>
          <w:highlight w:val="none"/>
          <w:vertAlign w:val="superscript"/>
          <w:lang w:val="en-US" w:eastAsia="zh-CN"/>
        </w:rPr>
        <w:t>2</w:t>
      </w:r>
      <w:r>
        <w:rPr>
          <w:rFonts w:hint="eastAsia"/>
          <w:sz w:val="28"/>
          <w:szCs w:val="28"/>
          <w:highlight w:val="none"/>
          <w:lang w:val="en-US" w:eastAsia="zh-CN"/>
        </w:rPr>
        <w:t>；历史采坑一部分区域覆土面积为2473m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。办公生活区及原综合服务区恢复为乔木林地的区域部分区域植被覆盖较好，需要覆土的面积为2533</w:t>
      </w:r>
      <w:r>
        <w:rPr>
          <w:rFonts w:hint="eastAsia"/>
          <w:sz w:val="28"/>
          <w:szCs w:val="28"/>
          <w:highlight w:val="none"/>
          <w:lang w:val="en-US" w:eastAsia="zh-CN"/>
        </w:rPr>
        <w:t>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。需要覆土场地面积共计73494</w:t>
      </w:r>
      <w:r>
        <w:rPr>
          <w:rFonts w:hint="eastAsia"/>
          <w:sz w:val="28"/>
          <w:szCs w:val="28"/>
          <w:highlight w:val="none"/>
          <w:lang w:val="en-US" w:eastAsia="zh-CN"/>
        </w:rPr>
        <w:t>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w:t>
      </w:r>
      <w:r>
        <w:rPr>
          <w:snapToGrid w:val="0"/>
          <w:sz w:val="28"/>
          <w:szCs w:val="28"/>
          <w:highlight w:val="none"/>
        </w:rPr>
        <w:t>厚度为0.</w:t>
      </w:r>
      <w:r>
        <w:rPr>
          <w:rFonts w:hint="eastAsia"/>
          <w:snapToGrid w:val="0"/>
          <w:sz w:val="28"/>
          <w:szCs w:val="28"/>
          <w:highlight w:val="none"/>
          <w:lang w:val="en-US" w:eastAsia="zh-CN"/>
        </w:rPr>
        <w:t>4</w:t>
      </w:r>
      <w:r>
        <w:rPr>
          <w:snapToGrid w:val="0"/>
          <w:sz w:val="28"/>
          <w:szCs w:val="28"/>
          <w:highlight w:val="none"/>
        </w:rPr>
        <w:t>0m，</w:t>
      </w:r>
      <w:r>
        <w:rPr>
          <w:rFonts w:hint="eastAsia"/>
          <w:snapToGrid w:val="0"/>
          <w:sz w:val="28"/>
          <w:szCs w:val="28"/>
          <w:highlight w:val="none"/>
          <w:lang w:val="en-US" w:eastAsia="zh-CN"/>
        </w:rPr>
        <w:t>覆</w:t>
      </w:r>
      <w:r>
        <w:rPr>
          <w:snapToGrid w:val="0"/>
          <w:sz w:val="28"/>
          <w:szCs w:val="28"/>
          <w:highlight w:val="none"/>
        </w:rPr>
        <w:t>土量约</w:t>
      </w:r>
      <w:r>
        <w:rPr>
          <w:rFonts w:hint="eastAsia"/>
          <w:snapToGrid w:val="0"/>
          <w:sz w:val="28"/>
          <w:szCs w:val="28"/>
          <w:highlight w:val="none"/>
        </w:rPr>
        <w:t>2</w:t>
      </w:r>
      <w:r>
        <w:rPr>
          <w:rFonts w:hint="eastAsia"/>
          <w:snapToGrid w:val="0"/>
          <w:sz w:val="28"/>
          <w:szCs w:val="28"/>
          <w:highlight w:val="none"/>
          <w:lang w:val="en-US" w:eastAsia="zh-CN"/>
        </w:rPr>
        <w:t>9398</w:t>
      </w:r>
      <w:r>
        <w:rPr>
          <w:rFonts w:hint="eastAsia"/>
          <w:snapToGrid w:val="0"/>
          <w:sz w:val="28"/>
          <w:szCs w:val="28"/>
          <w:highlight w:val="none"/>
        </w:rPr>
        <w:t>m</w:t>
      </w:r>
      <w:r>
        <w:rPr>
          <w:rFonts w:hint="eastAsia"/>
          <w:snapToGrid w:val="0"/>
          <w:sz w:val="28"/>
          <w:szCs w:val="28"/>
          <w:highlight w:val="none"/>
          <w:vertAlign w:val="superscript"/>
        </w:rPr>
        <w:t>3</w:t>
      </w:r>
      <w:r>
        <w:rPr>
          <w:rFonts w:hint="eastAsia"/>
          <w:snapToGrid w:val="0"/>
          <w:sz w:val="28"/>
          <w:szCs w:val="28"/>
          <w:highlight w:val="none"/>
          <w:lang w:eastAsia="zh-CN"/>
        </w:rPr>
        <w:t>。</w:t>
      </w:r>
      <w:r>
        <w:rPr>
          <w:rFonts w:hint="eastAsia"/>
          <w:snapToGrid w:val="0"/>
          <w:sz w:val="28"/>
          <w:szCs w:val="28"/>
          <w:highlight w:val="none"/>
          <w:lang w:val="en-US" w:eastAsia="zh-CN"/>
        </w:rPr>
        <w:t>施工方法为机械拉运及推平。</w:t>
      </w:r>
    </w:p>
    <w:p w14:paraId="72CC9B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napToGrid w:val="0"/>
          <w:sz w:val="28"/>
          <w:szCs w:val="28"/>
          <w:highlight w:val="none"/>
          <w:vertAlign w:val="baseline"/>
          <w:lang w:val="en-US" w:eastAsia="zh-CN"/>
        </w:rPr>
      </w:pPr>
      <w:r>
        <w:rPr>
          <w:rFonts w:hint="eastAsia"/>
          <w:snapToGrid w:val="0"/>
          <w:sz w:val="28"/>
          <w:szCs w:val="28"/>
          <w:highlight w:val="none"/>
          <w:lang w:val="en-US" w:eastAsia="zh-CN"/>
        </w:rPr>
        <w:t>依据开发利用方案，采矿过程中剥离堆存的表土为5.45万m</w:t>
      </w:r>
      <w:r>
        <w:rPr>
          <w:rFonts w:hint="eastAsia"/>
          <w:snapToGrid w:val="0"/>
          <w:sz w:val="28"/>
          <w:szCs w:val="28"/>
          <w:highlight w:val="none"/>
          <w:vertAlign w:val="superscript"/>
          <w:lang w:val="en-US" w:eastAsia="zh-CN"/>
        </w:rPr>
        <w:t>3</w:t>
      </w:r>
      <w:r>
        <w:rPr>
          <w:rFonts w:hint="eastAsia"/>
          <w:snapToGrid w:val="0"/>
          <w:sz w:val="28"/>
          <w:szCs w:val="28"/>
          <w:highlight w:val="none"/>
          <w:lang w:val="en-US" w:eastAsia="zh-CN"/>
        </w:rPr>
        <w:t>，按照压实系数1.15、损耗10%来计算，实际需要表土方量30457m</w:t>
      </w:r>
      <w:r>
        <w:rPr>
          <w:rFonts w:hint="eastAsia"/>
          <w:snapToGrid w:val="0"/>
          <w:sz w:val="28"/>
          <w:szCs w:val="28"/>
          <w:highlight w:val="none"/>
          <w:vertAlign w:val="superscript"/>
          <w:lang w:val="en-US" w:eastAsia="zh-CN"/>
        </w:rPr>
        <w:t>3</w:t>
      </w:r>
      <w:r>
        <w:rPr>
          <w:rFonts w:hint="eastAsia"/>
          <w:snapToGrid w:val="0"/>
          <w:sz w:val="28"/>
          <w:szCs w:val="28"/>
          <w:highlight w:val="none"/>
          <w:vertAlign w:val="baseline"/>
          <w:lang w:val="en-US" w:eastAsia="zh-CN"/>
        </w:rPr>
        <w:t>，</w:t>
      </w:r>
    </w:p>
    <w:p w14:paraId="112745B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snapToGrid w:val="0"/>
          <w:sz w:val="28"/>
          <w:szCs w:val="28"/>
          <w:highlight w:val="none"/>
        </w:rPr>
      </w:pPr>
      <w:r>
        <w:rPr>
          <w:rFonts w:hint="eastAsia"/>
          <w:snapToGrid w:val="0"/>
          <w:sz w:val="28"/>
          <w:szCs w:val="28"/>
          <w:highlight w:val="none"/>
          <w:lang w:val="en-US" w:eastAsia="zh-CN"/>
        </w:rPr>
        <w:t>剥离的表土远大于覆土用量，</w:t>
      </w:r>
      <w:r>
        <w:rPr>
          <w:snapToGrid w:val="0"/>
          <w:sz w:val="28"/>
          <w:szCs w:val="28"/>
          <w:highlight w:val="none"/>
        </w:rPr>
        <w:t>数量和质量可满足复垦所需要求。</w:t>
      </w:r>
    </w:p>
    <w:p w14:paraId="37D5F2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napToGrid w:val="0"/>
          <w:sz w:val="28"/>
          <w:szCs w:val="28"/>
          <w:highlight w:val="green"/>
        </w:rPr>
      </w:pPr>
      <w:r>
        <w:rPr>
          <w:rFonts w:hint="eastAsia"/>
          <w:snapToGrid w:val="0"/>
          <w:sz w:val="28"/>
          <w:szCs w:val="28"/>
        </w:rPr>
        <w:t>采用“分层覆盖”或“混合覆盖”模式</w:t>
      </w:r>
      <w:r>
        <w:rPr>
          <w:rFonts w:hint="eastAsia"/>
          <w:snapToGrid w:val="0"/>
          <w:sz w:val="28"/>
          <w:szCs w:val="28"/>
          <w:lang w:eastAsia="zh-CN"/>
        </w:rPr>
        <w:t>。</w:t>
      </w:r>
      <w:r>
        <w:rPr>
          <w:rFonts w:hint="eastAsia"/>
          <w:snapToGrid w:val="0"/>
          <w:sz w:val="28"/>
          <w:szCs w:val="28"/>
        </w:rPr>
        <w:t>底层可铺设一层经筛选的、粒径较大的采矿废石作为“导水层”；中层为混合层，将</w:t>
      </w:r>
      <w:r>
        <w:rPr>
          <w:rFonts w:hint="eastAsia"/>
          <w:snapToGrid w:val="0"/>
          <w:sz w:val="28"/>
          <w:szCs w:val="28"/>
          <w:lang w:val="en-US" w:eastAsia="zh-CN"/>
        </w:rPr>
        <w:t>心土</w:t>
      </w:r>
      <w:r>
        <w:rPr>
          <w:rFonts w:hint="eastAsia"/>
          <w:snapToGrid w:val="0"/>
          <w:sz w:val="28"/>
          <w:szCs w:val="28"/>
        </w:rPr>
        <w:t>、有机物料按一定比例（</w:t>
      </w:r>
      <w:r>
        <w:rPr>
          <w:rFonts w:hint="eastAsia"/>
          <w:snapToGrid w:val="0"/>
          <w:sz w:val="28"/>
          <w:szCs w:val="28"/>
          <w:lang w:val="en-US" w:eastAsia="zh-CN"/>
        </w:rPr>
        <w:t>7</w:t>
      </w:r>
      <w:r>
        <w:rPr>
          <w:rFonts w:hint="eastAsia"/>
          <w:snapToGrid w:val="0"/>
          <w:sz w:val="28"/>
          <w:szCs w:val="28"/>
        </w:rPr>
        <w:t>:</w:t>
      </w:r>
      <w:r>
        <w:rPr>
          <w:rFonts w:hint="eastAsia"/>
          <w:snapToGrid w:val="0"/>
          <w:sz w:val="28"/>
          <w:szCs w:val="28"/>
          <w:lang w:val="en-US" w:eastAsia="zh-CN"/>
        </w:rPr>
        <w:t>3</w:t>
      </w:r>
      <w:r>
        <w:rPr>
          <w:rFonts w:hint="eastAsia"/>
          <w:snapToGrid w:val="0"/>
          <w:sz w:val="28"/>
          <w:szCs w:val="28"/>
        </w:rPr>
        <w:t>）机械混合，以平衡结构、养分和成本；表层为至少</w:t>
      </w:r>
      <w:r>
        <w:rPr>
          <w:rFonts w:hint="eastAsia"/>
          <w:snapToGrid w:val="0"/>
          <w:sz w:val="28"/>
          <w:szCs w:val="28"/>
          <w:lang w:val="en-US" w:eastAsia="zh-CN"/>
        </w:rPr>
        <w:t>3</w:t>
      </w:r>
      <w:r>
        <w:rPr>
          <w:rFonts w:hint="eastAsia"/>
          <w:snapToGrid w:val="0"/>
          <w:sz w:val="28"/>
          <w:szCs w:val="28"/>
        </w:rPr>
        <w:t>0-</w:t>
      </w:r>
      <w:r>
        <w:rPr>
          <w:rFonts w:hint="eastAsia"/>
          <w:snapToGrid w:val="0"/>
          <w:sz w:val="28"/>
          <w:szCs w:val="28"/>
          <w:lang w:val="en-US" w:eastAsia="zh-CN"/>
        </w:rPr>
        <w:t>4</w:t>
      </w:r>
      <w:r>
        <w:rPr>
          <w:rFonts w:hint="eastAsia"/>
          <w:snapToGrid w:val="0"/>
          <w:sz w:val="28"/>
          <w:szCs w:val="28"/>
        </w:rPr>
        <w:t>0cm厚的优质表土或高度改良的混合土，为种子萌发和幼苗生长提供良好环境。回填后需进行地形平整，形成利于排水的微地形</w:t>
      </w:r>
      <w:r>
        <w:rPr>
          <w:rFonts w:hint="eastAsia"/>
          <w:snapToGrid w:val="0"/>
          <w:sz w:val="28"/>
          <w:szCs w:val="28"/>
          <w:highlight w:val="none"/>
        </w:rPr>
        <w:t>。使用轻型机械进行适度压实，以防止后期过度沉降，但切忌过度压实导致土壤板结。</w:t>
      </w:r>
    </w:p>
    <w:p w14:paraId="693D8E53">
      <w:pPr>
        <w:pStyle w:val="7"/>
        <w:bidi w:val="0"/>
        <w:spacing w:line="360" w:lineRule="auto"/>
        <w:ind w:firstLine="562" w:firstLineChars="200"/>
        <w:rPr>
          <w:rFonts w:hint="eastAsia"/>
          <w:sz w:val="28"/>
          <w:szCs w:val="28"/>
          <w:lang w:val="en-US" w:eastAsia="zh-CN"/>
        </w:rPr>
      </w:pPr>
      <w:r>
        <w:rPr>
          <w:rFonts w:hint="eastAsia"/>
          <w:sz w:val="28"/>
          <w:szCs w:val="28"/>
          <w:lang w:val="en-US" w:eastAsia="zh-CN"/>
        </w:rPr>
        <w:t>2</w:t>
      </w:r>
      <w:r>
        <w:rPr>
          <w:sz w:val="28"/>
          <w:szCs w:val="28"/>
          <w:highlight w:val="none"/>
        </w:rPr>
        <w:t>．</w:t>
      </w:r>
      <w:r>
        <w:rPr>
          <w:rFonts w:hint="eastAsia"/>
          <w:sz w:val="28"/>
          <w:szCs w:val="28"/>
          <w:lang w:val="en-US" w:eastAsia="zh-CN"/>
        </w:rPr>
        <w:t>培肥改良</w:t>
      </w:r>
    </w:p>
    <w:p w14:paraId="646AA783">
      <w:pPr>
        <w:spacing w:line="360" w:lineRule="auto"/>
        <w:rPr>
          <w:rFonts w:hint="eastAsia"/>
          <w:snapToGrid w:val="0"/>
          <w:sz w:val="28"/>
          <w:szCs w:val="28"/>
          <w:highlight w:val="none"/>
        </w:rPr>
      </w:pPr>
      <w:r>
        <w:rPr>
          <w:rFonts w:hint="default"/>
          <w:snapToGrid w:val="0"/>
          <w:sz w:val="28"/>
          <w:szCs w:val="28"/>
          <w:highlight w:val="none"/>
          <w:lang w:val="en-US" w:eastAsia="zh-CN"/>
        </w:rPr>
        <w:t>在复垦初期，氮、磷通常是主要限制因子。对于</w:t>
      </w:r>
      <w:r>
        <w:rPr>
          <w:rFonts w:hint="eastAsia"/>
          <w:snapToGrid w:val="0"/>
          <w:sz w:val="28"/>
          <w:szCs w:val="28"/>
          <w:highlight w:val="none"/>
          <w:lang w:val="en-US" w:eastAsia="zh-CN"/>
        </w:rPr>
        <w:t>矿山开采后，覆土区域</w:t>
      </w:r>
      <w:r>
        <w:rPr>
          <w:rFonts w:hint="default"/>
          <w:snapToGrid w:val="0"/>
          <w:sz w:val="28"/>
          <w:szCs w:val="28"/>
          <w:highlight w:val="none"/>
          <w:lang w:val="en-US" w:eastAsia="zh-CN"/>
        </w:rPr>
        <w:t>土壤肥力比较低的状况，需增加土壤有机质和养分含量，改良土壤性状，提高土壤肥力。改土措施可采用土壤培肥的方法来涵养土壤。</w:t>
      </w:r>
      <w:r>
        <w:rPr>
          <w:rFonts w:hint="eastAsia"/>
          <w:snapToGrid w:val="0"/>
          <w:sz w:val="28"/>
          <w:szCs w:val="28"/>
          <w:highlight w:val="none"/>
          <w:lang w:val="en-US" w:eastAsia="zh-CN"/>
        </w:rPr>
        <w:t>本方案</w:t>
      </w:r>
      <w:r>
        <w:rPr>
          <w:rFonts w:hint="default"/>
          <w:snapToGrid w:val="0"/>
          <w:sz w:val="28"/>
          <w:szCs w:val="28"/>
          <w:highlight w:val="none"/>
          <w:lang w:val="en-US" w:eastAsia="zh-CN"/>
        </w:rPr>
        <w:t>采用商品</w:t>
      </w:r>
      <w:r>
        <w:rPr>
          <w:rFonts w:hint="eastAsia"/>
          <w:snapToGrid w:val="0"/>
          <w:sz w:val="28"/>
          <w:szCs w:val="28"/>
          <w:highlight w:val="none"/>
          <w:lang w:val="en-US" w:eastAsia="zh-CN"/>
        </w:rPr>
        <w:t>有机肥</w:t>
      </w:r>
      <w:r>
        <w:rPr>
          <w:rFonts w:hint="default"/>
          <w:snapToGrid w:val="0"/>
          <w:sz w:val="28"/>
          <w:szCs w:val="28"/>
          <w:highlight w:val="none"/>
          <w:lang w:val="en-US" w:eastAsia="zh-CN"/>
        </w:rPr>
        <w:t>：</w:t>
      </w:r>
      <w:r>
        <w:rPr>
          <w:rFonts w:hint="eastAsia"/>
          <w:snapToGrid w:val="0"/>
          <w:sz w:val="28"/>
          <w:szCs w:val="28"/>
          <w:highlight w:val="none"/>
          <w:lang w:val="en-US" w:eastAsia="zh-CN"/>
        </w:rPr>
        <w:t>乔木树种和灌木</w:t>
      </w:r>
      <w:r>
        <w:rPr>
          <w:rFonts w:hint="default"/>
          <w:snapToGrid w:val="0"/>
          <w:sz w:val="28"/>
          <w:szCs w:val="28"/>
          <w:highlight w:val="none"/>
          <w:lang w:val="en-US" w:eastAsia="zh-CN"/>
        </w:rPr>
        <w:t>按穴施放</w:t>
      </w:r>
      <w:r>
        <w:rPr>
          <w:rFonts w:hint="eastAsia"/>
          <w:snapToGrid w:val="0"/>
          <w:sz w:val="28"/>
          <w:szCs w:val="28"/>
          <w:highlight w:val="none"/>
          <w:lang w:val="en-US" w:eastAsia="zh-CN"/>
        </w:rPr>
        <w:t>1.0</w:t>
      </w:r>
      <w:r>
        <w:rPr>
          <w:rFonts w:hint="default"/>
          <w:snapToGrid w:val="0"/>
          <w:sz w:val="28"/>
          <w:szCs w:val="28"/>
          <w:highlight w:val="none"/>
          <w:lang w:val="en-US" w:eastAsia="zh-CN"/>
        </w:rPr>
        <w:t>kg</w:t>
      </w:r>
      <w:r>
        <w:rPr>
          <w:rFonts w:hint="eastAsia"/>
          <w:snapToGrid w:val="0"/>
          <w:sz w:val="28"/>
          <w:szCs w:val="28"/>
          <w:highlight w:val="none"/>
          <w:lang w:val="en-US" w:eastAsia="zh-CN"/>
        </w:rPr>
        <w:t>有机肥</w:t>
      </w:r>
      <w:r>
        <w:rPr>
          <w:rFonts w:hint="default"/>
          <w:snapToGrid w:val="0"/>
          <w:sz w:val="28"/>
          <w:szCs w:val="28"/>
          <w:highlight w:val="none"/>
          <w:lang w:val="en-US" w:eastAsia="zh-CN"/>
        </w:rPr>
        <w:t>提升土壤中的</w:t>
      </w:r>
      <w:r>
        <w:rPr>
          <w:rFonts w:hint="eastAsia"/>
          <w:snapToGrid w:val="0"/>
          <w:sz w:val="28"/>
          <w:szCs w:val="28"/>
          <w:highlight w:val="none"/>
          <w:lang w:val="en-US" w:eastAsia="zh-CN"/>
        </w:rPr>
        <w:t>有机质</w:t>
      </w:r>
      <w:r>
        <w:rPr>
          <w:rFonts w:hint="default"/>
          <w:snapToGrid w:val="0"/>
          <w:sz w:val="28"/>
          <w:szCs w:val="28"/>
          <w:highlight w:val="none"/>
          <w:lang w:val="en-US" w:eastAsia="zh-CN"/>
        </w:rPr>
        <w:t>含量，施放范围面积为</w:t>
      </w:r>
      <w:r>
        <w:rPr>
          <w:rFonts w:hint="eastAsia"/>
          <w:snapToGrid w:val="0"/>
          <w:sz w:val="28"/>
          <w:szCs w:val="28"/>
          <w:highlight w:val="none"/>
          <w:lang w:val="en-US" w:eastAsia="zh-CN"/>
        </w:rPr>
        <w:t>7.6142</w:t>
      </w:r>
      <w:r>
        <w:rPr>
          <w:rFonts w:hint="default"/>
          <w:snapToGrid w:val="0"/>
          <w:sz w:val="28"/>
          <w:szCs w:val="28"/>
          <w:highlight w:val="none"/>
          <w:lang w:val="en-US" w:eastAsia="zh-CN"/>
        </w:rPr>
        <w:t>hm</w:t>
      </w:r>
      <w:r>
        <w:rPr>
          <w:rFonts w:hint="default"/>
          <w:snapToGrid w:val="0"/>
          <w:sz w:val="28"/>
          <w:szCs w:val="28"/>
          <w:highlight w:val="none"/>
          <w:vertAlign w:val="superscript"/>
          <w:lang w:val="en-US" w:eastAsia="zh-CN"/>
        </w:rPr>
        <w:t>2</w:t>
      </w:r>
      <w:r>
        <w:rPr>
          <w:rFonts w:hint="default"/>
          <w:snapToGrid w:val="0"/>
          <w:sz w:val="28"/>
          <w:szCs w:val="28"/>
          <w:highlight w:val="none"/>
          <w:lang w:val="en-US" w:eastAsia="zh-CN"/>
        </w:rPr>
        <w:t>，每公顷按</w:t>
      </w:r>
      <w:r>
        <w:rPr>
          <w:rFonts w:hint="eastAsia"/>
          <w:snapToGrid w:val="0"/>
          <w:sz w:val="28"/>
          <w:szCs w:val="28"/>
          <w:highlight w:val="none"/>
          <w:lang w:val="en-US" w:eastAsia="zh-CN"/>
        </w:rPr>
        <w:t>1600</w:t>
      </w:r>
      <w:r>
        <w:rPr>
          <w:rFonts w:hint="default"/>
          <w:snapToGrid w:val="0"/>
          <w:sz w:val="28"/>
          <w:szCs w:val="28"/>
          <w:highlight w:val="none"/>
          <w:lang w:val="en-US" w:eastAsia="zh-CN"/>
        </w:rPr>
        <w:t>株计，计算</w:t>
      </w:r>
      <w:r>
        <w:rPr>
          <w:rFonts w:hint="eastAsia"/>
          <w:snapToGrid w:val="0"/>
          <w:sz w:val="28"/>
          <w:szCs w:val="28"/>
          <w:highlight w:val="none"/>
          <w:lang w:val="en-US" w:eastAsia="zh-CN"/>
        </w:rPr>
        <w:t>每公顷</w:t>
      </w:r>
      <w:r>
        <w:rPr>
          <w:rFonts w:hint="default"/>
          <w:snapToGrid w:val="0"/>
          <w:sz w:val="28"/>
          <w:szCs w:val="28"/>
          <w:highlight w:val="none"/>
          <w:lang w:val="en-US" w:eastAsia="zh-CN"/>
        </w:rPr>
        <w:t>施放量约</w:t>
      </w:r>
      <w:r>
        <w:rPr>
          <w:rFonts w:hint="eastAsia"/>
          <w:snapToGrid w:val="0"/>
          <w:sz w:val="28"/>
          <w:szCs w:val="28"/>
          <w:highlight w:val="none"/>
          <w:lang w:val="en-US" w:eastAsia="zh-CN"/>
        </w:rPr>
        <w:t>1600kg</w:t>
      </w:r>
      <w:r>
        <w:rPr>
          <w:rFonts w:hint="default"/>
          <w:snapToGrid w:val="0"/>
          <w:sz w:val="28"/>
          <w:szCs w:val="28"/>
          <w:highlight w:val="none"/>
          <w:lang w:val="en-US" w:eastAsia="zh-CN"/>
        </w:rPr>
        <w:t>。</w:t>
      </w:r>
      <w:r>
        <w:rPr>
          <w:rFonts w:hint="eastAsia"/>
          <w:snapToGrid w:val="0"/>
          <w:sz w:val="28"/>
          <w:szCs w:val="28"/>
          <w:highlight w:val="none"/>
        </w:rPr>
        <w:t>攀缘植物每穴施放</w:t>
      </w:r>
      <w:r>
        <w:rPr>
          <w:rFonts w:hint="eastAsia"/>
          <w:snapToGrid w:val="0"/>
          <w:sz w:val="28"/>
          <w:szCs w:val="28"/>
          <w:highlight w:val="none"/>
          <w:lang w:val="en-US" w:eastAsia="zh-CN"/>
        </w:rPr>
        <w:t>0.5kg有机肥</w:t>
      </w:r>
      <w:r>
        <w:rPr>
          <w:rFonts w:hint="eastAsia"/>
          <w:snapToGrid w:val="0"/>
          <w:sz w:val="28"/>
          <w:szCs w:val="28"/>
          <w:highlight w:val="none"/>
        </w:rPr>
        <w:t>。</w:t>
      </w:r>
    </w:p>
    <w:p w14:paraId="2DD42816">
      <w:pPr>
        <w:spacing w:line="360" w:lineRule="auto"/>
        <w:rPr>
          <w:rFonts w:hint="default"/>
          <w:snapToGrid w:val="0"/>
          <w:sz w:val="28"/>
          <w:szCs w:val="28"/>
          <w:highlight w:val="none"/>
          <w:lang w:val="en-US" w:eastAsia="zh-CN"/>
        </w:rPr>
      </w:pPr>
      <w:r>
        <w:rPr>
          <w:rFonts w:hint="default"/>
          <w:snapToGrid w:val="0"/>
          <w:sz w:val="28"/>
          <w:szCs w:val="28"/>
          <w:highlight w:val="none"/>
          <w:lang w:val="en-US" w:eastAsia="zh-CN"/>
        </w:rPr>
        <w:t>施用方法采用撒施的方法：结合深耕或在播种时，将有机肥均匀地施在根系集中分布的区域和经常保持湿润状态的土层中，让有机肥料与土壤充分混合，可有效改良土壤有机质含量，有机肥施放后，再结合植物种植等生物措施对土壤进行修复。</w:t>
      </w:r>
    </w:p>
    <w:p w14:paraId="466A4D6A">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（三）植被重建</w:t>
      </w:r>
    </w:p>
    <w:p w14:paraId="50564C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lang w:val="en-US" w:eastAsia="zh-CN"/>
        </w:rPr>
      </w:pPr>
      <w:r>
        <w:rPr>
          <w:rFonts w:hint="eastAsia"/>
          <w:bCs/>
          <w:color w:val="000000"/>
          <w:sz w:val="28"/>
          <w:szCs w:val="28"/>
          <w:highlight w:val="none"/>
          <w:lang w:val="en-US" w:eastAsia="zh-CN"/>
        </w:rPr>
        <w:t>对复垦为林地的区域进行植被重建。</w:t>
      </w:r>
      <w:r>
        <w:rPr>
          <w:rFonts w:hint="eastAsia"/>
          <w:bCs/>
          <w:color w:val="000000"/>
          <w:sz w:val="28"/>
          <w:szCs w:val="28"/>
          <w:highlight w:val="none"/>
        </w:rPr>
        <w:t>乔木选择木麻黄，</w:t>
      </w:r>
      <w:r>
        <w:rPr>
          <w:rFonts w:hint="eastAsia"/>
          <w:bCs/>
          <w:color w:val="000000"/>
          <w:sz w:val="28"/>
          <w:szCs w:val="28"/>
          <w:highlight w:val="none"/>
          <w:lang w:val="en-US" w:eastAsia="zh-CN"/>
        </w:rPr>
        <w:t>灌木选择</w:t>
      </w:r>
      <w:r>
        <w:rPr>
          <w:rFonts w:hint="eastAsia" w:ascii="Times New Roman" w:hAnsi="Times New Roman" w:eastAsia="宋体" w:cs="Times New Roman"/>
          <w:sz w:val="28"/>
          <w:szCs w:val="28"/>
          <w:highlight w:val="none"/>
          <w:lang w:val="en-US" w:eastAsia="zh-CN"/>
        </w:rPr>
        <w:t>黄槿</w:t>
      </w:r>
      <w:r>
        <w:rPr>
          <w:rFonts w:hint="eastAsia"/>
          <w:bCs/>
          <w:color w:val="000000"/>
          <w:sz w:val="28"/>
          <w:szCs w:val="28"/>
          <w:highlight w:val="none"/>
          <w:lang w:val="en-US" w:eastAsia="zh-CN"/>
        </w:rPr>
        <w:t>，草种选择狗牙根和柱花草，</w:t>
      </w:r>
      <w:r>
        <w:rPr>
          <w:rFonts w:hint="eastAsia"/>
          <w:sz w:val="28"/>
          <w:szCs w:val="28"/>
          <w:highlight w:val="none"/>
          <w:lang w:val="en-US" w:eastAsia="zh-CN"/>
        </w:rPr>
        <w:t>攀爬植物选择爬山虎</w:t>
      </w:r>
      <w:r>
        <w:rPr>
          <w:rFonts w:hint="default"/>
          <w:sz w:val="28"/>
          <w:szCs w:val="28"/>
          <w:highlight w:val="none"/>
          <w:lang w:val="en-US" w:eastAsia="zh-CN"/>
        </w:rPr>
        <w:t>等</w:t>
      </w:r>
      <w:r>
        <w:rPr>
          <w:rFonts w:hint="eastAsia"/>
          <w:sz w:val="28"/>
          <w:szCs w:val="28"/>
          <w:highlight w:val="none"/>
          <w:lang w:val="en-US" w:eastAsia="zh-CN"/>
        </w:rPr>
        <w:t>。</w:t>
      </w:r>
      <w:r>
        <w:rPr>
          <w:rFonts w:hint="eastAsia"/>
          <w:bCs/>
          <w:color w:val="000000"/>
          <w:sz w:val="28"/>
          <w:szCs w:val="28"/>
          <w:highlight w:val="none"/>
          <w:lang w:val="en-US" w:eastAsia="zh-CN"/>
        </w:rPr>
        <w:t>形成乔灌草藤立体结构，</w:t>
      </w:r>
      <w:r>
        <w:rPr>
          <w:rFonts w:hint="eastAsia"/>
          <w:bCs/>
          <w:color w:val="000000"/>
          <w:sz w:val="28"/>
          <w:szCs w:val="28"/>
          <w:highlight w:val="none"/>
        </w:rPr>
        <w:t>提高抗逆性与覆盖率。</w:t>
      </w:r>
    </w:p>
    <w:p w14:paraId="2B5EA2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lang w:val="en-US" w:eastAsia="zh-CN"/>
        </w:rPr>
      </w:pPr>
      <w:r>
        <w:rPr>
          <w:rFonts w:hint="eastAsia"/>
          <w:sz w:val="28"/>
          <w:szCs w:val="28"/>
          <w:highlight w:val="none"/>
          <w:lang w:val="en-US" w:eastAsia="zh-CN"/>
        </w:rPr>
        <w:t>（1）乔木栽植</w:t>
      </w:r>
    </w:p>
    <w:p w14:paraId="08B7E63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bCs/>
          <w:color w:val="000000"/>
          <w:sz w:val="28"/>
          <w:szCs w:val="28"/>
          <w:highlight w:val="none"/>
          <w:lang w:val="en-US" w:eastAsia="zh-CN"/>
        </w:rPr>
      </w:pPr>
      <w:r>
        <w:rPr>
          <w:rFonts w:hint="eastAsia"/>
          <w:snapToGrid w:val="0"/>
          <w:sz w:val="28"/>
          <w:szCs w:val="28"/>
          <w:highlight w:val="none"/>
          <w:lang w:val="en-US" w:eastAsia="zh-CN"/>
        </w:rPr>
        <w:t>树种选择为</w:t>
      </w:r>
      <w:r>
        <w:rPr>
          <w:rFonts w:hint="eastAsia"/>
          <w:bCs/>
          <w:color w:val="000000"/>
          <w:sz w:val="28"/>
          <w:szCs w:val="28"/>
          <w:highlight w:val="none"/>
        </w:rPr>
        <w:t>木麻黄，</w:t>
      </w:r>
      <w:r>
        <w:rPr>
          <w:rFonts w:hint="eastAsia"/>
          <w:bCs/>
          <w:color w:val="000000"/>
          <w:sz w:val="28"/>
          <w:szCs w:val="28"/>
          <w:highlight w:val="none"/>
          <w:lang w:val="en-US" w:eastAsia="zh-CN"/>
        </w:rPr>
        <w:t>树种</w:t>
      </w:r>
      <w:r>
        <w:rPr>
          <w:bCs/>
          <w:color w:val="000000"/>
          <w:sz w:val="28"/>
          <w:szCs w:val="28"/>
          <w:highlight w:val="none"/>
        </w:rPr>
        <w:t>都选用1－2年生、40－70厘米高的营养袋苗，为快速实现复绿效果，应适当密植，采用株行距</w:t>
      </w:r>
      <w:r>
        <w:rPr>
          <w:rFonts w:hint="eastAsia"/>
          <w:bCs/>
          <w:color w:val="000000"/>
          <w:sz w:val="28"/>
          <w:szCs w:val="28"/>
          <w:highlight w:val="none"/>
          <w:lang w:val="en-US" w:eastAsia="zh-CN"/>
        </w:rPr>
        <w:t>2.5</w:t>
      </w:r>
      <w:r>
        <w:rPr>
          <w:bCs/>
          <w:color w:val="000000"/>
          <w:sz w:val="28"/>
          <w:szCs w:val="28"/>
          <w:highlight w:val="none"/>
        </w:rPr>
        <w:t>×</w:t>
      </w:r>
      <w:r>
        <w:rPr>
          <w:rFonts w:hint="eastAsia"/>
          <w:bCs/>
          <w:color w:val="000000"/>
          <w:sz w:val="28"/>
          <w:szCs w:val="28"/>
          <w:highlight w:val="none"/>
          <w:lang w:val="en-US" w:eastAsia="zh-CN"/>
        </w:rPr>
        <w:t>2.5</w:t>
      </w:r>
      <w:r>
        <w:rPr>
          <w:bCs/>
          <w:color w:val="000000"/>
          <w:sz w:val="28"/>
          <w:szCs w:val="28"/>
          <w:highlight w:val="none"/>
        </w:rPr>
        <w:t>米的规格栽植，即栽植密度</w:t>
      </w:r>
      <w:r>
        <w:rPr>
          <w:rFonts w:hint="eastAsia"/>
          <w:bCs/>
          <w:color w:val="000000"/>
          <w:sz w:val="28"/>
          <w:szCs w:val="28"/>
          <w:highlight w:val="none"/>
          <w:lang w:val="en-US" w:eastAsia="zh-CN"/>
        </w:rPr>
        <w:t>1600</w:t>
      </w:r>
      <w:r>
        <w:rPr>
          <w:bCs/>
          <w:color w:val="000000"/>
          <w:sz w:val="28"/>
          <w:szCs w:val="28"/>
          <w:highlight w:val="none"/>
        </w:rPr>
        <w:t>株/</w:t>
      </w:r>
      <w:r>
        <w:rPr>
          <w:rFonts w:hint="default"/>
          <w:snapToGrid w:val="0"/>
          <w:sz w:val="28"/>
          <w:szCs w:val="28"/>
          <w:highlight w:val="none"/>
          <w:lang w:val="en-US" w:eastAsia="zh-CN"/>
        </w:rPr>
        <w:t>hm</w:t>
      </w:r>
      <w:r>
        <w:rPr>
          <w:rFonts w:hint="default"/>
          <w:snapToGrid w:val="0"/>
          <w:sz w:val="28"/>
          <w:szCs w:val="28"/>
          <w:highlight w:val="none"/>
          <w:vertAlign w:val="superscript"/>
          <w:lang w:val="en-US" w:eastAsia="zh-CN"/>
        </w:rPr>
        <w:t>2</w:t>
      </w:r>
      <w:r>
        <w:rPr>
          <w:bCs/>
          <w:color w:val="000000"/>
          <w:sz w:val="28"/>
          <w:szCs w:val="28"/>
          <w:highlight w:val="none"/>
        </w:rPr>
        <w:t>，打穴规格</w:t>
      </w:r>
      <w:r>
        <w:rPr>
          <w:rFonts w:hint="eastAsia"/>
          <w:bCs/>
          <w:color w:val="000000"/>
          <w:sz w:val="28"/>
          <w:szCs w:val="28"/>
          <w:highlight w:val="none"/>
          <w:lang w:val="en-US" w:eastAsia="zh-CN"/>
        </w:rPr>
        <w:t>5</w:t>
      </w:r>
      <w:r>
        <w:rPr>
          <w:bCs/>
          <w:color w:val="000000"/>
          <w:sz w:val="28"/>
          <w:szCs w:val="28"/>
          <w:highlight w:val="none"/>
        </w:rPr>
        <w:t>0×</w:t>
      </w:r>
      <w:r>
        <w:rPr>
          <w:rFonts w:hint="eastAsia"/>
          <w:bCs/>
          <w:color w:val="000000"/>
          <w:sz w:val="28"/>
          <w:szCs w:val="28"/>
          <w:highlight w:val="none"/>
          <w:lang w:val="en-US" w:eastAsia="zh-CN"/>
        </w:rPr>
        <w:t>5</w:t>
      </w:r>
      <w:r>
        <w:rPr>
          <w:bCs/>
          <w:color w:val="000000"/>
          <w:sz w:val="28"/>
          <w:szCs w:val="28"/>
          <w:highlight w:val="none"/>
        </w:rPr>
        <w:t>0×</w:t>
      </w:r>
      <w:r>
        <w:rPr>
          <w:rFonts w:hint="eastAsia"/>
          <w:bCs/>
          <w:color w:val="000000"/>
          <w:sz w:val="28"/>
          <w:szCs w:val="28"/>
          <w:highlight w:val="none"/>
          <w:lang w:val="en-US" w:eastAsia="zh-CN"/>
        </w:rPr>
        <w:t>4</w:t>
      </w:r>
      <w:r>
        <w:rPr>
          <w:bCs/>
          <w:color w:val="000000"/>
          <w:sz w:val="28"/>
          <w:szCs w:val="28"/>
          <w:highlight w:val="none"/>
        </w:rPr>
        <w:t>0厘米</w:t>
      </w:r>
      <w:r>
        <w:rPr>
          <w:rFonts w:hint="eastAsia"/>
          <w:bCs/>
          <w:color w:val="000000"/>
          <w:sz w:val="28"/>
          <w:szCs w:val="28"/>
          <w:highlight w:val="none"/>
          <w:lang w:val="en-US" w:eastAsia="zh-CN"/>
        </w:rPr>
        <w:t>（视苗木大小调整）</w:t>
      </w:r>
      <w:r>
        <w:rPr>
          <w:bCs/>
          <w:color w:val="000000"/>
          <w:sz w:val="28"/>
          <w:szCs w:val="28"/>
          <w:highlight w:val="none"/>
        </w:rPr>
        <w:t>，每穴施放</w:t>
      </w:r>
      <w:r>
        <w:rPr>
          <w:rFonts w:hint="eastAsia"/>
          <w:bCs/>
          <w:color w:val="000000"/>
          <w:sz w:val="28"/>
          <w:szCs w:val="28"/>
          <w:highlight w:val="none"/>
          <w:lang w:val="en-US" w:eastAsia="zh-CN"/>
        </w:rPr>
        <w:t>有机肥</w:t>
      </w:r>
      <w:r>
        <w:rPr>
          <w:rFonts w:hint="eastAsia"/>
          <w:bCs/>
          <w:color w:val="000000"/>
          <w:sz w:val="28"/>
          <w:szCs w:val="28"/>
          <w:highlight w:val="none"/>
        </w:rPr>
        <w:t>1.</w:t>
      </w:r>
      <w:r>
        <w:rPr>
          <w:rFonts w:hint="eastAsia"/>
          <w:bCs/>
          <w:color w:val="000000"/>
          <w:sz w:val="28"/>
          <w:szCs w:val="28"/>
          <w:highlight w:val="none"/>
          <w:lang w:val="en-US" w:eastAsia="zh-CN"/>
        </w:rPr>
        <w:t>0kg</w:t>
      </w:r>
      <w:r>
        <w:rPr>
          <w:rFonts w:hint="eastAsia"/>
          <w:bCs/>
          <w:color w:val="000000"/>
          <w:sz w:val="28"/>
          <w:szCs w:val="28"/>
          <w:highlight w:val="none"/>
        </w:rPr>
        <w:t>，</w:t>
      </w:r>
      <w:r>
        <w:rPr>
          <w:rFonts w:hint="eastAsia"/>
          <w:bCs/>
          <w:color w:val="000000"/>
          <w:sz w:val="28"/>
          <w:szCs w:val="28"/>
          <w:highlight w:val="none"/>
          <w:lang w:val="en-US" w:eastAsia="zh-CN"/>
        </w:rPr>
        <w:t>与表土混匀回填，避免根系直接接触肥料。</w:t>
      </w:r>
      <w:r>
        <w:rPr>
          <w:bCs/>
          <w:color w:val="000000"/>
          <w:sz w:val="28"/>
          <w:szCs w:val="28"/>
          <w:highlight w:val="none"/>
        </w:rPr>
        <w:t>种植</w:t>
      </w:r>
      <w:r>
        <w:rPr>
          <w:rFonts w:hint="eastAsia"/>
          <w:bCs/>
          <w:color w:val="000000"/>
          <w:sz w:val="28"/>
          <w:szCs w:val="28"/>
          <w:highlight w:val="none"/>
        </w:rPr>
        <w:t>总</w:t>
      </w:r>
      <w:r>
        <w:rPr>
          <w:bCs/>
          <w:color w:val="000000"/>
          <w:sz w:val="28"/>
          <w:szCs w:val="28"/>
          <w:highlight w:val="none"/>
        </w:rPr>
        <w:t>面积</w:t>
      </w:r>
      <w:r>
        <w:rPr>
          <w:rFonts w:hint="eastAsia"/>
          <w:snapToGrid w:val="0"/>
          <w:sz w:val="28"/>
          <w:szCs w:val="28"/>
          <w:highlight w:val="none"/>
          <w:lang w:val="en-US" w:eastAsia="zh-CN"/>
        </w:rPr>
        <w:t>7.6142</w:t>
      </w:r>
      <w:r>
        <w:rPr>
          <w:rFonts w:hint="default"/>
          <w:snapToGrid w:val="0"/>
          <w:sz w:val="28"/>
          <w:szCs w:val="28"/>
          <w:highlight w:val="none"/>
          <w:lang w:val="en-US" w:eastAsia="zh-CN"/>
        </w:rPr>
        <w:t>hm</w:t>
      </w:r>
      <w:r>
        <w:rPr>
          <w:rFonts w:hint="default"/>
          <w:snapToGrid w:val="0"/>
          <w:sz w:val="28"/>
          <w:szCs w:val="28"/>
          <w:highlight w:val="none"/>
          <w:vertAlign w:val="superscript"/>
          <w:lang w:val="en-US" w:eastAsia="zh-CN"/>
        </w:rPr>
        <w:t>2</w:t>
      </w:r>
      <w:r>
        <w:rPr>
          <w:rFonts w:hint="default"/>
          <w:snapToGrid w:val="0"/>
          <w:sz w:val="28"/>
          <w:szCs w:val="28"/>
          <w:highlight w:val="none"/>
          <w:lang w:val="en-US" w:eastAsia="zh-CN"/>
        </w:rPr>
        <w:t>，</w:t>
      </w:r>
      <w:r>
        <w:rPr>
          <w:rFonts w:hint="eastAsia"/>
          <w:bCs/>
          <w:color w:val="000000"/>
          <w:sz w:val="28"/>
          <w:szCs w:val="28"/>
          <w:highlight w:val="none"/>
          <w:lang w:val="en-US" w:eastAsia="zh-CN"/>
        </w:rPr>
        <w:t>共计12182株，有机肥12182kg。</w:t>
      </w:r>
    </w:p>
    <w:p w14:paraId="53EA60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bCs/>
          <w:color w:val="000000"/>
          <w:sz w:val="28"/>
          <w:szCs w:val="28"/>
          <w:highlight w:val="none"/>
          <w:lang w:val="en-US" w:eastAsia="zh-CN"/>
        </w:rPr>
      </w:pPr>
      <w:r>
        <w:rPr>
          <w:rFonts w:hint="eastAsia"/>
          <w:bCs/>
          <w:color w:val="000000"/>
          <w:sz w:val="28"/>
          <w:szCs w:val="28"/>
          <w:highlight w:val="none"/>
          <w:lang w:val="en-US" w:eastAsia="zh-CN"/>
        </w:rPr>
        <w:t>（2）灌木栽植</w:t>
      </w:r>
    </w:p>
    <w:p w14:paraId="024C0B5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bCs/>
          <w:color w:val="000000"/>
          <w:sz w:val="28"/>
          <w:szCs w:val="28"/>
          <w:highlight w:val="none"/>
          <w:lang w:val="en-US" w:eastAsia="zh-CN"/>
        </w:rPr>
      </w:pPr>
      <w:r>
        <w:rPr>
          <w:rFonts w:hint="eastAsia"/>
          <w:bCs/>
          <w:color w:val="000000"/>
          <w:sz w:val="28"/>
          <w:szCs w:val="28"/>
          <w:highlight w:val="none"/>
          <w:lang w:val="en-US" w:eastAsia="zh-CN"/>
        </w:rPr>
        <w:t>灌木选择为黄槿，可用1年生苗，苗高25-60cm的营养袋苗，采用株行距2.5m×2.5m的规格栽植。打穴规格40cm×40cm×30cm（视苗木大小调整）。每穴施有机肥1.0kg，与表土混匀回填，避免根系直接接触肥料。</w:t>
      </w:r>
      <w:r>
        <w:rPr>
          <w:bCs/>
          <w:color w:val="000000"/>
          <w:sz w:val="28"/>
          <w:szCs w:val="28"/>
          <w:highlight w:val="none"/>
        </w:rPr>
        <w:t>种植</w:t>
      </w:r>
      <w:r>
        <w:rPr>
          <w:rFonts w:hint="eastAsia"/>
          <w:bCs/>
          <w:color w:val="000000"/>
          <w:sz w:val="28"/>
          <w:szCs w:val="28"/>
          <w:highlight w:val="none"/>
        </w:rPr>
        <w:t>总</w:t>
      </w:r>
      <w:r>
        <w:rPr>
          <w:bCs/>
          <w:color w:val="000000"/>
          <w:sz w:val="28"/>
          <w:szCs w:val="28"/>
          <w:highlight w:val="none"/>
        </w:rPr>
        <w:t>面积</w:t>
      </w:r>
      <w:r>
        <w:rPr>
          <w:rFonts w:hint="eastAsia"/>
          <w:snapToGrid w:val="0"/>
          <w:sz w:val="28"/>
          <w:szCs w:val="28"/>
          <w:highlight w:val="none"/>
          <w:lang w:val="en-US" w:eastAsia="zh-CN"/>
        </w:rPr>
        <w:t>7.6142</w:t>
      </w:r>
      <w:r>
        <w:rPr>
          <w:rFonts w:hint="default"/>
          <w:snapToGrid w:val="0"/>
          <w:sz w:val="28"/>
          <w:szCs w:val="28"/>
          <w:highlight w:val="none"/>
          <w:lang w:val="en-US" w:eastAsia="zh-CN"/>
        </w:rPr>
        <w:t>hm</w:t>
      </w:r>
      <w:r>
        <w:rPr>
          <w:rFonts w:hint="default"/>
          <w:snapToGrid w:val="0"/>
          <w:sz w:val="28"/>
          <w:szCs w:val="28"/>
          <w:highlight w:val="none"/>
          <w:vertAlign w:val="superscript"/>
          <w:lang w:val="en-US" w:eastAsia="zh-CN"/>
        </w:rPr>
        <w:t>2</w:t>
      </w:r>
      <w:r>
        <w:rPr>
          <w:rFonts w:hint="default"/>
          <w:snapToGrid w:val="0"/>
          <w:sz w:val="28"/>
          <w:szCs w:val="28"/>
          <w:highlight w:val="none"/>
          <w:lang w:val="en-US" w:eastAsia="zh-CN"/>
        </w:rPr>
        <w:t>，</w:t>
      </w:r>
      <w:r>
        <w:rPr>
          <w:rFonts w:hint="eastAsia"/>
          <w:bCs/>
          <w:color w:val="000000"/>
          <w:sz w:val="28"/>
          <w:szCs w:val="28"/>
          <w:highlight w:val="none"/>
          <w:lang w:val="en-US" w:eastAsia="zh-CN"/>
        </w:rPr>
        <w:t>共计12182株，有机肥12182kg。</w:t>
      </w:r>
    </w:p>
    <w:p w14:paraId="1F65A84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bCs/>
          <w:color w:val="000000"/>
          <w:sz w:val="28"/>
          <w:szCs w:val="28"/>
          <w:highlight w:val="none"/>
          <w:lang w:val="en-US" w:eastAsia="zh-CN"/>
        </w:rPr>
      </w:pPr>
      <w:r>
        <w:rPr>
          <w:rFonts w:hint="eastAsia"/>
          <w:bCs/>
          <w:color w:val="000000"/>
          <w:sz w:val="28"/>
          <w:szCs w:val="28"/>
          <w:highlight w:val="none"/>
          <w:lang w:val="en-US" w:eastAsia="zh-CN"/>
        </w:rPr>
        <w:t>栽种最佳为春季（气温回升、透雨过后）；营养袋苗春夏季均可，夏季需雨后或浇透定根水。种植深度比原苗根颈略深5-10cm，培土压实，保证根系与土壤密接。营养袋苗需去除不易降解的育苗袋，保持土团完整。</w:t>
      </w:r>
    </w:p>
    <w:p w14:paraId="7A112C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eastAsia"/>
          <w:bCs/>
          <w:color w:val="000000"/>
          <w:sz w:val="28"/>
          <w:szCs w:val="28"/>
          <w:highlight w:val="none"/>
          <w:lang w:val="en-US" w:eastAsia="zh-CN"/>
        </w:rPr>
      </w:pPr>
      <w:r>
        <w:rPr>
          <w:rFonts w:hint="eastAsia" w:ascii="Times New Roman" w:hAnsi="Times New Roman" w:eastAsia="宋体" w:cs="Times New Roman"/>
          <w:bCs/>
          <w:color w:val="000000"/>
          <w:sz w:val="28"/>
          <w:szCs w:val="28"/>
          <w:highlight w:val="none"/>
          <w:lang w:val="en-US" w:eastAsia="zh-CN" w:bidi="ar-SA"/>
        </w:rPr>
        <w:t>（</w:t>
      </w:r>
      <w:r>
        <w:rPr>
          <w:rFonts w:hint="eastAsia" w:cs="Times New Roman"/>
          <w:bCs/>
          <w:color w:val="000000"/>
          <w:sz w:val="28"/>
          <w:szCs w:val="28"/>
          <w:highlight w:val="none"/>
          <w:lang w:val="en-US" w:eastAsia="zh-CN" w:bidi="ar-SA"/>
        </w:rPr>
        <w:t>3</w:t>
      </w:r>
      <w:r>
        <w:rPr>
          <w:rFonts w:hint="eastAsia" w:ascii="Times New Roman" w:hAnsi="Times New Roman" w:eastAsia="宋体" w:cs="Times New Roman"/>
          <w:bCs/>
          <w:color w:val="000000"/>
          <w:sz w:val="28"/>
          <w:szCs w:val="28"/>
          <w:highlight w:val="none"/>
          <w:lang w:val="en-US" w:eastAsia="zh-CN" w:bidi="ar-SA"/>
        </w:rPr>
        <w:t>）</w:t>
      </w:r>
      <w:r>
        <w:rPr>
          <w:rFonts w:hint="eastAsia"/>
          <w:bCs/>
          <w:color w:val="000000"/>
          <w:sz w:val="28"/>
          <w:szCs w:val="28"/>
          <w:highlight w:val="none"/>
          <w:lang w:val="en-US" w:eastAsia="zh-CN"/>
        </w:rPr>
        <w:t>种草</w:t>
      </w:r>
    </w:p>
    <w:p w14:paraId="2EF4E0F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s="Times New Roman"/>
          <w:sz w:val="28"/>
          <w:szCs w:val="28"/>
          <w:highlight w:val="none"/>
          <w:lang w:val="en-US" w:eastAsia="zh-CN"/>
        </w:rPr>
      </w:pPr>
      <w:r>
        <w:rPr>
          <w:rFonts w:hint="eastAsia" w:cs="Times New Roman"/>
          <w:sz w:val="28"/>
          <w:szCs w:val="28"/>
          <w:highlight w:val="none"/>
          <w:lang w:val="en-US" w:eastAsia="zh-CN"/>
        </w:rPr>
        <w:t>本方案选择狗牙根与柱花草混播模式。狗牙根与柱花草混播比例1:1。播种量8kg/亩。若狗牙根为包衣种，用量需增加30%~50%；柱花草种子较小且硬实率高，务必选用已磨擦处理（破除硬实）的良种。将两种种子按比例混合均匀。混播后均匀撒施，轻耙覆土1~2cm（切忌过深，尤其柱花草顶土力弱）。撒播时细致整地，做到土细、面平，利于种子接触土壤。最佳播种季节为3月下旬至5月（春末夏初，气温稳定在20℃以上，有透雨之后）。播种总面积7.6142</w:t>
      </w:r>
      <w:r>
        <w:rPr>
          <w:rFonts w:hint="default" w:cs="Times New Roman"/>
          <w:sz w:val="28"/>
          <w:szCs w:val="28"/>
          <w:highlight w:val="none"/>
          <w:lang w:val="en-US" w:eastAsia="zh-CN"/>
        </w:rPr>
        <w:t>hm</w:t>
      </w:r>
      <w:r>
        <w:rPr>
          <w:rFonts w:hint="default" w:cs="Times New Roman"/>
          <w:sz w:val="28"/>
          <w:szCs w:val="28"/>
          <w:highlight w:val="none"/>
          <w:vertAlign w:val="superscript"/>
          <w:lang w:val="en-US" w:eastAsia="zh-CN"/>
        </w:rPr>
        <w:t>2</w:t>
      </w:r>
      <w:r>
        <w:rPr>
          <w:rFonts w:hint="eastAsia" w:cs="Times New Roman"/>
          <w:sz w:val="28"/>
          <w:szCs w:val="28"/>
          <w:highlight w:val="none"/>
          <w:lang w:val="en-US" w:eastAsia="zh-CN"/>
        </w:rPr>
        <w:t>。</w:t>
      </w:r>
    </w:p>
    <w:p w14:paraId="4C1450FD">
      <w:pPr>
        <w:spacing w:line="360" w:lineRule="auto"/>
        <w:rPr>
          <w:rFonts w:hint="default"/>
          <w:sz w:val="28"/>
          <w:szCs w:val="28"/>
          <w:lang w:val="en-US" w:eastAsia="zh-CN"/>
        </w:rPr>
      </w:pPr>
      <w:r>
        <w:rPr>
          <w:rFonts w:hint="eastAsia"/>
          <w:sz w:val="28"/>
          <w:szCs w:val="28"/>
          <w:lang w:val="en-US" w:eastAsia="zh-CN"/>
        </w:rPr>
        <w:t>（4）攀爬植物</w:t>
      </w:r>
    </w:p>
    <w:p w14:paraId="6BA025B1">
      <w:pPr>
        <w:spacing w:line="360" w:lineRule="auto"/>
        <w:ind w:firstLine="560" w:firstLineChars="200"/>
        <w:rPr>
          <w:rFonts w:ascii="Times New Roman" w:hAnsi="Times New Roman" w:cs="Times New Roman"/>
          <w:snapToGrid w:val="0"/>
          <w:color w:val="000000"/>
          <w:spacing w:val="-2"/>
        </w:rPr>
      </w:pPr>
      <w:r>
        <w:rPr>
          <w:rFonts w:hint="eastAsia"/>
          <w:sz w:val="28"/>
          <w:szCs w:val="28"/>
          <w:lang w:val="en-US" w:eastAsia="zh-CN"/>
        </w:rPr>
        <w:t>露天采场+55米以上的平台坡面沿坡底线种植攀爬植物爬山虎，利用攀爬植物的攀爬、匍匐、垂吊的特性，对露天采场裸露坡面进行垂直复垦绿化，沿坡底线种植攀爬植物顺势而上覆盖裸露的陡坎坡面，种植密度为1.0米/株，打穴规格30×30×30厘米，每穴施放有机肥0.5kg。+55米以上的平台长为662m，共计种植爬山虎662株，有机肥331kg。</w:t>
      </w:r>
    </w:p>
    <w:p w14:paraId="62D63935">
      <w:pPr>
        <w:spacing w:line="360" w:lineRule="auto"/>
        <w:ind w:firstLine="560" w:firstLineChars="200"/>
        <w:rPr>
          <w:rFonts w:hint="default" w:eastAsia="宋体"/>
          <w:sz w:val="28"/>
          <w:szCs w:val="28"/>
          <w:lang w:val="en-US" w:eastAsia="zh-CN"/>
        </w:rPr>
      </w:pPr>
      <w:r>
        <w:rPr>
          <w:rFonts w:hint="eastAsia"/>
          <w:sz w:val="28"/>
          <w:szCs w:val="28"/>
          <w:lang w:val="en-US" w:eastAsia="zh-CN"/>
        </w:rPr>
        <w:t>（5）灌溉用水：矿山的开采将会形成一个面积约0.1012km</w:t>
      </w:r>
      <w:r>
        <w:rPr>
          <w:rFonts w:hint="eastAsia"/>
          <w:sz w:val="28"/>
          <w:szCs w:val="28"/>
          <w:vertAlign w:val="superscript"/>
          <w:lang w:val="en-US" w:eastAsia="zh-CN"/>
        </w:rPr>
        <w:t>2</w:t>
      </w:r>
      <w:r>
        <w:rPr>
          <w:rFonts w:hint="eastAsia"/>
          <w:sz w:val="28"/>
          <w:szCs w:val="28"/>
          <w:lang w:val="en-US" w:eastAsia="zh-CN"/>
        </w:rPr>
        <w:t>，深约25m的采坑，矿坑蓄水量约为202.4万m</w:t>
      </w:r>
      <w:r>
        <w:rPr>
          <w:rFonts w:hint="eastAsia"/>
          <w:sz w:val="28"/>
          <w:szCs w:val="28"/>
          <w:vertAlign w:val="superscript"/>
          <w:lang w:val="en-US" w:eastAsia="zh-CN"/>
        </w:rPr>
        <w:t>3</w:t>
      </w:r>
      <w:r>
        <w:rPr>
          <w:rFonts w:hint="eastAsia"/>
          <w:sz w:val="28"/>
          <w:szCs w:val="28"/>
          <w:lang w:val="en-US" w:eastAsia="zh-CN"/>
        </w:rPr>
        <w:t>，</w:t>
      </w:r>
      <w:r>
        <w:rPr>
          <w:rFonts w:hint="eastAsia"/>
          <w:bCs/>
          <w:color w:val="000000"/>
          <w:sz w:val="28"/>
          <w:szCs w:val="28"/>
          <w:highlight w:val="none"/>
          <w:lang w:val="en-US" w:eastAsia="zh-CN"/>
        </w:rPr>
        <w:t>满足矿山复垦灌溉用水需求。</w:t>
      </w:r>
    </w:p>
    <w:bookmarkEnd w:id="391"/>
    <w:bookmarkEnd w:id="392"/>
    <w:bookmarkEnd w:id="393"/>
    <w:bookmarkEnd w:id="394"/>
    <w:p w14:paraId="1AF54C50">
      <w:pPr>
        <w:pStyle w:val="6"/>
        <w:spacing w:before="131" w:after="131"/>
        <w:rPr>
          <w:rFonts w:hint="eastAsia" w:ascii="宋体" w:hAnsi="宋体" w:eastAsia="宋体" w:cs="宋体"/>
          <w:b/>
          <w:bCs/>
          <w:lang w:val="en-US" w:eastAsia="zh-CN"/>
        </w:rPr>
      </w:pPr>
      <w:bookmarkStart w:id="396" w:name="_Toc502045822"/>
      <w:bookmarkStart w:id="397" w:name="_Toc502045048"/>
      <w:bookmarkStart w:id="398" w:name="_Toc502684792"/>
      <w:bookmarkStart w:id="399" w:name="_Toc502047661"/>
      <w:bookmarkStart w:id="400" w:name="_Toc502047865"/>
      <w:bookmarkStart w:id="401" w:name="_Toc502063953"/>
      <w:bookmarkStart w:id="402" w:name="_Toc25153_WPSOffice_Level2"/>
      <w:bookmarkStart w:id="403" w:name="_Toc12058_WPSOffice_Level2"/>
      <w:bookmarkStart w:id="404" w:name="_Toc509345126"/>
      <w:bookmarkStart w:id="405" w:name="_Toc17199_WPSOffice_Level2"/>
      <w:bookmarkStart w:id="406" w:name="_Toc509344838"/>
      <w:bookmarkStart w:id="407" w:name="_Toc509345022"/>
      <w:bookmarkStart w:id="408" w:name="_Toc510594079"/>
      <w:bookmarkStart w:id="409" w:name="_Toc514858677"/>
      <w:r>
        <w:rPr>
          <w:rFonts w:hint="eastAsia" w:ascii="宋体" w:hAnsi="宋体" w:eastAsia="宋体" w:cs="宋体"/>
          <w:b/>
          <w:bCs/>
          <w:lang w:val="en-US" w:eastAsia="zh-CN"/>
        </w:rPr>
        <w:t>（四）工程量统计</w:t>
      </w:r>
    </w:p>
    <w:p w14:paraId="5C377958">
      <w:pPr>
        <w:spacing w:line="360" w:lineRule="auto"/>
        <w:rPr>
          <w:rFonts w:hint="eastAsia"/>
          <w:sz w:val="28"/>
          <w:szCs w:val="28"/>
          <w:lang w:val="en-US" w:eastAsia="zh-CN"/>
        </w:rPr>
      </w:pPr>
      <w:r>
        <w:rPr>
          <w:rFonts w:hint="eastAsia"/>
          <w:sz w:val="28"/>
          <w:szCs w:val="28"/>
          <w:lang w:val="en-US" w:eastAsia="zh-CN"/>
        </w:rPr>
        <w:t>矿山生态修复工程量统计见下表4-1：</w:t>
      </w:r>
    </w:p>
    <w:p w14:paraId="740AAC88">
      <w:pPr>
        <w:pStyle w:val="45"/>
        <w:bidi w:val="0"/>
        <w:rPr>
          <w:rFonts w:hint="eastAsia" w:ascii="宋体" w:hAnsi="宋体" w:eastAsia="宋体" w:cs="宋体"/>
          <w:b/>
          <w:bCs/>
          <w:lang w:val="en-US" w:eastAsia="zh-CN"/>
        </w:rPr>
      </w:pPr>
      <w:r>
        <w:rPr>
          <w:rFonts w:hint="eastAsia" w:ascii="宋体" w:hAnsi="宋体" w:eastAsia="宋体" w:cs="宋体"/>
          <w:b/>
          <w:bCs/>
          <w:lang w:val="en-US" w:eastAsia="zh-CN"/>
        </w:rPr>
        <w:t>表4-1                矿区生态修复工程量统计表</w:t>
      </w:r>
    </w:p>
    <w:tbl>
      <w:tblPr>
        <w:tblStyle w:val="33"/>
        <w:tblW w:w="49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3"/>
        <w:gridCol w:w="2993"/>
        <w:gridCol w:w="1389"/>
        <w:gridCol w:w="1578"/>
        <w:gridCol w:w="1894"/>
      </w:tblGrid>
      <w:tr w14:paraId="0EE2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6091">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序号</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B906">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工程或费用名称</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7DEB">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计量单位</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1E72">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工程量</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B859">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备注</w:t>
            </w:r>
          </w:p>
        </w:tc>
      </w:tr>
      <w:tr w14:paraId="636D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F669">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一</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E82B">
            <w:pPr>
              <w:pStyle w:val="76"/>
              <w:bidi w:val="0"/>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地貌重塑工程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1493">
            <w:pPr>
              <w:pStyle w:val="76"/>
              <w:bidi w:val="0"/>
              <w:rPr>
                <w:rFonts w:hint="default" w:ascii="Times New Roman" w:hAnsi="Times New Roman" w:eastAsia="宋体" w:cs="Times New Roman"/>
                <w:sz w:val="21"/>
                <w:szCs w:val="21"/>
                <w:highlight w:val="none"/>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D24E">
            <w:pPr>
              <w:pStyle w:val="76"/>
              <w:bidi w:val="0"/>
              <w:rPr>
                <w:rFonts w:hint="default" w:ascii="Times New Roman" w:hAnsi="Times New Roman" w:eastAsia="宋体" w:cs="Times New Roman"/>
                <w:sz w:val="21"/>
                <w:szCs w:val="21"/>
                <w:highlight w:val="none"/>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A128">
            <w:pPr>
              <w:pStyle w:val="76"/>
              <w:bidi w:val="0"/>
              <w:rPr>
                <w:rFonts w:hint="default" w:ascii="Times New Roman" w:hAnsi="Times New Roman" w:eastAsia="宋体" w:cs="Times New Roman"/>
                <w:sz w:val="21"/>
                <w:szCs w:val="21"/>
                <w:highlight w:val="none"/>
              </w:rPr>
            </w:pPr>
          </w:p>
        </w:tc>
      </w:tr>
      <w:tr w14:paraId="7D31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8604">
            <w:pPr>
              <w:pStyle w:val="76"/>
              <w:bidi w:val="0"/>
              <w:ind w:firstLine="0" w:firstLineChars="0"/>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（一）</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7CE7">
            <w:pPr>
              <w:pStyle w:val="76"/>
              <w:bidi w:val="0"/>
              <w:ind w:firstLine="0" w:firstLineChars="0"/>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截排水工程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012A">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D524">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03F2">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1F0C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1B2A">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0404">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矿区外部截水沟</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0821">
            <w:pPr>
              <w:pStyle w:val="76"/>
              <w:bidi w:val="0"/>
              <w:ind w:firstLine="0" w:firstLineChars="0"/>
              <w:rPr>
                <w:rFonts w:hint="default" w:ascii="Times New Roman" w:hAnsi="Times New Roman" w:cs="Times New Roman"/>
                <w:sz w:val="21"/>
                <w:szCs w:val="21"/>
                <w:highlight w:val="none"/>
                <w:lang w:val="en-US" w:eastAsia="zh-CN"/>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6F3A">
            <w:pPr>
              <w:pStyle w:val="76"/>
              <w:bidi w:val="0"/>
              <w:ind w:firstLine="0" w:firstLineChars="0"/>
              <w:rPr>
                <w:rFonts w:hint="default" w:ascii="Times New Roman" w:hAnsi="Times New Roman" w:cs="Times New Roman"/>
                <w:sz w:val="21"/>
                <w:szCs w:val="21"/>
                <w:highlight w:val="none"/>
                <w:lang w:val="en-US" w:eastAsia="zh-CN"/>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8D59">
            <w:pPr>
              <w:pStyle w:val="76"/>
              <w:bidi w:val="0"/>
              <w:ind w:firstLine="0" w:firstLineChars="0"/>
              <w:rPr>
                <w:rFonts w:hint="default" w:ascii="Times New Roman" w:hAnsi="Times New Roman" w:cs="Times New Roman"/>
                <w:sz w:val="21"/>
                <w:szCs w:val="21"/>
                <w:highlight w:val="none"/>
                <w:lang w:val="en-US" w:eastAsia="zh-CN"/>
              </w:rPr>
            </w:pPr>
          </w:p>
        </w:tc>
      </w:tr>
      <w:tr w14:paraId="5CC9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0E11">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302F">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土方开挖</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BF66">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E48F">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157.95</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6A64">
            <w:pPr>
              <w:pStyle w:val="76"/>
              <w:bidi w:val="0"/>
              <w:ind w:firstLine="0" w:firstLineChars="0"/>
              <w:rPr>
                <w:rFonts w:hint="default" w:ascii="Times New Roman" w:hAnsi="Times New Roman" w:cs="Times New Roman"/>
                <w:sz w:val="21"/>
                <w:szCs w:val="21"/>
                <w:highlight w:val="none"/>
                <w:lang w:val="en-US" w:eastAsia="zh-CN"/>
              </w:rPr>
            </w:pPr>
          </w:p>
        </w:tc>
      </w:tr>
      <w:tr w14:paraId="078F8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6D12">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B228">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水泥</w:t>
            </w:r>
            <w:r>
              <w:rPr>
                <w:rFonts w:hint="eastAsia" w:cs="Times New Roman"/>
                <w:sz w:val="21"/>
                <w:szCs w:val="21"/>
                <w:highlight w:val="none"/>
                <w:lang w:val="en-US" w:eastAsia="zh-CN"/>
              </w:rPr>
              <w:t>毯</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4B75">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7B30">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676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713E">
            <w:pPr>
              <w:pStyle w:val="76"/>
              <w:bidi w:val="0"/>
              <w:ind w:firstLine="0" w:firstLineChars="0"/>
              <w:rPr>
                <w:rFonts w:hint="default" w:ascii="Times New Roman" w:hAnsi="Times New Roman" w:cs="Times New Roman"/>
                <w:sz w:val="21"/>
                <w:szCs w:val="21"/>
                <w:highlight w:val="none"/>
                <w:lang w:val="en-US" w:eastAsia="zh-CN"/>
              </w:rPr>
            </w:pPr>
          </w:p>
        </w:tc>
      </w:tr>
      <w:tr w14:paraId="110F4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A6A7">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（3）</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C4CF">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砂浆抹面</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7533">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9F83">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676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9661">
            <w:pPr>
              <w:pStyle w:val="76"/>
              <w:bidi w:val="0"/>
              <w:ind w:firstLine="0" w:firstLineChars="0"/>
              <w:rPr>
                <w:rFonts w:hint="default" w:ascii="Times New Roman" w:hAnsi="Times New Roman" w:cs="Times New Roman"/>
                <w:sz w:val="21"/>
                <w:szCs w:val="21"/>
                <w:highlight w:val="none"/>
                <w:lang w:val="en-US" w:eastAsia="zh-CN"/>
              </w:rPr>
            </w:pPr>
          </w:p>
        </w:tc>
      </w:tr>
      <w:tr w14:paraId="139D6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565A">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31A6">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沉砂池</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ACAE">
            <w:pPr>
              <w:pStyle w:val="76"/>
              <w:bidi w:val="0"/>
              <w:ind w:firstLine="0" w:firstLineChars="0"/>
              <w:rPr>
                <w:rFonts w:hint="default" w:ascii="Times New Roman" w:hAnsi="Times New Roman" w:cs="Times New Roman"/>
                <w:sz w:val="21"/>
                <w:szCs w:val="21"/>
                <w:highlight w:val="none"/>
                <w:lang w:val="en-US" w:eastAsia="zh-CN"/>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C91A">
            <w:pPr>
              <w:pStyle w:val="76"/>
              <w:bidi w:val="0"/>
              <w:ind w:firstLine="0" w:firstLineChars="0"/>
              <w:rPr>
                <w:rFonts w:hint="default" w:ascii="Times New Roman" w:hAnsi="Times New Roman"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03B2">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008BC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9A0A">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（4）</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37AA">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土方开挖</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44A0">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6D30">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69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E5E1">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27C50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52CC">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（5）</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85C7">
            <w:pPr>
              <w:pStyle w:val="76"/>
              <w:bidi w:val="0"/>
              <w:ind w:firstLine="0" w:firstLineChars="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现浇混凝土</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BA09">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17D1">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10.1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988C">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0128C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D356">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（二）</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BE5E">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清理工程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B9AF">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69DD">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0B0F">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23BA1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D51E">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5FBF">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构筑物拆除</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D131">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1C98">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8A2C">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3ED4C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DD61">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EBBA">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建构筑物拆除</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59E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29EE">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130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F9A6">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7ACE3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CFF1">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3B37">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硬化</w:t>
            </w:r>
            <w:r>
              <w:rPr>
                <w:rFonts w:hint="default" w:ascii="Times New Roman" w:hAnsi="Times New Roman" w:eastAsia="宋体" w:cs="Times New Roman"/>
                <w:sz w:val="21"/>
                <w:szCs w:val="21"/>
                <w:highlight w:val="none"/>
                <w:lang w:val="en-US" w:eastAsia="zh-CN"/>
              </w:rPr>
              <w:t>地面拆除</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6E43">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8E8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240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7146">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01B02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F6D9">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197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建筑垃圾外运</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BC17">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9C03">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18A2">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运距</w:t>
            </w:r>
            <w:r>
              <w:rPr>
                <w:rFonts w:hint="default" w:ascii="Times New Roman" w:hAnsi="Times New Roman" w:cs="Times New Roman"/>
                <w:sz w:val="21"/>
                <w:szCs w:val="21"/>
                <w:highlight w:val="none"/>
                <w:lang w:val="en-US" w:eastAsia="zh-CN"/>
              </w:rPr>
              <w:t>7.7</w:t>
            </w:r>
            <w:r>
              <w:rPr>
                <w:rFonts w:hint="default" w:ascii="Times New Roman" w:hAnsi="Times New Roman" w:eastAsia="宋体" w:cs="Times New Roman"/>
                <w:sz w:val="21"/>
                <w:szCs w:val="21"/>
                <w:highlight w:val="none"/>
                <w:lang w:val="en-US" w:eastAsia="zh-CN"/>
              </w:rPr>
              <w:t>km</w:t>
            </w:r>
          </w:p>
        </w:tc>
      </w:tr>
      <w:tr w14:paraId="5C41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538E">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CFE3">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建筑垃圾外运</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C23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1724">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370</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617D">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7F6D3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1303">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cs="Times New Roman"/>
                <w:b w:val="0"/>
                <w:bCs w:val="0"/>
                <w:sz w:val="21"/>
                <w:szCs w:val="21"/>
                <w:highlight w:val="none"/>
                <w:lang w:val="en-US" w:eastAsia="zh-CN"/>
              </w:rPr>
              <w:t>（三）</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A93E">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cs="Times New Roman"/>
                <w:b w:val="0"/>
                <w:bCs w:val="0"/>
                <w:kern w:val="2"/>
                <w:sz w:val="21"/>
                <w:szCs w:val="21"/>
                <w:highlight w:val="none"/>
                <w:lang w:val="en-US" w:eastAsia="zh-CN" w:bidi="ar-SA"/>
              </w:rPr>
              <w:t>平整工程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6008">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35F9">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71AB">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32962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BFAA">
            <w:pPr>
              <w:pStyle w:val="76"/>
              <w:bidi w:val="0"/>
              <w:ind w:firstLine="0" w:firstLineChars="0"/>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FFDB">
            <w:pPr>
              <w:pStyle w:val="76"/>
              <w:bidi w:val="0"/>
              <w:ind w:firstLine="0" w:firstLineChars="0"/>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场地平整</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FAE8">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6065">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7387</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0AAF">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690D6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68C1">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（四）</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D80C">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防护栏及警示牌</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9CFE">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5733">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7A65">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57F3D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3175">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B905">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防护栏</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C3AE">
            <w:pPr>
              <w:pStyle w:val="76"/>
              <w:bidi w:val="0"/>
              <w:ind w:firstLine="0" w:firstLineChars="0"/>
              <w:rPr>
                <w:rFonts w:hint="default" w:ascii="Times New Roman" w:hAnsi="Times New Roman" w:cs="Times New Roman"/>
                <w:b w:val="0"/>
                <w:bCs w:val="0"/>
                <w:sz w:val="21"/>
                <w:szCs w:val="21"/>
                <w:highlight w:val="none"/>
                <w:lang w:val="en-US" w:eastAsia="zh-CN"/>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AD19">
            <w:pPr>
              <w:pStyle w:val="76"/>
              <w:bidi w:val="0"/>
              <w:ind w:firstLine="0" w:firstLineChars="0"/>
              <w:rPr>
                <w:rFonts w:hint="default" w:ascii="Times New Roman" w:hAnsi="Times New Roman" w:cs="Times New Roman"/>
                <w:b w:val="0"/>
                <w:bCs w:val="0"/>
                <w:sz w:val="21"/>
                <w:szCs w:val="21"/>
                <w:highlight w:val="none"/>
                <w:lang w:val="en-US" w:eastAsia="zh-CN"/>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E75C">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23F3B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3A73">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F618">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刺丝围墙</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6490">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cs="Times New Roman"/>
                <w:b w:val="0"/>
                <w:bCs w:val="0"/>
                <w:sz w:val="21"/>
                <w:szCs w:val="21"/>
                <w:highlight w:val="none"/>
                <w:lang w:val="en-US" w:eastAsia="zh-CN"/>
              </w:rPr>
              <w:t>m</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A1E3">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eastAsia" w:ascii="Times New Roman" w:hAnsi="Times New Roman" w:cs="Times New Roman"/>
                <w:b w:val="0"/>
                <w:bCs w:val="0"/>
                <w:sz w:val="21"/>
                <w:szCs w:val="21"/>
                <w:highlight w:val="none"/>
                <w:lang w:val="en-US" w:eastAsia="zh-CN"/>
              </w:rPr>
              <w:t>1361</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B308">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高1.</w:t>
            </w:r>
            <w:r>
              <w:rPr>
                <w:rFonts w:hint="default" w:ascii="Times New Roman" w:hAnsi="Times New Roman" w:cs="Times New Roman"/>
                <w:sz w:val="21"/>
                <w:szCs w:val="21"/>
                <w:highlight w:val="none"/>
                <w:lang w:val="en-US" w:eastAsia="zh-CN"/>
              </w:rPr>
              <w:t>8</w:t>
            </w:r>
            <w:r>
              <w:rPr>
                <w:rFonts w:hint="default" w:ascii="Times New Roman" w:hAnsi="Times New Roman" w:eastAsia="宋体" w:cs="Times New Roman"/>
                <w:sz w:val="21"/>
                <w:szCs w:val="21"/>
                <w:highlight w:val="none"/>
                <w:lang w:val="en-US" w:eastAsia="zh-CN"/>
              </w:rPr>
              <w:t>m</w:t>
            </w:r>
          </w:p>
        </w:tc>
      </w:tr>
      <w:tr w14:paraId="38FE4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CE3F">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0305">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警示牌</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E7DE">
            <w:pPr>
              <w:pStyle w:val="76"/>
              <w:bidi w:val="0"/>
              <w:ind w:firstLine="0" w:firstLineChars="0"/>
              <w:rPr>
                <w:rFonts w:hint="default" w:ascii="Times New Roman" w:hAnsi="Times New Roman" w:cs="Times New Roman"/>
                <w:b w:val="0"/>
                <w:bCs w:val="0"/>
                <w:sz w:val="21"/>
                <w:szCs w:val="21"/>
                <w:highlight w:val="none"/>
                <w:lang w:val="en-US" w:eastAsia="zh-CN"/>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E294">
            <w:pPr>
              <w:pStyle w:val="76"/>
              <w:bidi w:val="0"/>
              <w:ind w:firstLine="0" w:firstLineChars="0"/>
              <w:rPr>
                <w:rFonts w:hint="default" w:ascii="Times New Roman" w:hAnsi="Times New Roman" w:cs="Times New Roman"/>
                <w:b w:val="0"/>
                <w:bCs w:val="0"/>
                <w:sz w:val="21"/>
                <w:szCs w:val="21"/>
                <w:highlight w:val="none"/>
                <w:lang w:val="en-US" w:eastAsia="zh-CN"/>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9219">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7AEE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378F">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7A4F">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警示牌</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4A46">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cs="Times New Roman"/>
                <w:b w:val="0"/>
                <w:bCs w:val="0"/>
                <w:kern w:val="2"/>
                <w:sz w:val="21"/>
                <w:szCs w:val="21"/>
                <w:highlight w:val="none"/>
                <w:lang w:val="en-US" w:eastAsia="zh-CN" w:bidi="ar-SA"/>
              </w:rPr>
              <w:t>块</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53D6">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cs="Times New Roman"/>
                <w:b w:val="0"/>
                <w:bCs w:val="0"/>
                <w:kern w:val="2"/>
                <w:sz w:val="21"/>
                <w:szCs w:val="21"/>
                <w:highlight w:val="none"/>
                <w:lang w:val="en-US" w:eastAsia="zh-CN" w:bidi="ar-SA"/>
              </w:rPr>
              <w:t>27</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E4AD">
            <w:pPr>
              <w:pStyle w:val="76"/>
              <w:bidi w:val="0"/>
              <w:ind w:firstLine="0" w:firstLineChars="0"/>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规格1.0×1.0m</w:t>
            </w:r>
          </w:p>
        </w:tc>
      </w:tr>
      <w:tr w14:paraId="7D35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761A">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（五）</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3254">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复垦用土临时堆场防护工程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CEA9">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F3CD">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EAA8">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5CDC8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3CF3">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4168">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砂垒挡墙</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2DF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D878">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493</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AE34">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编织袋装砂垒砌</w:t>
            </w:r>
          </w:p>
        </w:tc>
      </w:tr>
      <w:tr w14:paraId="287A0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1D86">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（六）</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ED25">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采矿边坡平台挡土墙</w:t>
            </w:r>
            <w:r>
              <w:rPr>
                <w:rFonts w:hint="eastAsia" w:cs="Times New Roman"/>
                <w:b w:val="0"/>
                <w:bCs w:val="0"/>
                <w:sz w:val="21"/>
                <w:szCs w:val="21"/>
                <w:highlight w:val="none"/>
                <w:lang w:val="en-US" w:eastAsia="zh-CN"/>
              </w:rPr>
              <w:t>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AD42">
            <w:pPr>
              <w:pStyle w:val="76"/>
              <w:bidi w:val="0"/>
              <w:ind w:firstLine="0" w:firstLineChars="0"/>
              <w:rPr>
                <w:rFonts w:hint="default" w:ascii="Times New Roman" w:hAnsi="Times New Roman" w:cs="Times New Roman"/>
                <w:b w:val="0"/>
                <w:bCs w:val="0"/>
                <w:sz w:val="21"/>
                <w:szCs w:val="21"/>
                <w:highlight w:val="none"/>
                <w:lang w:val="en-US" w:eastAsia="zh-CN"/>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F3B0">
            <w:pPr>
              <w:pStyle w:val="76"/>
              <w:bidi w:val="0"/>
              <w:ind w:firstLine="0" w:firstLineChars="0"/>
              <w:rPr>
                <w:rFonts w:hint="default" w:ascii="Times New Roman" w:hAnsi="Times New Roman"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061E">
            <w:pPr>
              <w:pStyle w:val="76"/>
              <w:bidi w:val="0"/>
              <w:ind w:firstLine="0" w:firstLineChars="0"/>
              <w:rPr>
                <w:rFonts w:hint="eastAsia" w:ascii="Times New Roman" w:hAnsi="Times New Roman" w:cs="Times New Roman"/>
                <w:kern w:val="2"/>
                <w:sz w:val="21"/>
                <w:szCs w:val="21"/>
                <w:highlight w:val="none"/>
                <w:lang w:val="en-US" w:eastAsia="zh-CN" w:bidi="ar-SA"/>
              </w:rPr>
            </w:pPr>
          </w:p>
        </w:tc>
      </w:tr>
      <w:tr w14:paraId="7DD46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2DB1">
            <w:pPr>
              <w:pStyle w:val="76"/>
              <w:bidi w:val="0"/>
              <w:ind w:firstLine="0" w:firstLineChars="0"/>
              <w:rPr>
                <w:rFonts w:hint="eastAsia" w:ascii="Times New Roman" w:hAnsi="Times New Roman" w:cs="Times New Roman"/>
                <w:b w:val="0"/>
                <w:bCs w:val="0"/>
                <w:sz w:val="21"/>
                <w:szCs w:val="21"/>
                <w:highlight w:val="none"/>
                <w:lang w:val="en-US" w:eastAsia="zh-CN"/>
              </w:rPr>
            </w:pPr>
            <w:r>
              <w:rPr>
                <w:rFonts w:hint="eastAsia" w:cs="Times New Roman"/>
                <w:b w:val="0"/>
                <w:bCs w:val="0"/>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2489">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eastAsia" w:cs="Times New Roman"/>
                <w:sz w:val="21"/>
                <w:szCs w:val="21"/>
                <w:highlight w:val="none"/>
                <w:lang w:val="en-US" w:eastAsia="zh-CN"/>
              </w:rPr>
              <w:t>浆砌块石挡墙</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ACB1E">
            <w:pPr>
              <w:pStyle w:val="76"/>
              <w:bidi w:val="0"/>
              <w:ind w:firstLine="0" w:firstLineChars="0"/>
              <w:rPr>
                <w:rFonts w:hint="default" w:ascii="Times New Roman" w:hAnsi="Times New Roman" w:cs="Times New Roman"/>
                <w:b w:val="0"/>
                <w:bCs w:val="0"/>
                <w:sz w:val="21"/>
                <w:szCs w:val="21"/>
                <w:highlight w:val="none"/>
                <w:lang w:val="en-US" w:eastAsia="zh-CN"/>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02E8">
            <w:pPr>
              <w:pStyle w:val="76"/>
              <w:bidi w:val="0"/>
              <w:ind w:firstLine="0" w:firstLineChars="0"/>
              <w:rPr>
                <w:rFonts w:hint="default" w:ascii="Times New Roman" w:hAnsi="Times New Roman" w:cs="Times New Roman"/>
                <w:kern w:val="2"/>
                <w:sz w:val="21"/>
                <w:szCs w:val="21"/>
                <w:highlight w:val="none"/>
                <w:lang w:val="en-US" w:eastAsia="zh-CN" w:bidi="ar-SA"/>
              </w:rPr>
            </w:pPr>
            <w:r>
              <w:rPr>
                <w:rFonts w:hint="eastAsia" w:cs="Times New Roman"/>
                <w:kern w:val="2"/>
                <w:sz w:val="21"/>
                <w:szCs w:val="21"/>
                <w:highlight w:val="none"/>
                <w:lang w:val="en-US" w:eastAsia="zh-CN" w:bidi="ar-SA"/>
              </w:rPr>
              <w:t>198</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21F4">
            <w:pPr>
              <w:pStyle w:val="76"/>
              <w:bidi w:val="0"/>
              <w:ind w:firstLine="0" w:firstLineChars="0"/>
              <w:rPr>
                <w:rFonts w:hint="eastAsia" w:ascii="Times New Roman" w:hAnsi="Times New Roman" w:cs="Times New Roman"/>
                <w:kern w:val="2"/>
                <w:sz w:val="21"/>
                <w:szCs w:val="21"/>
                <w:highlight w:val="none"/>
                <w:lang w:val="en-US" w:eastAsia="zh-CN" w:bidi="ar-SA"/>
              </w:rPr>
            </w:pPr>
          </w:p>
        </w:tc>
      </w:tr>
      <w:tr w14:paraId="16162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9AEA">
            <w:pPr>
              <w:pStyle w:val="76"/>
              <w:bidi w:val="0"/>
              <w:ind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lang w:val="en-US" w:eastAsia="zh-CN"/>
              </w:rPr>
              <w:t>二</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EF2E">
            <w:pPr>
              <w:pStyle w:val="76"/>
              <w:bidi w:val="0"/>
              <w:ind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lang w:val="en-US" w:eastAsia="zh-CN"/>
              </w:rPr>
              <w:t>土壤重构工程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F63C">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EF78">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C532">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3E56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E8A4">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7B2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表土覆盖</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8404">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6F19">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454B">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35A9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DDF9">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CEAA">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场地地面覆土40cm</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6297">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B32F">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29398</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8886">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52AB0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9BE7">
            <w:pPr>
              <w:pStyle w:val="76"/>
              <w:bidi w:val="0"/>
              <w:ind w:firstLine="0" w:firstLineChars="0"/>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1874">
            <w:pPr>
              <w:keepNext w:val="0"/>
              <w:keepLines w:val="0"/>
              <w:widowControl/>
              <w:suppressLineNumbers w:val="0"/>
              <w:ind w:firstLine="420" w:firstLineChars="200"/>
              <w:jc w:val="center"/>
              <w:textAlignment w:val="center"/>
              <w:rPr>
                <w:rFonts w:hint="default"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平台覆土40cm</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0CDA">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F66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1059</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E42E">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1C67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53F0">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CCB7">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培肥改良</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09B5">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EC5C">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9CF8">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61CD2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7B62">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51BA">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土壤培肥(有机肥)</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7DFB">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kg</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101B">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24695</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1596">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38505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4152">
            <w:pPr>
              <w:pStyle w:val="76"/>
              <w:bidi w:val="0"/>
              <w:ind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lang w:val="en-US" w:eastAsia="zh-CN"/>
              </w:rPr>
              <w:t>三</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1A50">
            <w:pPr>
              <w:pStyle w:val="76"/>
              <w:bidi w:val="0"/>
              <w:ind w:firstLine="0" w:firstLineChars="0"/>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lang w:val="en-US" w:eastAsia="zh-CN"/>
              </w:rPr>
              <w:t>植被重建工程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01B6">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7747">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5AD9">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149A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96A4">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 xml:space="preserve">1 </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E640">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林草恢复工程</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3D17">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5876">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4873">
            <w:pPr>
              <w:pStyle w:val="76"/>
              <w:bidi w:val="0"/>
              <w:ind w:firstLine="0" w:firstLineChars="0"/>
              <w:rPr>
                <w:rFonts w:hint="default" w:ascii="Times New Roman" w:hAnsi="Times New Roman" w:eastAsia="宋体" w:cs="Times New Roman"/>
                <w:kern w:val="2"/>
                <w:sz w:val="21"/>
                <w:szCs w:val="21"/>
                <w:highlight w:val="none"/>
                <w:lang w:val="en-US" w:eastAsia="zh-CN" w:bidi="ar-SA"/>
              </w:rPr>
            </w:pPr>
          </w:p>
        </w:tc>
      </w:tr>
      <w:tr w14:paraId="1527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9237">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8218">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种植乔木</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58E3">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株</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C2C4">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12182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02EA">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木麻黄</w:t>
            </w:r>
          </w:p>
        </w:tc>
      </w:tr>
      <w:tr w14:paraId="0CED5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AFA7">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(2)</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E258">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种植灌木</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E5F1">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株</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012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12182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E5AAC">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黄槿</w:t>
            </w:r>
          </w:p>
        </w:tc>
      </w:tr>
      <w:tr w14:paraId="3A14F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DD57">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（3）</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A027">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植草（撒播草籽）</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E066">
            <w:pPr>
              <w:pStyle w:val="76"/>
              <w:bidi w:val="0"/>
              <w:ind w:firstLine="0" w:firstLineChars="0"/>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hm</w:t>
            </w:r>
            <w:r>
              <w:rPr>
                <w:rFonts w:hint="eastAsia" w:ascii="Times New Roman" w:hAnsi="Times New Roman" w:cs="Times New Roman"/>
                <w:sz w:val="21"/>
                <w:szCs w:val="21"/>
                <w:highlight w:val="none"/>
                <w:vertAlign w:val="superscript"/>
                <w:lang w:val="en-US" w:eastAsia="zh-CN"/>
              </w:rPr>
              <w:t>2</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9A12">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7.</w:t>
            </w:r>
            <w:r>
              <w:rPr>
                <w:rFonts w:hint="eastAsia" w:cs="Times New Roman"/>
                <w:kern w:val="2"/>
                <w:sz w:val="21"/>
                <w:szCs w:val="21"/>
                <w:highlight w:val="none"/>
                <w:lang w:val="en-US" w:eastAsia="zh-CN" w:bidi="ar-SA"/>
              </w:rPr>
              <w:t>6142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BD52">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kern w:val="2"/>
                <w:sz w:val="21"/>
                <w:szCs w:val="21"/>
                <w:highlight w:val="none"/>
                <w:lang w:val="en-US" w:eastAsia="zh-CN" w:bidi="ar-SA"/>
              </w:rPr>
              <w:t>播种狗牙根与柱花草种子</w:t>
            </w:r>
          </w:p>
        </w:tc>
      </w:tr>
      <w:tr w14:paraId="02272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048D">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（4）</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FBEE">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种植爬山虎</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3977">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株</w:t>
            </w:r>
          </w:p>
        </w:tc>
        <w:tc>
          <w:tcPr>
            <w:tcW w:w="8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3006">
            <w:pPr>
              <w:pStyle w:val="76"/>
              <w:bidi w:val="0"/>
              <w:ind w:firstLine="0" w:firstLineChars="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662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5333">
            <w:pPr>
              <w:pStyle w:val="76"/>
              <w:bidi w:val="0"/>
              <w:ind w:firstLine="0" w:firstLineChars="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爬山虎</w:t>
            </w:r>
          </w:p>
        </w:tc>
      </w:tr>
    </w:tbl>
    <w:p w14:paraId="3E3DBACF">
      <w:pPr>
        <w:rPr>
          <w:rFonts w:hint="default"/>
          <w:lang w:val="en-US" w:eastAsia="zh-CN"/>
        </w:rPr>
      </w:pPr>
    </w:p>
    <w:p w14:paraId="4F7D5BD3">
      <w:bookmarkStart w:id="410" w:name="_Toc46047457"/>
      <w:r>
        <w:br w:type="page"/>
      </w:r>
    </w:p>
    <w:p w14:paraId="1738816D">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411" w:name="_Toc10018"/>
      <w:r>
        <w:t>第</w:t>
      </w:r>
      <w:r>
        <w:rPr>
          <w:rFonts w:hint="eastAsia"/>
        </w:rPr>
        <w:t>五</w:t>
      </w:r>
      <w:r>
        <w:t xml:space="preserve">章 </w:t>
      </w:r>
      <w:r>
        <w:rPr>
          <w:rFonts w:hint="eastAsia"/>
        </w:rPr>
        <w:t xml:space="preserve"> 监测与管护</w:t>
      </w:r>
      <w:bookmarkEnd w:id="411"/>
    </w:p>
    <w:bookmarkEnd w:id="396"/>
    <w:bookmarkEnd w:id="397"/>
    <w:bookmarkEnd w:id="398"/>
    <w:bookmarkEnd w:id="399"/>
    <w:bookmarkEnd w:id="400"/>
    <w:bookmarkEnd w:id="401"/>
    <w:p w14:paraId="6DC9E8EB">
      <w:pPr>
        <w:pStyle w:val="5"/>
        <w:spacing w:before="263" w:after="263"/>
        <w:rPr>
          <w:rFonts w:hint="eastAsia" w:ascii="宋体" w:hAnsi="宋体" w:eastAsia="宋体" w:cs="宋体"/>
          <w:b/>
          <w:bCs w:val="0"/>
        </w:rPr>
      </w:pPr>
      <w:bookmarkStart w:id="412" w:name="_Toc17660"/>
      <w:r>
        <w:rPr>
          <w:rFonts w:hint="eastAsia" w:ascii="宋体" w:hAnsi="宋体" w:eastAsia="宋体" w:cs="宋体"/>
          <w:b/>
          <w:bCs w:val="0"/>
        </w:rPr>
        <w:t>一、</w:t>
      </w:r>
      <w:bookmarkEnd w:id="402"/>
      <w:bookmarkEnd w:id="403"/>
      <w:bookmarkEnd w:id="404"/>
      <w:bookmarkEnd w:id="405"/>
      <w:bookmarkEnd w:id="406"/>
      <w:bookmarkEnd w:id="407"/>
      <w:bookmarkEnd w:id="408"/>
      <w:bookmarkEnd w:id="409"/>
      <w:bookmarkEnd w:id="410"/>
      <w:r>
        <w:rPr>
          <w:rFonts w:hint="eastAsia" w:ascii="宋体" w:hAnsi="宋体" w:eastAsia="宋体" w:cs="宋体"/>
          <w:b/>
          <w:bCs w:val="0"/>
        </w:rPr>
        <w:t>监测目标与实施</w:t>
      </w:r>
      <w:bookmarkEnd w:id="412"/>
    </w:p>
    <w:p w14:paraId="63C1184A">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（一）目标任务</w:t>
      </w:r>
    </w:p>
    <w:p w14:paraId="1C9B6C2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kern w:val="0"/>
          <w:sz w:val="28"/>
          <w:szCs w:val="28"/>
        </w:rPr>
      </w:pPr>
      <w:r>
        <w:rPr>
          <w:rFonts w:hint="eastAsia" w:ascii="宋体" w:hAnsi="宋体" w:eastAsia="宋体"/>
          <w:kern w:val="0"/>
          <w:sz w:val="28"/>
          <w:szCs w:val="28"/>
        </w:rPr>
        <w:t>监测目标任务针对矿山生态修复各单元的实际情况，确定不同单元的监测内容，主要监测修复后场地稳定性、植被的生长以及复垦配套设施运行的效果监测与评估并提出改进措施，监测点得设置数量视复垦单元的种类、数量、和面积确定。</w:t>
      </w:r>
    </w:p>
    <w:p w14:paraId="2123AB5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kern w:val="0"/>
          <w:sz w:val="28"/>
          <w:szCs w:val="28"/>
        </w:rPr>
      </w:pPr>
      <w:r>
        <w:rPr>
          <w:rFonts w:hint="eastAsia" w:ascii="宋体" w:hAnsi="宋体" w:eastAsia="宋体"/>
          <w:kern w:val="0"/>
          <w:sz w:val="28"/>
          <w:szCs w:val="28"/>
        </w:rPr>
        <w:t>1.保障工程安全与质量：确保修复工程实施过程符合设计要求、技术规范和安全标准，及时发现和消除工程安全隐患，保障施工人员及周边环境安全。</w:t>
      </w:r>
    </w:p>
    <w:p w14:paraId="45ED918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kern w:val="0"/>
          <w:sz w:val="28"/>
          <w:szCs w:val="28"/>
        </w:rPr>
      </w:pPr>
      <w:r>
        <w:rPr>
          <w:rFonts w:hint="eastAsia" w:ascii="宋体" w:hAnsi="宋体" w:eastAsia="宋体"/>
          <w:kern w:val="0"/>
          <w:sz w:val="28"/>
          <w:szCs w:val="28"/>
        </w:rPr>
        <w:t>2.掌握动态变化与评估效果：实时、动态掌握修复区及周边关键环境要素（地质环境、土地资源、生态系统）的变化趋势，科学、客观地评估各项生态修复措施的实施效果、稳定性及可持续性。</w:t>
      </w:r>
    </w:p>
    <w:p w14:paraId="79C0F80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kern w:val="0"/>
          <w:sz w:val="28"/>
          <w:szCs w:val="28"/>
        </w:rPr>
      </w:pPr>
      <w:r>
        <w:rPr>
          <w:rFonts w:hint="eastAsia" w:ascii="宋体" w:hAnsi="宋体" w:eastAsia="宋体"/>
          <w:kern w:val="0"/>
          <w:sz w:val="28"/>
          <w:szCs w:val="28"/>
        </w:rPr>
        <w:t>3.验证修复目标达成度：通过系统监测数据，验证修复工程是否达到了预定的修复目标（如：边坡稳定、土壤污染物达标、植被覆盖度/生物量目标、生物多样性恢复水平等），为最终工程验收提供量化依据。</w:t>
      </w:r>
    </w:p>
    <w:p w14:paraId="264CA1C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kern w:val="0"/>
          <w:sz w:val="28"/>
          <w:szCs w:val="28"/>
        </w:rPr>
      </w:pPr>
      <w:r>
        <w:rPr>
          <w:rFonts w:hint="eastAsia" w:ascii="宋体" w:hAnsi="宋体" w:eastAsia="宋体"/>
          <w:kern w:val="0"/>
          <w:sz w:val="28"/>
          <w:szCs w:val="28"/>
        </w:rPr>
        <w:t>4.识别风险与预警防控：及时识别修复过程中及修复后可能出现的环境风险（如：地质灾害复发、土壤污染物迁移扩散、植被退化、水环境污染等），建立预警机制，为采取有效防控和调整措施提供决策支持。</w:t>
      </w:r>
    </w:p>
    <w:p w14:paraId="1C29D6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sz w:val="28"/>
          <w:szCs w:val="28"/>
        </w:rPr>
      </w:pPr>
      <w:r>
        <w:rPr>
          <w:rFonts w:hint="eastAsia" w:ascii="宋体" w:hAnsi="宋体" w:eastAsia="宋体"/>
          <w:kern w:val="0"/>
          <w:sz w:val="28"/>
          <w:szCs w:val="28"/>
        </w:rPr>
        <w:t>5.优化管理与指导决策：为修复工程的动态管理、后期养护措施的调整优化以及后续类似项目的规划设计提供科学依据和数据支撑。</w:t>
      </w:r>
    </w:p>
    <w:p w14:paraId="51BC9A97">
      <w:pPr>
        <w:pStyle w:val="6"/>
        <w:spacing w:before="131" w:after="131"/>
        <w:rPr>
          <w:rFonts w:hint="default" w:ascii="宋体" w:hAnsi="宋体" w:eastAsia="宋体" w:cs="宋体"/>
          <w:b/>
          <w:bCs/>
          <w:lang w:val="en-US" w:eastAsia="zh-CN"/>
        </w:rPr>
      </w:pPr>
      <w:r>
        <w:rPr>
          <w:rFonts w:hint="eastAsia" w:ascii="宋体" w:hAnsi="宋体" w:eastAsia="宋体" w:cs="宋体"/>
          <w:b/>
          <w:bCs/>
          <w:lang w:val="en-US" w:eastAsia="zh-CN"/>
        </w:rPr>
        <w:t>（二）矿山地质环境监测</w:t>
      </w:r>
    </w:p>
    <w:p w14:paraId="6289CC15">
      <w:pPr>
        <w:spacing w:line="360" w:lineRule="auto"/>
        <w:rPr>
          <w:rFonts w:hint="eastAsia" w:ascii="宋体" w:hAnsi="宋体" w:eastAsia="宋体"/>
          <w:kern w:val="0"/>
          <w:sz w:val="28"/>
          <w:szCs w:val="28"/>
        </w:rPr>
      </w:pPr>
      <w:r>
        <w:rPr>
          <w:rFonts w:hint="eastAsia" w:ascii="宋体" w:hAnsi="宋体"/>
          <w:kern w:val="0"/>
          <w:sz w:val="28"/>
          <w:szCs w:val="28"/>
          <w:lang w:val="en-US" w:eastAsia="zh-CN"/>
        </w:rPr>
        <w:t>1、</w:t>
      </w:r>
      <w:r>
        <w:rPr>
          <w:rFonts w:hint="eastAsia" w:ascii="宋体" w:hAnsi="宋体" w:eastAsia="宋体"/>
          <w:kern w:val="0"/>
          <w:sz w:val="28"/>
          <w:szCs w:val="28"/>
        </w:rPr>
        <w:t>地质灾害监测</w:t>
      </w:r>
    </w:p>
    <w:p w14:paraId="5B673192">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1</w:t>
      </w:r>
      <w:r>
        <w:rPr>
          <w:rFonts w:hint="eastAsia" w:ascii="宋体" w:hAnsi="宋体"/>
          <w:kern w:val="0"/>
          <w:sz w:val="28"/>
          <w:szCs w:val="28"/>
          <w:lang w:eastAsia="zh-CN"/>
        </w:rPr>
        <w:t>）</w:t>
      </w:r>
      <w:r>
        <w:rPr>
          <w:rFonts w:hint="eastAsia" w:ascii="宋体" w:hAnsi="宋体" w:eastAsia="宋体"/>
          <w:kern w:val="0"/>
          <w:sz w:val="28"/>
          <w:szCs w:val="28"/>
        </w:rPr>
        <w:t>监测点布设</w:t>
      </w:r>
    </w:p>
    <w:p w14:paraId="3D7EF0C3">
      <w:pPr>
        <w:spacing w:line="360" w:lineRule="auto"/>
        <w:rPr>
          <w:rFonts w:hint="eastAsia" w:ascii="宋体" w:hAnsi="宋体" w:eastAsia="宋体"/>
          <w:kern w:val="0"/>
          <w:sz w:val="28"/>
          <w:szCs w:val="28"/>
        </w:rPr>
      </w:pPr>
      <w:r>
        <w:rPr>
          <w:rFonts w:hint="eastAsia" w:ascii="宋体" w:hAnsi="宋体" w:eastAsia="宋体"/>
          <w:kern w:val="0"/>
          <w:sz w:val="28"/>
          <w:szCs w:val="28"/>
        </w:rPr>
        <w:t>崩塌、滑坡及其他地质环境问题：在露天采场西部及西南部的边坡布设2个监测点，一般在高陡边坡的分布范围或斜坡顶布置监测点，着重监测土质或岩土质露采边坡等岩性较软的位置，并对整个影响范围进行巡视。</w:t>
      </w:r>
    </w:p>
    <w:p w14:paraId="49E73185">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2</w:t>
      </w:r>
      <w:r>
        <w:rPr>
          <w:rFonts w:hint="eastAsia" w:ascii="宋体" w:hAnsi="宋体"/>
          <w:kern w:val="0"/>
          <w:sz w:val="28"/>
          <w:szCs w:val="28"/>
          <w:lang w:eastAsia="zh-CN"/>
        </w:rPr>
        <w:t>）</w:t>
      </w:r>
      <w:r>
        <w:rPr>
          <w:rFonts w:hint="eastAsia" w:ascii="宋体" w:hAnsi="宋体" w:eastAsia="宋体"/>
          <w:kern w:val="0"/>
          <w:sz w:val="28"/>
          <w:szCs w:val="28"/>
        </w:rPr>
        <w:t>监测内容</w:t>
      </w:r>
    </w:p>
    <w:p w14:paraId="45639C80">
      <w:pPr>
        <w:spacing w:line="360" w:lineRule="auto"/>
        <w:rPr>
          <w:rFonts w:hint="eastAsia" w:ascii="宋体" w:hAnsi="宋体" w:eastAsia="宋体"/>
          <w:kern w:val="0"/>
          <w:sz w:val="28"/>
          <w:szCs w:val="28"/>
        </w:rPr>
      </w:pPr>
      <w:r>
        <w:rPr>
          <w:rFonts w:hint="eastAsia" w:ascii="宋体" w:hAnsi="宋体" w:eastAsia="宋体"/>
          <w:kern w:val="0"/>
          <w:sz w:val="28"/>
          <w:szCs w:val="28"/>
        </w:rPr>
        <w:t>宏观变形监测：采用人工巡视监测，记录露天采场边坡变形情况。</w:t>
      </w:r>
    </w:p>
    <w:p w14:paraId="1977A488">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3</w:t>
      </w:r>
      <w:r>
        <w:rPr>
          <w:rFonts w:hint="eastAsia" w:ascii="宋体" w:hAnsi="宋体"/>
          <w:kern w:val="0"/>
          <w:sz w:val="28"/>
          <w:szCs w:val="28"/>
          <w:lang w:eastAsia="zh-CN"/>
        </w:rPr>
        <w:t>）</w:t>
      </w:r>
      <w:r>
        <w:rPr>
          <w:rFonts w:hint="eastAsia" w:ascii="宋体" w:hAnsi="宋体" w:eastAsia="宋体"/>
          <w:kern w:val="0"/>
          <w:sz w:val="28"/>
          <w:szCs w:val="28"/>
        </w:rPr>
        <w:t>监测方法</w:t>
      </w:r>
    </w:p>
    <w:p w14:paraId="10D51941">
      <w:pPr>
        <w:spacing w:line="360" w:lineRule="auto"/>
        <w:rPr>
          <w:rFonts w:hint="eastAsia" w:ascii="宋体" w:hAnsi="宋体" w:eastAsia="宋体"/>
          <w:kern w:val="0"/>
          <w:sz w:val="28"/>
          <w:szCs w:val="28"/>
        </w:rPr>
      </w:pPr>
      <w:r>
        <w:rPr>
          <w:rFonts w:hint="eastAsia" w:ascii="宋体" w:hAnsi="宋体" w:eastAsia="宋体"/>
          <w:kern w:val="0"/>
          <w:sz w:val="28"/>
          <w:szCs w:val="28"/>
        </w:rPr>
        <w:t>宏观变形监测：采用地质路线调查方法，对露天采场边坡、地表进行巡视观测、记录，动态监测变形情况。</w:t>
      </w:r>
    </w:p>
    <w:p w14:paraId="5A369E84">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4</w:t>
      </w:r>
      <w:r>
        <w:rPr>
          <w:rFonts w:hint="eastAsia" w:ascii="宋体" w:hAnsi="宋体"/>
          <w:kern w:val="0"/>
          <w:sz w:val="28"/>
          <w:szCs w:val="28"/>
          <w:lang w:eastAsia="zh-CN"/>
        </w:rPr>
        <w:t>）</w:t>
      </w:r>
      <w:r>
        <w:rPr>
          <w:rFonts w:hint="eastAsia" w:ascii="宋体" w:hAnsi="宋体" w:eastAsia="宋体"/>
          <w:kern w:val="0"/>
          <w:sz w:val="28"/>
          <w:szCs w:val="28"/>
        </w:rPr>
        <w:t>监测频率</w:t>
      </w:r>
    </w:p>
    <w:p w14:paraId="5776A84A">
      <w:pPr>
        <w:spacing w:line="360" w:lineRule="auto"/>
        <w:rPr>
          <w:rFonts w:hint="eastAsia" w:ascii="宋体" w:hAnsi="宋体" w:eastAsia="宋体"/>
          <w:kern w:val="0"/>
          <w:sz w:val="28"/>
          <w:szCs w:val="28"/>
        </w:rPr>
      </w:pPr>
      <w:r>
        <w:rPr>
          <w:rFonts w:hint="eastAsia" w:ascii="宋体" w:hAnsi="宋体" w:eastAsia="宋体"/>
          <w:kern w:val="0"/>
          <w:sz w:val="28"/>
          <w:szCs w:val="28"/>
        </w:rPr>
        <w:t>宏观变形监测频率：1个月监测1次，则每年监12次。雨季时应增加人工监测巡视，发现险情及时预警并采取有效的治理措施。</w:t>
      </w:r>
    </w:p>
    <w:p w14:paraId="7E22F439">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5</w:t>
      </w:r>
      <w:r>
        <w:rPr>
          <w:rFonts w:hint="eastAsia" w:ascii="宋体" w:hAnsi="宋体"/>
          <w:kern w:val="0"/>
          <w:sz w:val="28"/>
          <w:szCs w:val="28"/>
          <w:lang w:eastAsia="zh-CN"/>
        </w:rPr>
        <w:t>）</w:t>
      </w:r>
      <w:r>
        <w:rPr>
          <w:rFonts w:hint="eastAsia" w:ascii="宋体" w:hAnsi="宋体" w:eastAsia="宋体"/>
          <w:kern w:val="0"/>
          <w:sz w:val="28"/>
          <w:szCs w:val="28"/>
        </w:rPr>
        <w:t>监测要求</w:t>
      </w:r>
    </w:p>
    <w:p w14:paraId="077099D7">
      <w:pPr>
        <w:spacing w:line="360" w:lineRule="auto"/>
        <w:rPr>
          <w:rFonts w:hint="eastAsia" w:ascii="宋体" w:hAnsi="宋体" w:eastAsia="宋体"/>
          <w:kern w:val="0"/>
          <w:sz w:val="28"/>
          <w:szCs w:val="28"/>
        </w:rPr>
      </w:pPr>
      <w:r>
        <w:rPr>
          <w:rFonts w:hint="eastAsia" w:ascii="宋体" w:hAnsi="宋体" w:eastAsia="宋体"/>
          <w:kern w:val="0"/>
          <w:sz w:val="28"/>
          <w:szCs w:val="28"/>
        </w:rPr>
        <w:t>监测技术要求符合《矿山地质环境监测技术规程》（DZ/T 0287-2015）以及《矿区地下水监测规范》（DZ/T 0388-2021）等有关规定。</w:t>
      </w:r>
    </w:p>
    <w:p w14:paraId="05CA92CB">
      <w:pPr>
        <w:spacing w:line="360" w:lineRule="auto"/>
        <w:rPr>
          <w:rFonts w:hint="eastAsia" w:ascii="宋体" w:hAnsi="宋体" w:eastAsia="宋体"/>
          <w:kern w:val="0"/>
          <w:sz w:val="28"/>
          <w:szCs w:val="28"/>
        </w:rPr>
      </w:pPr>
      <w:r>
        <w:rPr>
          <w:rFonts w:hint="eastAsia" w:ascii="宋体" w:hAnsi="宋体" w:eastAsia="宋体"/>
          <w:kern w:val="0"/>
          <w:sz w:val="28"/>
          <w:szCs w:val="28"/>
        </w:rPr>
        <w:t>（6）监测时限</w:t>
      </w:r>
    </w:p>
    <w:p w14:paraId="476E2660">
      <w:pPr>
        <w:spacing w:line="360" w:lineRule="auto"/>
        <w:rPr>
          <w:rFonts w:hint="eastAsia" w:ascii="宋体" w:hAnsi="宋体" w:eastAsia="宋体"/>
          <w:kern w:val="0"/>
          <w:sz w:val="28"/>
          <w:szCs w:val="28"/>
          <w:highlight w:val="none"/>
        </w:rPr>
      </w:pPr>
      <w:r>
        <w:rPr>
          <w:rFonts w:hint="eastAsia" w:ascii="宋体" w:hAnsi="宋体" w:eastAsia="宋体"/>
          <w:kern w:val="0"/>
          <w:sz w:val="28"/>
          <w:szCs w:val="28"/>
          <w:highlight w:val="none"/>
        </w:rPr>
        <w:t>监测年限为</w:t>
      </w:r>
      <w:r>
        <w:rPr>
          <w:rFonts w:hint="eastAsia" w:ascii="宋体" w:hAnsi="宋体"/>
          <w:kern w:val="0"/>
          <w:sz w:val="28"/>
          <w:szCs w:val="28"/>
          <w:highlight w:val="none"/>
          <w:lang w:val="en-US" w:eastAsia="zh-CN"/>
        </w:rPr>
        <w:t>矿山开采期与闭坑整治期6.5年</w:t>
      </w:r>
      <w:r>
        <w:rPr>
          <w:rFonts w:hint="eastAsia" w:ascii="宋体" w:hAnsi="宋体" w:eastAsia="宋体"/>
          <w:kern w:val="0"/>
          <w:sz w:val="28"/>
          <w:szCs w:val="28"/>
          <w:highlight w:val="none"/>
        </w:rPr>
        <w:t>。</w:t>
      </w:r>
    </w:p>
    <w:p w14:paraId="67C3064B">
      <w:pPr>
        <w:spacing w:line="360" w:lineRule="auto"/>
        <w:rPr>
          <w:rFonts w:hint="eastAsia" w:ascii="宋体" w:hAnsi="宋体" w:eastAsia="宋体"/>
          <w:kern w:val="0"/>
          <w:sz w:val="28"/>
          <w:szCs w:val="28"/>
        </w:rPr>
      </w:pPr>
      <w:r>
        <w:rPr>
          <w:rFonts w:hint="eastAsia" w:ascii="宋体" w:hAnsi="宋体"/>
          <w:kern w:val="0"/>
          <w:sz w:val="28"/>
          <w:szCs w:val="28"/>
          <w:lang w:val="en-US" w:eastAsia="zh-CN"/>
        </w:rPr>
        <w:t>2、</w:t>
      </w:r>
      <w:r>
        <w:rPr>
          <w:rFonts w:hint="eastAsia" w:ascii="宋体" w:hAnsi="宋体" w:eastAsia="宋体"/>
          <w:kern w:val="0"/>
          <w:sz w:val="28"/>
          <w:szCs w:val="28"/>
        </w:rPr>
        <w:t>地下水水质变化监测</w:t>
      </w:r>
    </w:p>
    <w:p w14:paraId="3FD547C8">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1</w:t>
      </w:r>
      <w:r>
        <w:rPr>
          <w:rFonts w:hint="eastAsia" w:ascii="宋体" w:hAnsi="宋体"/>
          <w:kern w:val="0"/>
          <w:sz w:val="28"/>
          <w:szCs w:val="28"/>
          <w:lang w:eastAsia="zh-CN"/>
        </w:rPr>
        <w:t>）</w:t>
      </w:r>
      <w:r>
        <w:rPr>
          <w:rFonts w:hint="eastAsia" w:ascii="宋体" w:hAnsi="宋体" w:eastAsia="宋体"/>
          <w:kern w:val="0"/>
          <w:sz w:val="28"/>
          <w:szCs w:val="28"/>
        </w:rPr>
        <w:t>监测点布设</w:t>
      </w:r>
    </w:p>
    <w:p w14:paraId="742FAA01">
      <w:pPr>
        <w:spacing w:line="360" w:lineRule="auto"/>
        <w:rPr>
          <w:rFonts w:hint="eastAsia" w:ascii="宋体" w:hAnsi="宋体" w:eastAsia="宋体"/>
          <w:kern w:val="0"/>
          <w:sz w:val="28"/>
          <w:szCs w:val="28"/>
        </w:rPr>
      </w:pPr>
      <w:r>
        <w:rPr>
          <w:rFonts w:hint="eastAsia" w:ascii="宋体" w:hAnsi="宋体" w:eastAsia="宋体"/>
          <w:kern w:val="0"/>
          <w:sz w:val="28"/>
          <w:szCs w:val="28"/>
        </w:rPr>
        <w:t>水质监测点：对矿坑水布置1个监测点。</w:t>
      </w:r>
    </w:p>
    <w:p w14:paraId="6399ED36">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2</w:t>
      </w:r>
      <w:r>
        <w:rPr>
          <w:rFonts w:hint="eastAsia" w:ascii="宋体" w:hAnsi="宋体"/>
          <w:kern w:val="0"/>
          <w:sz w:val="28"/>
          <w:szCs w:val="28"/>
          <w:lang w:eastAsia="zh-CN"/>
        </w:rPr>
        <w:t>）</w:t>
      </w:r>
      <w:r>
        <w:rPr>
          <w:rFonts w:hint="eastAsia" w:ascii="宋体" w:hAnsi="宋体" w:eastAsia="宋体"/>
          <w:kern w:val="0"/>
          <w:sz w:val="28"/>
          <w:szCs w:val="28"/>
        </w:rPr>
        <w:t>监测内容</w:t>
      </w:r>
    </w:p>
    <w:p w14:paraId="389EB8D0">
      <w:pPr>
        <w:spacing w:line="360" w:lineRule="auto"/>
        <w:rPr>
          <w:rFonts w:hint="eastAsia" w:ascii="宋体" w:hAnsi="宋体" w:eastAsia="宋体"/>
          <w:kern w:val="0"/>
          <w:sz w:val="28"/>
          <w:szCs w:val="28"/>
        </w:rPr>
      </w:pPr>
      <w:r>
        <w:rPr>
          <w:rFonts w:hint="eastAsia" w:ascii="宋体" w:hAnsi="宋体" w:eastAsia="宋体"/>
          <w:kern w:val="0"/>
          <w:sz w:val="28"/>
          <w:szCs w:val="28"/>
        </w:rPr>
        <w:t>水质监测：监测内容主要是水质变化情况，主要是对矿坑水的水质变化情况</w:t>
      </w:r>
      <w:r>
        <w:rPr>
          <w:rFonts w:hint="eastAsia" w:ascii="宋体" w:hAnsi="宋体"/>
          <w:kern w:val="0"/>
          <w:sz w:val="28"/>
          <w:szCs w:val="28"/>
          <w:lang w:val="en-US" w:eastAsia="zh-CN"/>
        </w:rPr>
        <w:t>进行监测</w:t>
      </w:r>
      <w:r>
        <w:rPr>
          <w:rFonts w:hint="eastAsia" w:ascii="宋体" w:hAnsi="宋体" w:eastAsia="宋体"/>
          <w:kern w:val="0"/>
          <w:sz w:val="28"/>
          <w:szCs w:val="28"/>
        </w:rPr>
        <w:t>。</w:t>
      </w:r>
    </w:p>
    <w:p w14:paraId="3C24E4E5">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3</w:t>
      </w:r>
      <w:r>
        <w:rPr>
          <w:rFonts w:hint="eastAsia" w:ascii="宋体" w:hAnsi="宋体"/>
          <w:kern w:val="0"/>
          <w:sz w:val="28"/>
          <w:szCs w:val="28"/>
          <w:lang w:eastAsia="zh-CN"/>
        </w:rPr>
        <w:t>）</w:t>
      </w:r>
      <w:r>
        <w:rPr>
          <w:rFonts w:hint="eastAsia" w:ascii="宋体" w:hAnsi="宋体" w:eastAsia="宋体"/>
          <w:kern w:val="0"/>
          <w:sz w:val="28"/>
          <w:szCs w:val="28"/>
        </w:rPr>
        <w:t>监测方法</w:t>
      </w:r>
    </w:p>
    <w:p w14:paraId="6E6DFD28">
      <w:pPr>
        <w:spacing w:line="360" w:lineRule="auto"/>
        <w:rPr>
          <w:rFonts w:hint="eastAsia" w:ascii="宋体" w:hAnsi="宋体" w:eastAsia="宋体"/>
          <w:kern w:val="0"/>
          <w:sz w:val="28"/>
          <w:szCs w:val="28"/>
        </w:rPr>
      </w:pPr>
      <w:r>
        <w:rPr>
          <w:rFonts w:hint="eastAsia" w:ascii="宋体" w:hAnsi="宋体" w:eastAsia="宋体"/>
          <w:kern w:val="0"/>
          <w:sz w:val="28"/>
          <w:szCs w:val="28"/>
        </w:rPr>
        <w:t>取矿坑水样，进行水质化验分析；监测地下水位变化情况。对比不同时期的地下水水质的变化情况，分析地下水水质变化的程度与趋势。</w:t>
      </w:r>
    </w:p>
    <w:p w14:paraId="0C95CAD1">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4</w:t>
      </w:r>
      <w:r>
        <w:rPr>
          <w:rFonts w:hint="eastAsia" w:ascii="宋体" w:hAnsi="宋体"/>
          <w:kern w:val="0"/>
          <w:sz w:val="28"/>
          <w:szCs w:val="28"/>
          <w:lang w:eastAsia="zh-CN"/>
        </w:rPr>
        <w:t>）</w:t>
      </w:r>
      <w:r>
        <w:rPr>
          <w:rFonts w:hint="eastAsia" w:ascii="宋体" w:hAnsi="宋体" w:eastAsia="宋体"/>
          <w:kern w:val="0"/>
          <w:sz w:val="28"/>
          <w:szCs w:val="28"/>
        </w:rPr>
        <w:t>监测频率</w:t>
      </w:r>
    </w:p>
    <w:p w14:paraId="76E414E6">
      <w:pPr>
        <w:spacing w:line="360" w:lineRule="auto"/>
        <w:rPr>
          <w:rFonts w:hint="eastAsia" w:ascii="宋体" w:hAnsi="宋体"/>
          <w:kern w:val="0"/>
          <w:sz w:val="28"/>
          <w:szCs w:val="28"/>
          <w:lang w:eastAsia="zh-CN"/>
        </w:rPr>
      </w:pPr>
      <w:r>
        <w:rPr>
          <w:rFonts w:hint="eastAsia" w:ascii="宋体" w:hAnsi="宋体"/>
          <w:kern w:val="0"/>
          <w:sz w:val="28"/>
          <w:szCs w:val="28"/>
          <w:lang w:eastAsia="zh-CN"/>
        </w:rPr>
        <w:t>监测频率：每年2次，丰水期一次，枯水期一次。</w:t>
      </w:r>
    </w:p>
    <w:p w14:paraId="313AB6F4">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5</w:t>
      </w:r>
      <w:r>
        <w:rPr>
          <w:rFonts w:hint="eastAsia" w:ascii="宋体" w:hAnsi="宋体"/>
          <w:kern w:val="0"/>
          <w:sz w:val="28"/>
          <w:szCs w:val="28"/>
          <w:lang w:eastAsia="zh-CN"/>
        </w:rPr>
        <w:t>）</w:t>
      </w:r>
      <w:r>
        <w:rPr>
          <w:rFonts w:hint="eastAsia" w:ascii="宋体" w:hAnsi="宋体" w:eastAsia="宋体"/>
          <w:kern w:val="0"/>
          <w:sz w:val="28"/>
          <w:szCs w:val="28"/>
        </w:rPr>
        <w:t>监测时限</w:t>
      </w:r>
    </w:p>
    <w:p w14:paraId="72F71592">
      <w:pPr>
        <w:spacing w:line="360" w:lineRule="auto"/>
        <w:rPr>
          <w:rFonts w:hint="eastAsia" w:ascii="宋体" w:hAnsi="宋体" w:eastAsia="宋体"/>
          <w:kern w:val="0"/>
          <w:sz w:val="28"/>
          <w:szCs w:val="28"/>
          <w:highlight w:val="none"/>
        </w:rPr>
      </w:pPr>
      <w:r>
        <w:rPr>
          <w:rFonts w:hint="eastAsia" w:ascii="宋体" w:hAnsi="宋体" w:eastAsia="宋体"/>
          <w:kern w:val="0"/>
          <w:sz w:val="28"/>
          <w:szCs w:val="28"/>
        </w:rPr>
        <w:t>监测年限为</w:t>
      </w:r>
      <w:r>
        <w:rPr>
          <w:rFonts w:hint="eastAsia" w:ascii="宋体" w:hAnsi="宋体" w:eastAsia="宋体"/>
          <w:kern w:val="0"/>
          <w:sz w:val="28"/>
          <w:szCs w:val="28"/>
          <w:highlight w:val="none"/>
        </w:rPr>
        <w:t>监测年限为</w:t>
      </w:r>
      <w:r>
        <w:rPr>
          <w:rFonts w:hint="eastAsia" w:ascii="宋体" w:hAnsi="宋体"/>
          <w:kern w:val="0"/>
          <w:sz w:val="28"/>
          <w:szCs w:val="28"/>
          <w:highlight w:val="none"/>
          <w:lang w:val="en-US" w:eastAsia="zh-CN"/>
        </w:rPr>
        <w:t>矿山开采期与恢复治理期6.5年</w:t>
      </w:r>
      <w:r>
        <w:rPr>
          <w:rFonts w:hint="eastAsia" w:ascii="宋体" w:hAnsi="宋体" w:eastAsia="宋体"/>
          <w:kern w:val="0"/>
          <w:sz w:val="28"/>
          <w:szCs w:val="28"/>
          <w:highlight w:val="none"/>
        </w:rPr>
        <w:t>。</w:t>
      </w:r>
    </w:p>
    <w:p w14:paraId="2EA397A3">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（三）土地资源监测及生态系统监测</w:t>
      </w:r>
    </w:p>
    <w:p w14:paraId="3CD1173B">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1</w:t>
      </w:r>
      <w:r>
        <w:rPr>
          <w:rFonts w:hint="eastAsia" w:ascii="宋体" w:hAnsi="宋体"/>
          <w:kern w:val="0"/>
          <w:sz w:val="28"/>
          <w:szCs w:val="28"/>
          <w:lang w:eastAsia="zh-CN"/>
        </w:rPr>
        <w:t>）</w:t>
      </w:r>
      <w:r>
        <w:rPr>
          <w:rFonts w:hint="eastAsia" w:ascii="宋体" w:hAnsi="宋体" w:eastAsia="宋体"/>
          <w:kern w:val="0"/>
          <w:sz w:val="28"/>
          <w:szCs w:val="28"/>
        </w:rPr>
        <w:t>监测点布设</w:t>
      </w:r>
    </w:p>
    <w:p w14:paraId="7E0B967E">
      <w:pPr>
        <w:spacing w:line="360" w:lineRule="auto"/>
        <w:rPr>
          <w:rFonts w:hint="eastAsia" w:ascii="宋体" w:hAnsi="宋体" w:eastAsia="宋体"/>
          <w:kern w:val="0"/>
          <w:sz w:val="28"/>
          <w:szCs w:val="28"/>
        </w:rPr>
      </w:pPr>
      <w:r>
        <w:rPr>
          <w:rFonts w:hint="eastAsia" w:ascii="宋体" w:hAnsi="宋体" w:eastAsia="宋体"/>
          <w:kern w:val="0"/>
          <w:sz w:val="28"/>
          <w:szCs w:val="28"/>
          <w:highlight w:val="none"/>
        </w:rPr>
        <w:t>复垦方向为</w:t>
      </w:r>
      <w:r>
        <w:rPr>
          <w:rFonts w:hint="eastAsia" w:ascii="宋体" w:hAnsi="宋体"/>
          <w:kern w:val="0"/>
          <w:sz w:val="28"/>
          <w:szCs w:val="28"/>
          <w:highlight w:val="none"/>
          <w:lang w:val="en-US" w:eastAsia="zh-CN"/>
        </w:rPr>
        <w:t>林</w:t>
      </w:r>
      <w:r>
        <w:rPr>
          <w:rFonts w:hint="eastAsia" w:ascii="宋体" w:hAnsi="宋体" w:eastAsia="宋体"/>
          <w:kern w:val="0"/>
          <w:sz w:val="28"/>
          <w:szCs w:val="28"/>
          <w:highlight w:val="none"/>
        </w:rPr>
        <w:t>地的区域。</w:t>
      </w:r>
      <w:r>
        <w:rPr>
          <w:rFonts w:hint="eastAsia" w:ascii="宋体" w:hAnsi="宋体" w:eastAsia="宋体"/>
          <w:kern w:val="0"/>
          <w:sz w:val="28"/>
          <w:szCs w:val="28"/>
        </w:rPr>
        <w:t>布点方式：网格法、随机法、分区布点法结合。</w:t>
      </w:r>
    </w:p>
    <w:p w14:paraId="7879C45B">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2</w:t>
      </w:r>
      <w:r>
        <w:rPr>
          <w:rFonts w:hint="eastAsia" w:ascii="宋体" w:hAnsi="宋体"/>
          <w:kern w:val="0"/>
          <w:sz w:val="28"/>
          <w:szCs w:val="28"/>
          <w:lang w:eastAsia="zh-CN"/>
        </w:rPr>
        <w:t>）</w:t>
      </w:r>
      <w:r>
        <w:rPr>
          <w:rFonts w:hint="eastAsia" w:ascii="宋体" w:hAnsi="宋体" w:eastAsia="宋体"/>
          <w:kern w:val="0"/>
          <w:sz w:val="28"/>
          <w:szCs w:val="28"/>
        </w:rPr>
        <w:t>监测内容</w:t>
      </w:r>
    </w:p>
    <w:p w14:paraId="7D3F9378">
      <w:pPr>
        <w:spacing w:line="360" w:lineRule="auto"/>
        <w:rPr>
          <w:rFonts w:hint="eastAsia" w:ascii="宋体" w:hAnsi="宋体" w:eastAsia="宋体"/>
          <w:kern w:val="0"/>
          <w:sz w:val="28"/>
          <w:szCs w:val="28"/>
        </w:rPr>
      </w:pPr>
      <w:r>
        <w:rPr>
          <w:rFonts w:hint="eastAsia" w:ascii="宋体" w:hAnsi="宋体" w:eastAsia="宋体"/>
          <w:kern w:val="0"/>
          <w:sz w:val="28"/>
          <w:szCs w:val="28"/>
        </w:rPr>
        <w:t>土壤检测：有效土层厚度、土壤容重、土壤质地，PH值、有机质和重金属等。</w:t>
      </w:r>
    </w:p>
    <w:p w14:paraId="7392B8EB">
      <w:pPr>
        <w:spacing w:line="360" w:lineRule="auto"/>
        <w:rPr>
          <w:rFonts w:hint="eastAsia" w:ascii="宋体" w:hAnsi="宋体" w:eastAsia="宋体"/>
          <w:kern w:val="0"/>
          <w:sz w:val="28"/>
          <w:szCs w:val="28"/>
        </w:rPr>
      </w:pPr>
      <w:r>
        <w:rPr>
          <w:rFonts w:hint="eastAsia" w:ascii="宋体" w:hAnsi="宋体" w:eastAsia="宋体"/>
          <w:kern w:val="0"/>
          <w:sz w:val="28"/>
          <w:szCs w:val="28"/>
        </w:rPr>
        <w:t>复垦植被监测：复垦为</w:t>
      </w:r>
      <w:r>
        <w:rPr>
          <w:rFonts w:hint="eastAsia" w:ascii="宋体" w:hAnsi="宋体"/>
          <w:kern w:val="0"/>
          <w:sz w:val="28"/>
          <w:szCs w:val="28"/>
          <w:lang w:val="en-US" w:eastAsia="zh-CN"/>
        </w:rPr>
        <w:t>林地</w:t>
      </w:r>
      <w:r>
        <w:rPr>
          <w:rFonts w:hint="eastAsia" w:ascii="宋体" w:hAnsi="宋体" w:eastAsia="宋体"/>
          <w:kern w:val="0"/>
          <w:sz w:val="28"/>
          <w:szCs w:val="28"/>
        </w:rPr>
        <w:t>监测内容是植被长势、高度、种植密度、成活率、郁闭度及生长量等。</w:t>
      </w:r>
    </w:p>
    <w:p w14:paraId="3DB907A7">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3</w:t>
      </w:r>
      <w:r>
        <w:rPr>
          <w:rFonts w:hint="eastAsia" w:ascii="宋体" w:hAnsi="宋体"/>
          <w:kern w:val="0"/>
          <w:sz w:val="28"/>
          <w:szCs w:val="28"/>
          <w:lang w:eastAsia="zh-CN"/>
        </w:rPr>
        <w:t>）</w:t>
      </w:r>
      <w:r>
        <w:rPr>
          <w:rFonts w:hint="eastAsia" w:ascii="宋体" w:hAnsi="宋体" w:eastAsia="宋体"/>
          <w:kern w:val="0"/>
          <w:sz w:val="28"/>
          <w:szCs w:val="28"/>
        </w:rPr>
        <w:t>监测方法</w:t>
      </w:r>
    </w:p>
    <w:p w14:paraId="69CF7CE5">
      <w:pPr>
        <w:spacing w:line="360" w:lineRule="auto"/>
        <w:rPr>
          <w:rFonts w:hint="eastAsia" w:ascii="宋体" w:hAnsi="宋体" w:eastAsia="宋体"/>
          <w:kern w:val="0"/>
          <w:sz w:val="28"/>
          <w:szCs w:val="28"/>
        </w:rPr>
      </w:pPr>
      <w:r>
        <w:rPr>
          <w:rFonts w:hint="eastAsia" w:ascii="宋体" w:hAnsi="宋体" w:eastAsia="宋体"/>
          <w:kern w:val="0"/>
          <w:sz w:val="28"/>
          <w:szCs w:val="28"/>
        </w:rPr>
        <w:t>植被监测采用样方随机调查法，巡视观测植被生长及水土流失情况；</w:t>
      </w:r>
    </w:p>
    <w:p w14:paraId="7C32F4CA">
      <w:pPr>
        <w:spacing w:line="360" w:lineRule="auto"/>
        <w:rPr>
          <w:rFonts w:hint="eastAsia" w:ascii="宋体" w:hAnsi="宋体" w:eastAsia="宋体"/>
          <w:kern w:val="0"/>
          <w:sz w:val="28"/>
          <w:szCs w:val="28"/>
        </w:rPr>
      </w:pPr>
      <w:r>
        <w:rPr>
          <w:rFonts w:hint="eastAsia" w:ascii="宋体" w:hAnsi="宋体" w:eastAsia="宋体"/>
          <w:kern w:val="0"/>
          <w:sz w:val="28"/>
          <w:szCs w:val="28"/>
        </w:rPr>
        <w:t>遥感监测：高分辨率影像解译土地利用/覆被变化、地表裸露状况。</w:t>
      </w:r>
    </w:p>
    <w:p w14:paraId="71542AD4">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4</w:t>
      </w:r>
      <w:r>
        <w:rPr>
          <w:rFonts w:hint="eastAsia" w:ascii="宋体" w:hAnsi="宋体"/>
          <w:kern w:val="0"/>
          <w:sz w:val="28"/>
          <w:szCs w:val="28"/>
          <w:lang w:eastAsia="zh-CN"/>
        </w:rPr>
        <w:t>）</w:t>
      </w:r>
      <w:r>
        <w:rPr>
          <w:rFonts w:hint="eastAsia" w:ascii="宋体" w:hAnsi="宋体" w:eastAsia="宋体"/>
          <w:kern w:val="0"/>
          <w:sz w:val="28"/>
          <w:szCs w:val="28"/>
        </w:rPr>
        <w:t>植被调查：</w:t>
      </w:r>
    </w:p>
    <w:p w14:paraId="14040E2E">
      <w:pPr>
        <w:spacing w:line="360" w:lineRule="auto"/>
        <w:rPr>
          <w:rFonts w:hint="eastAsia" w:ascii="宋体" w:hAnsi="宋体" w:eastAsia="宋体"/>
          <w:kern w:val="0"/>
          <w:sz w:val="28"/>
          <w:szCs w:val="28"/>
        </w:rPr>
      </w:pPr>
      <w:r>
        <w:rPr>
          <w:rFonts w:hint="eastAsia" w:ascii="宋体" w:hAnsi="宋体" w:eastAsia="宋体"/>
          <w:kern w:val="0"/>
          <w:sz w:val="28"/>
          <w:szCs w:val="28"/>
        </w:rPr>
        <w:t>样方法：草本（1m×1m），乔木（20m×20m或更大）。记录样方内所有植物。</w:t>
      </w:r>
    </w:p>
    <w:p w14:paraId="5FF978C0">
      <w:pPr>
        <w:spacing w:line="360" w:lineRule="auto"/>
        <w:rPr>
          <w:rFonts w:hint="eastAsia" w:ascii="宋体" w:hAnsi="宋体" w:eastAsia="宋体"/>
          <w:kern w:val="0"/>
          <w:sz w:val="28"/>
          <w:szCs w:val="28"/>
        </w:rPr>
      </w:pPr>
      <w:r>
        <w:rPr>
          <w:rFonts w:hint="eastAsia" w:ascii="宋体" w:hAnsi="宋体" w:eastAsia="宋体"/>
          <w:kern w:val="0"/>
          <w:sz w:val="28"/>
          <w:szCs w:val="28"/>
        </w:rPr>
        <w:t>样线法：沿固定路线记录植物种类、多度等级。</w:t>
      </w:r>
    </w:p>
    <w:p w14:paraId="4FA206AD">
      <w:pPr>
        <w:spacing w:line="360" w:lineRule="auto"/>
        <w:rPr>
          <w:rFonts w:hint="eastAsia" w:ascii="宋体" w:hAnsi="宋体" w:eastAsia="宋体"/>
          <w:kern w:val="0"/>
          <w:sz w:val="28"/>
          <w:szCs w:val="28"/>
        </w:rPr>
      </w:pPr>
      <w:r>
        <w:rPr>
          <w:rFonts w:hint="eastAsia" w:ascii="宋体" w:hAnsi="宋体"/>
          <w:kern w:val="0"/>
          <w:sz w:val="28"/>
          <w:szCs w:val="28"/>
          <w:lang w:val="en-US" w:eastAsia="zh-CN"/>
        </w:rPr>
        <w:t>林木</w:t>
      </w:r>
      <w:r>
        <w:rPr>
          <w:rFonts w:hint="eastAsia" w:ascii="宋体" w:hAnsi="宋体" w:eastAsia="宋体"/>
          <w:kern w:val="0"/>
          <w:sz w:val="28"/>
          <w:szCs w:val="28"/>
        </w:rPr>
        <w:t>调查：在乔木样地内对每株树测量树高、胸径/地径、冠幅，记录存活状况。</w:t>
      </w:r>
    </w:p>
    <w:p w14:paraId="75D38037">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5</w:t>
      </w:r>
      <w:r>
        <w:rPr>
          <w:rFonts w:hint="eastAsia" w:ascii="宋体" w:hAnsi="宋体"/>
          <w:kern w:val="0"/>
          <w:sz w:val="28"/>
          <w:szCs w:val="28"/>
          <w:lang w:eastAsia="zh-CN"/>
        </w:rPr>
        <w:t>）</w:t>
      </w:r>
      <w:r>
        <w:rPr>
          <w:rFonts w:hint="eastAsia" w:ascii="宋体" w:hAnsi="宋体" w:eastAsia="宋体"/>
          <w:kern w:val="0"/>
          <w:sz w:val="28"/>
          <w:szCs w:val="28"/>
        </w:rPr>
        <w:t>监测要求</w:t>
      </w:r>
    </w:p>
    <w:p w14:paraId="3743F172">
      <w:pPr>
        <w:spacing w:line="360" w:lineRule="auto"/>
        <w:rPr>
          <w:rFonts w:hint="eastAsia" w:ascii="宋体" w:hAnsi="宋体" w:eastAsia="宋体"/>
          <w:kern w:val="0"/>
          <w:sz w:val="28"/>
          <w:szCs w:val="28"/>
        </w:rPr>
      </w:pPr>
      <w:r>
        <w:rPr>
          <w:rFonts w:hint="eastAsia" w:ascii="宋体" w:hAnsi="宋体" w:eastAsia="宋体"/>
          <w:kern w:val="0"/>
          <w:sz w:val="28"/>
          <w:szCs w:val="28"/>
        </w:rPr>
        <w:t>固定样地/样方需建立永久性标志。植物物种鉴定需准确，疑难物种采集标本或拍照留存。调查人员须具备一定专业知识，保持方法一致性。</w:t>
      </w:r>
    </w:p>
    <w:p w14:paraId="0E6E20C0">
      <w:pPr>
        <w:spacing w:line="360" w:lineRule="auto"/>
        <w:rPr>
          <w:rFonts w:hint="eastAsia" w:ascii="宋体" w:hAnsi="宋体" w:eastAsia="宋体"/>
          <w:kern w:val="0"/>
          <w:sz w:val="28"/>
          <w:szCs w:val="28"/>
        </w:rPr>
      </w:pPr>
      <w:r>
        <w:rPr>
          <w:rFonts w:hint="eastAsia" w:ascii="宋体" w:hAnsi="宋体"/>
          <w:kern w:val="0"/>
          <w:sz w:val="28"/>
          <w:szCs w:val="28"/>
          <w:lang w:eastAsia="zh-CN"/>
        </w:rPr>
        <w:t>（</w:t>
      </w:r>
      <w:r>
        <w:rPr>
          <w:rFonts w:hint="eastAsia" w:ascii="宋体" w:hAnsi="宋体"/>
          <w:kern w:val="0"/>
          <w:sz w:val="28"/>
          <w:szCs w:val="28"/>
          <w:lang w:val="en-US" w:eastAsia="zh-CN"/>
        </w:rPr>
        <w:t>6</w:t>
      </w:r>
      <w:r>
        <w:rPr>
          <w:rFonts w:hint="eastAsia" w:ascii="宋体" w:hAnsi="宋体"/>
          <w:kern w:val="0"/>
          <w:sz w:val="28"/>
          <w:szCs w:val="28"/>
          <w:lang w:eastAsia="zh-CN"/>
        </w:rPr>
        <w:t>）</w:t>
      </w:r>
      <w:r>
        <w:rPr>
          <w:rFonts w:hint="eastAsia" w:ascii="宋体" w:hAnsi="宋体" w:eastAsia="宋体"/>
          <w:kern w:val="0"/>
          <w:sz w:val="28"/>
          <w:szCs w:val="28"/>
        </w:rPr>
        <w:t>监测</w:t>
      </w:r>
      <w:r>
        <w:rPr>
          <w:rFonts w:hint="eastAsia" w:ascii="宋体" w:hAnsi="宋体"/>
          <w:kern w:val="0"/>
          <w:sz w:val="28"/>
          <w:szCs w:val="28"/>
          <w:lang w:val="en-US" w:eastAsia="zh-CN"/>
        </w:rPr>
        <w:t>频率与</w:t>
      </w:r>
      <w:r>
        <w:rPr>
          <w:rFonts w:hint="eastAsia" w:ascii="宋体" w:hAnsi="宋体" w:eastAsia="宋体"/>
          <w:kern w:val="0"/>
          <w:sz w:val="28"/>
          <w:szCs w:val="28"/>
        </w:rPr>
        <w:t>时限</w:t>
      </w:r>
    </w:p>
    <w:p w14:paraId="2A353EFE">
      <w:pPr>
        <w:spacing w:line="360" w:lineRule="auto"/>
        <w:rPr>
          <w:rFonts w:hint="eastAsia" w:ascii="宋体" w:hAnsi="宋体" w:eastAsia="宋体"/>
          <w:kern w:val="0"/>
          <w:sz w:val="28"/>
          <w:szCs w:val="28"/>
        </w:rPr>
      </w:pPr>
      <w:r>
        <w:rPr>
          <w:rFonts w:hint="eastAsia" w:ascii="宋体" w:hAnsi="宋体"/>
          <w:kern w:val="0"/>
          <w:sz w:val="28"/>
          <w:szCs w:val="28"/>
          <w:lang w:val="en-US" w:eastAsia="zh-CN"/>
        </w:rPr>
        <w:t>监测频率为每季度1次，每年4次。</w:t>
      </w:r>
      <w:r>
        <w:rPr>
          <w:rFonts w:hint="eastAsia" w:ascii="宋体" w:hAnsi="宋体" w:eastAsia="宋体"/>
          <w:kern w:val="0"/>
          <w:sz w:val="28"/>
          <w:szCs w:val="28"/>
        </w:rPr>
        <w:t>监测年限为</w:t>
      </w:r>
      <w:r>
        <w:rPr>
          <w:rFonts w:hint="eastAsia" w:ascii="宋体" w:hAnsi="宋体" w:eastAsia="宋体"/>
          <w:kern w:val="0"/>
          <w:sz w:val="28"/>
          <w:szCs w:val="28"/>
          <w:highlight w:val="none"/>
        </w:rPr>
        <w:t>监测年限为</w:t>
      </w:r>
      <w:r>
        <w:rPr>
          <w:rFonts w:hint="eastAsia" w:ascii="宋体" w:hAnsi="宋体"/>
          <w:kern w:val="0"/>
          <w:sz w:val="28"/>
          <w:szCs w:val="28"/>
          <w:highlight w:val="none"/>
          <w:lang w:val="en-US" w:eastAsia="zh-CN"/>
        </w:rPr>
        <w:t>矿山开采期与恢复治理期6.5年</w:t>
      </w:r>
      <w:r>
        <w:rPr>
          <w:rFonts w:hint="eastAsia" w:ascii="宋体" w:hAnsi="宋体" w:eastAsia="宋体"/>
          <w:kern w:val="0"/>
          <w:sz w:val="28"/>
          <w:szCs w:val="28"/>
          <w:highlight w:val="none"/>
        </w:rPr>
        <w:t>。</w:t>
      </w:r>
    </w:p>
    <w:p w14:paraId="2123C467">
      <w:pPr>
        <w:pStyle w:val="5"/>
        <w:numPr>
          <w:ilvl w:val="0"/>
          <w:numId w:val="0"/>
        </w:numPr>
        <w:spacing w:before="263" w:after="263"/>
        <w:ind w:firstLine="0" w:firstLineChars="0"/>
        <w:rPr>
          <w:rFonts w:hint="eastAsia" w:ascii="宋体" w:hAnsi="宋体" w:eastAsia="宋体" w:cs="宋体"/>
          <w:b/>
          <w:bCs w:val="0"/>
          <w:lang w:eastAsia="zh-CN"/>
        </w:rPr>
      </w:pPr>
      <w:bookmarkStart w:id="413" w:name="_Toc11025"/>
      <w:r>
        <w:rPr>
          <w:rFonts w:hint="eastAsia" w:ascii="宋体" w:hAnsi="宋体" w:eastAsia="宋体" w:cs="宋体"/>
          <w:b/>
          <w:bCs w:val="0"/>
          <w:sz w:val="30"/>
          <w:szCs w:val="32"/>
          <w:lang w:val="en-US" w:eastAsia="zh-CN" w:bidi="ar-SA"/>
        </w:rPr>
        <w:t>二、</w:t>
      </w:r>
      <w:r>
        <w:rPr>
          <w:rFonts w:hint="eastAsia" w:ascii="宋体" w:hAnsi="宋体" w:eastAsia="宋体" w:cs="宋体"/>
          <w:b/>
          <w:bCs w:val="0"/>
          <w:lang w:eastAsia="zh-CN"/>
        </w:rPr>
        <w:t>管护</w:t>
      </w:r>
      <w:r>
        <w:rPr>
          <w:rFonts w:hint="eastAsia" w:ascii="宋体" w:hAnsi="宋体" w:eastAsia="宋体" w:cs="宋体"/>
          <w:b/>
          <w:bCs w:val="0"/>
          <w:lang w:val="en-US" w:eastAsia="zh-CN"/>
        </w:rPr>
        <w:t>目标与</w:t>
      </w:r>
      <w:r>
        <w:rPr>
          <w:rFonts w:hint="eastAsia" w:ascii="宋体" w:hAnsi="宋体" w:eastAsia="宋体" w:cs="宋体"/>
          <w:b/>
          <w:bCs w:val="0"/>
          <w:lang w:eastAsia="zh-CN"/>
        </w:rPr>
        <w:t>措施</w:t>
      </w:r>
      <w:bookmarkEnd w:id="413"/>
    </w:p>
    <w:p w14:paraId="4C7CF2A6">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（一）目标任务</w:t>
      </w:r>
    </w:p>
    <w:p w14:paraId="1767E9BA">
      <w:pPr>
        <w:spacing w:line="360" w:lineRule="auto"/>
        <w:rPr>
          <w:rFonts w:hint="eastAsia" w:ascii="宋体" w:hAnsi="宋体" w:eastAsia="宋体"/>
          <w:kern w:val="0"/>
          <w:sz w:val="28"/>
          <w:szCs w:val="28"/>
        </w:rPr>
      </w:pPr>
      <w:r>
        <w:rPr>
          <w:rFonts w:hint="eastAsia" w:ascii="宋体" w:hAnsi="宋体" w:eastAsia="宋体"/>
          <w:kern w:val="0"/>
          <w:sz w:val="28"/>
          <w:szCs w:val="28"/>
        </w:rPr>
        <w:t>土地复垦管护目标主要任务为养护期限</w:t>
      </w:r>
      <w:r>
        <w:rPr>
          <w:rFonts w:hint="eastAsia" w:ascii="宋体" w:hAnsi="宋体"/>
          <w:kern w:val="0"/>
          <w:sz w:val="28"/>
          <w:szCs w:val="28"/>
          <w:lang w:val="en-US" w:eastAsia="zh-CN"/>
        </w:rPr>
        <w:t>3</w:t>
      </w:r>
      <w:r>
        <w:rPr>
          <w:rFonts w:hint="eastAsia" w:ascii="宋体" w:hAnsi="宋体" w:eastAsia="宋体"/>
          <w:kern w:val="0"/>
          <w:sz w:val="28"/>
          <w:szCs w:val="28"/>
        </w:rPr>
        <w:t>年内对矿山植被管护，使管护期间</w:t>
      </w:r>
      <w:r>
        <w:rPr>
          <w:rFonts w:hint="eastAsia" w:ascii="宋体" w:hAnsi="宋体"/>
          <w:kern w:val="0"/>
          <w:sz w:val="28"/>
          <w:szCs w:val="28"/>
          <w:lang w:val="en-US" w:eastAsia="zh-CN"/>
        </w:rPr>
        <w:t>3</w:t>
      </w:r>
      <w:r>
        <w:rPr>
          <w:rFonts w:hint="eastAsia" w:ascii="宋体" w:hAnsi="宋体" w:eastAsia="宋体"/>
          <w:kern w:val="0"/>
          <w:sz w:val="28"/>
          <w:szCs w:val="28"/>
        </w:rPr>
        <w:t>年后植树保存率</w:t>
      </w:r>
      <w:r>
        <w:rPr>
          <w:rFonts w:hint="eastAsia" w:ascii="宋体" w:hAnsi="宋体"/>
          <w:kern w:val="0"/>
          <w:sz w:val="28"/>
          <w:szCs w:val="28"/>
          <w:lang w:val="en-US" w:eastAsia="zh-CN"/>
        </w:rPr>
        <w:t>85</w:t>
      </w:r>
      <w:r>
        <w:rPr>
          <w:rFonts w:hint="eastAsia" w:ascii="宋体" w:hAnsi="宋体" w:eastAsia="宋体"/>
          <w:kern w:val="0"/>
          <w:sz w:val="28"/>
          <w:szCs w:val="28"/>
        </w:rPr>
        <w:t>%以上，</w:t>
      </w:r>
      <w:r>
        <w:rPr>
          <w:rFonts w:hint="eastAsia" w:ascii="宋体" w:hAnsi="宋体"/>
          <w:kern w:val="0"/>
          <w:sz w:val="28"/>
          <w:szCs w:val="28"/>
          <w:lang w:val="en-US" w:eastAsia="zh-CN"/>
        </w:rPr>
        <w:t>3</w:t>
      </w:r>
      <w:r>
        <w:rPr>
          <w:rFonts w:hint="eastAsia" w:ascii="宋体" w:hAnsi="宋体" w:eastAsia="宋体"/>
          <w:kern w:val="0"/>
          <w:sz w:val="28"/>
          <w:szCs w:val="28"/>
        </w:rPr>
        <w:t>年后郁闭度达</w:t>
      </w:r>
      <w:r>
        <w:rPr>
          <w:rFonts w:hint="eastAsia" w:ascii="宋体" w:hAnsi="宋体"/>
          <w:kern w:val="0"/>
          <w:sz w:val="28"/>
          <w:szCs w:val="28"/>
          <w:lang w:val="en-US" w:eastAsia="zh-CN"/>
        </w:rPr>
        <w:t>40</w:t>
      </w:r>
      <w:r>
        <w:rPr>
          <w:rFonts w:hint="eastAsia" w:ascii="宋体" w:hAnsi="宋体" w:eastAsia="宋体"/>
          <w:kern w:val="0"/>
          <w:sz w:val="28"/>
          <w:szCs w:val="28"/>
        </w:rPr>
        <w:t>%以上。成活率不足时应及时补植。后期管护包括对植被浇水、施肥、除虫、补植等。</w:t>
      </w:r>
    </w:p>
    <w:p w14:paraId="5E3420EA">
      <w:pPr>
        <w:spacing w:line="360" w:lineRule="auto"/>
        <w:rPr>
          <w:rFonts w:hint="eastAsia" w:ascii="宋体" w:hAnsi="宋体" w:eastAsia="宋体"/>
          <w:kern w:val="0"/>
          <w:sz w:val="28"/>
          <w:szCs w:val="28"/>
        </w:rPr>
      </w:pPr>
      <w:r>
        <w:rPr>
          <w:rFonts w:hint="eastAsia" w:ascii="宋体" w:hAnsi="宋体" w:eastAsia="宋体"/>
          <w:kern w:val="0"/>
          <w:sz w:val="28"/>
          <w:szCs w:val="28"/>
        </w:rPr>
        <w:t>通过实施复垦修复管护工程，保证复垦修复工程能按时、保质、保量完成，是调整生态修复方案中复垦目标、标准、措施及计划安排的重要依据，同时也是预防和减少土地造成损毁的重要手段之一。明确企业管护→竣工验收→移交村集体/政府流程与管护台账。</w:t>
      </w:r>
    </w:p>
    <w:p w14:paraId="10DF9E08">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（二）管护措施</w:t>
      </w:r>
    </w:p>
    <w:p w14:paraId="6DBE5765">
      <w:pPr>
        <w:spacing w:line="360" w:lineRule="auto"/>
        <w:rPr>
          <w:rFonts w:hint="eastAsia" w:ascii="宋体" w:hAnsi="宋体" w:eastAsia="宋体"/>
          <w:kern w:val="0"/>
          <w:sz w:val="28"/>
          <w:szCs w:val="28"/>
        </w:rPr>
      </w:pPr>
      <w:r>
        <w:rPr>
          <w:rFonts w:hint="eastAsia" w:ascii="宋体" w:hAnsi="宋体" w:eastAsia="宋体"/>
          <w:kern w:val="0"/>
          <w:sz w:val="28"/>
          <w:szCs w:val="28"/>
        </w:rPr>
        <w:t>管护措施：管护内容主要包括水分管理、营养管理以及病虫防治。</w:t>
      </w:r>
    </w:p>
    <w:p w14:paraId="3A2BAA43">
      <w:pPr>
        <w:spacing w:line="360" w:lineRule="auto"/>
        <w:rPr>
          <w:rFonts w:hint="eastAsia" w:ascii="宋体" w:hAnsi="宋体" w:eastAsia="宋体"/>
          <w:kern w:val="0"/>
          <w:sz w:val="28"/>
          <w:szCs w:val="28"/>
        </w:rPr>
      </w:pPr>
      <w:r>
        <w:rPr>
          <w:rFonts w:hint="eastAsia" w:ascii="宋体" w:hAnsi="宋体" w:eastAsia="宋体"/>
          <w:kern w:val="0"/>
          <w:sz w:val="28"/>
          <w:szCs w:val="28"/>
        </w:rPr>
        <w:t>1、水分管理</w:t>
      </w:r>
    </w:p>
    <w:p w14:paraId="7BED4C09">
      <w:pPr>
        <w:spacing w:line="360" w:lineRule="auto"/>
        <w:rPr>
          <w:rFonts w:hint="default" w:ascii="Times New Roman" w:hAnsi="Times New Roman" w:eastAsia="宋体" w:cs="Times New Roman"/>
          <w:kern w:val="0"/>
          <w:sz w:val="28"/>
          <w:szCs w:val="28"/>
        </w:rPr>
      </w:pPr>
      <w:r>
        <w:rPr>
          <w:rFonts w:hint="default" w:ascii="Times New Roman" w:hAnsi="Times New Roman" w:eastAsia="宋体" w:cs="Times New Roman"/>
          <w:kern w:val="0"/>
          <w:sz w:val="28"/>
          <w:szCs w:val="28"/>
        </w:rPr>
        <w:t>主要是通过植树带内植树行间和行内的除草松土，防止干旱灾害，以促使幼林正常生长和及早郁闭。植被恢复后前2年，每年除草2次，而后每年除草1次。栽植后，半年进行第一次松土，在第二年进行第二次松土，间隔半年进行第三次松土，每年雨后进行一次穴内松土，松土深度5~10cm。在有条件的地方可以适当地做一些灌溉，以保护林带苗木的成活率，水源来自矿山。</w:t>
      </w:r>
    </w:p>
    <w:p w14:paraId="598AFDCA">
      <w:pPr>
        <w:spacing w:line="360" w:lineRule="auto"/>
        <w:rPr>
          <w:rFonts w:hint="eastAsia" w:ascii="宋体" w:hAnsi="宋体" w:eastAsia="宋体"/>
          <w:kern w:val="0"/>
          <w:sz w:val="28"/>
          <w:szCs w:val="28"/>
        </w:rPr>
      </w:pPr>
      <w:r>
        <w:rPr>
          <w:rFonts w:hint="eastAsia" w:ascii="宋体" w:hAnsi="宋体" w:eastAsia="宋体"/>
          <w:kern w:val="0"/>
          <w:sz w:val="28"/>
          <w:szCs w:val="28"/>
        </w:rPr>
        <w:t>2、营养管理</w:t>
      </w:r>
    </w:p>
    <w:p w14:paraId="6F092940">
      <w:pPr>
        <w:spacing w:line="360" w:lineRule="auto"/>
        <w:rPr>
          <w:rFonts w:hint="eastAsia" w:ascii="宋体" w:hAnsi="宋体" w:eastAsia="宋体"/>
          <w:kern w:val="0"/>
          <w:sz w:val="28"/>
          <w:szCs w:val="28"/>
        </w:rPr>
      </w:pPr>
      <w:r>
        <w:rPr>
          <w:rFonts w:hint="eastAsia" w:ascii="宋体" w:hAnsi="宋体" w:eastAsia="宋体"/>
          <w:kern w:val="0"/>
          <w:sz w:val="28"/>
          <w:szCs w:val="28"/>
        </w:rPr>
        <w:t>在土壤营养条件不好的情况下，植被的抚育应以防旱施肥为主。每年春季都应该安排专人对复垦的林地进行巡查，是否有缺苗、死苗的现象出现，如果出现以上现象，应及时补植，同时有条件的地方要施肥。</w:t>
      </w:r>
    </w:p>
    <w:p w14:paraId="4D8067D9">
      <w:pPr>
        <w:spacing w:line="360" w:lineRule="auto"/>
        <w:rPr>
          <w:rFonts w:hint="eastAsia" w:ascii="宋体" w:hAnsi="宋体" w:eastAsia="宋体"/>
          <w:kern w:val="0"/>
          <w:sz w:val="28"/>
          <w:szCs w:val="28"/>
        </w:rPr>
      </w:pPr>
      <w:r>
        <w:rPr>
          <w:rFonts w:hint="eastAsia" w:ascii="宋体" w:hAnsi="宋体" w:eastAsia="宋体"/>
          <w:kern w:val="0"/>
          <w:sz w:val="28"/>
          <w:szCs w:val="28"/>
        </w:rPr>
        <w:t>3、林木病虫害防治</w:t>
      </w:r>
    </w:p>
    <w:p w14:paraId="34802805">
      <w:pPr>
        <w:spacing w:line="360" w:lineRule="auto"/>
        <w:rPr>
          <w:rFonts w:hint="eastAsia" w:ascii="宋体" w:hAnsi="宋体" w:eastAsia="宋体"/>
          <w:kern w:val="0"/>
          <w:sz w:val="28"/>
          <w:szCs w:val="28"/>
        </w:rPr>
      </w:pPr>
      <w:r>
        <w:rPr>
          <w:rFonts w:hint="eastAsia" w:ascii="宋体" w:hAnsi="宋体" w:eastAsia="宋体"/>
          <w:kern w:val="0"/>
          <w:sz w:val="28"/>
          <w:szCs w:val="28"/>
        </w:rPr>
        <w:t>对于林带中出现各类树木的病、虫、害等要及时的进行管护。对于病株要及时砍伐防止扩散，对于虫害要及时的施用药品等控制灾害的发生。</w:t>
      </w:r>
    </w:p>
    <w:p w14:paraId="338C221B">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（三）管护方法</w:t>
      </w:r>
    </w:p>
    <w:p w14:paraId="3DB27D20">
      <w:pPr>
        <w:spacing w:line="360" w:lineRule="auto"/>
        <w:rPr>
          <w:rFonts w:hint="eastAsia" w:ascii="宋体" w:hAnsi="宋体" w:eastAsia="宋体"/>
          <w:kern w:val="0"/>
          <w:sz w:val="28"/>
          <w:szCs w:val="28"/>
        </w:rPr>
      </w:pPr>
      <w:r>
        <w:rPr>
          <w:rFonts w:hint="eastAsia" w:ascii="宋体" w:hAnsi="宋体" w:eastAsia="宋体"/>
          <w:kern w:val="0"/>
          <w:sz w:val="28"/>
          <w:szCs w:val="28"/>
        </w:rPr>
        <w:t>1、在管护期，要安排懂得植被管护知识的专业技术人员负责管护工作。并制定植被管护技术方案；</w:t>
      </w:r>
    </w:p>
    <w:p w14:paraId="080B6D12">
      <w:pPr>
        <w:spacing w:line="360" w:lineRule="auto"/>
        <w:rPr>
          <w:rFonts w:hint="eastAsia" w:ascii="宋体" w:hAnsi="宋体" w:eastAsia="宋体"/>
          <w:kern w:val="0"/>
          <w:sz w:val="28"/>
          <w:szCs w:val="28"/>
        </w:rPr>
      </w:pPr>
      <w:r>
        <w:rPr>
          <w:rFonts w:hint="eastAsia" w:ascii="宋体" w:hAnsi="宋体" w:eastAsia="宋体"/>
          <w:kern w:val="0"/>
          <w:sz w:val="28"/>
          <w:szCs w:val="28"/>
        </w:rPr>
        <w:t>2、在抚育过程中，要及时除草松土，抗旱排涝，加强病虫害的防治工作，发现病害及时喷洒杀虫剂；</w:t>
      </w:r>
    </w:p>
    <w:p w14:paraId="4E9F5294">
      <w:pPr>
        <w:spacing w:line="360" w:lineRule="auto"/>
        <w:rPr>
          <w:rFonts w:hint="eastAsia" w:ascii="宋体" w:hAnsi="宋体" w:eastAsia="宋体"/>
          <w:kern w:val="0"/>
          <w:sz w:val="28"/>
          <w:szCs w:val="28"/>
        </w:rPr>
      </w:pPr>
      <w:r>
        <w:rPr>
          <w:rFonts w:hint="eastAsia" w:ascii="宋体" w:hAnsi="宋体" w:eastAsia="宋体"/>
          <w:kern w:val="0"/>
          <w:sz w:val="28"/>
          <w:szCs w:val="28"/>
        </w:rPr>
        <w:t>3、一年后树苗成活率达不到90%的，要进行补栽，保证三年后树木的保存率90%以上，郁闭度35%以上；</w:t>
      </w:r>
    </w:p>
    <w:p w14:paraId="332711DE">
      <w:pPr>
        <w:spacing w:line="360" w:lineRule="auto"/>
        <w:rPr>
          <w:rFonts w:hint="eastAsia" w:ascii="宋体" w:hAnsi="宋体" w:eastAsia="宋体"/>
          <w:kern w:val="0"/>
          <w:sz w:val="28"/>
          <w:szCs w:val="28"/>
        </w:rPr>
      </w:pPr>
      <w:r>
        <w:rPr>
          <w:rFonts w:hint="eastAsia" w:ascii="宋体" w:hAnsi="宋体" w:eastAsia="宋体"/>
          <w:kern w:val="0"/>
          <w:sz w:val="28"/>
          <w:szCs w:val="28"/>
        </w:rPr>
        <w:t>4、每年要从根部往上50-60cm处修剪枯枝、老枝，修剪时要紧贴主干不留茬；</w:t>
      </w:r>
    </w:p>
    <w:p w14:paraId="7CE54E8E">
      <w:pPr>
        <w:spacing w:line="360" w:lineRule="auto"/>
        <w:rPr>
          <w:rFonts w:hint="eastAsia" w:ascii="宋体" w:hAnsi="宋体" w:eastAsia="宋体"/>
          <w:kern w:val="0"/>
          <w:sz w:val="28"/>
          <w:szCs w:val="28"/>
        </w:rPr>
      </w:pPr>
      <w:r>
        <w:rPr>
          <w:rFonts w:hint="eastAsia" w:ascii="宋体" w:hAnsi="宋体" w:eastAsia="宋体"/>
          <w:kern w:val="0"/>
          <w:sz w:val="28"/>
          <w:szCs w:val="28"/>
        </w:rPr>
        <w:t>5、注意防火和防冻，有效保证树苗茁壮成长。</w:t>
      </w:r>
    </w:p>
    <w:p w14:paraId="3B26F560">
      <w:pPr>
        <w:spacing w:line="360" w:lineRule="auto"/>
        <w:rPr>
          <w:rFonts w:hint="eastAsia" w:ascii="宋体" w:hAnsi="宋体" w:eastAsia="宋体"/>
          <w:kern w:val="0"/>
          <w:sz w:val="28"/>
          <w:szCs w:val="28"/>
        </w:rPr>
      </w:pPr>
      <w:r>
        <w:rPr>
          <w:rFonts w:hint="eastAsia" w:ascii="宋体" w:hAnsi="宋体" w:eastAsia="宋体"/>
          <w:kern w:val="0"/>
          <w:sz w:val="28"/>
          <w:szCs w:val="28"/>
        </w:rPr>
        <w:t>6、管护时间为</w:t>
      </w:r>
      <w:r>
        <w:rPr>
          <w:rFonts w:hint="eastAsia" w:ascii="宋体" w:hAnsi="宋体"/>
          <w:kern w:val="0"/>
          <w:sz w:val="28"/>
          <w:szCs w:val="28"/>
          <w:highlight w:val="none"/>
          <w:lang w:val="en-US" w:eastAsia="zh-CN"/>
        </w:rPr>
        <w:t>3</w:t>
      </w:r>
      <w:r>
        <w:rPr>
          <w:rFonts w:hint="eastAsia" w:ascii="宋体" w:hAnsi="宋体" w:eastAsia="宋体"/>
          <w:kern w:val="0"/>
          <w:sz w:val="28"/>
          <w:szCs w:val="28"/>
          <w:highlight w:val="none"/>
        </w:rPr>
        <w:t>年，</w:t>
      </w:r>
      <w:r>
        <w:rPr>
          <w:rFonts w:hint="eastAsia" w:ascii="宋体" w:hAnsi="宋体" w:eastAsia="宋体"/>
          <w:kern w:val="0"/>
          <w:sz w:val="28"/>
          <w:szCs w:val="28"/>
        </w:rPr>
        <w:t>管护面积</w:t>
      </w:r>
      <w:r>
        <w:rPr>
          <w:rFonts w:hint="eastAsia" w:ascii="宋体" w:hAnsi="宋体"/>
          <w:kern w:val="0"/>
          <w:sz w:val="28"/>
          <w:szCs w:val="28"/>
          <w:lang w:val="en-US" w:eastAsia="zh-CN"/>
        </w:rPr>
        <w:t>8.9904</w:t>
      </w:r>
      <w:r>
        <w:rPr>
          <w:rFonts w:hint="eastAsia" w:ascii="宋体" w:hAnsi="宋体" w:eastAsia="宋体"/>
          <w:kern w:val="0"/>
          <w:sz w:val="28"/>
          <w:szCs w:val="28"/>
        </w:rPr>
        <w:t>hm²。</w:t>
      </w:r>
    </w:p>
    <w:p w14:paraId="0A030AF9">
      <w:pPr>
        <w:pStyle w:val="6"/>
        <w:spacing w:before="131" w:after="131"/>
        <w:rPr>
          <w:rFonts w:hint="default" w:ascii="宋体" w:hAnsi="宋体" w:eastAsia="宋体" w:cs="宋体"/>
          <w:b/>
          <w:bCs/>
          <w:lang w:val="en-US" w:eastAsia="zh-CN"/>
        </w:rPr>
      </w:pPr>
      <w:r>
        <w:rPr>
          <w:rFonts w:hint="eastAsia" w:ascii="宋体" w:hAnsi="宋体" w:eastAsia="宋体" w:cs="宋体"/>
          <w:b/>
          <w:bCs/>
          <w:lang w:val="en-US" w:eastAsia="zh-CN"/>
        </w:rPr>
        <w:t>（四）管护责任程序</w:t>
      </w:r>
    </w:p>
    <w:p w14:paraId="00E36E32">
      <w:pPr>
        <w:spacing w:line="360" w:lineRule="auto"/>
        <w:rPr>
          <w:rFonts w:hint="eastAsia" w:ascii="宋体" w:hAnsi="宋体" w:eastAsia="宋体"/>
          <w:kern w:val="0"/>
          <w:sz w:val="28"/>
          <w:szCs w:val="28"/>
        </w:rPr>
      </w:pPr>
      <w:r>
        <w:rPr>
          <w:rFonts w:hint="eastAsia" w:ascii="宋体" w:hAnsi="宋体" w:eastAsia="宋体"/>
          <w:kern w:val="0"/>
          <w:sz w:val="28"/>
          <w:szCs w:val="28"/>
          <w:lang w:val="en-US" w:eastAsia="zh-CN"/>
        </w:rPr>
        <w:t>管护主体随</w:t>
      </w:r>
      <w:r>
        <w:rPr>
          <w:rFonts w:hint="eastAsia" w:ascii="宋体" w:hAnsi="宋体" w:eastAsia="宋体"/>
          <w:kern w:val="0"/>
          <w:sz w:val="28"/>
          <w:szCs w:val="28"/>
        </w:rPr>
        <w:t>管护责任随时间和阶段变化，主要分为两个阶段：施工</w:t>
      </w:r>
      <w:r>
        <w:rPr>
          <w:rFonts w:hint="eastAsia" w:ascii="宋体" w:hAnsi="宋体"/>
          <w:kern w:val="0"/>
          <w:sz w:val="28"/>
          <w:szCs w:val="28"/>
          <w:lang w:val="en-US" w:eastAsia="zh-CN"/>
        </w:rPr>
        <w:t>及管护期</w:t>
      </w:r>
      <w:r>
        <w:rPr>
          <w:rFonts w:hint="eastAsia" w:ascii="宋体" w:hAnsi="宋体" w:eastAsia="宋体"/>
          <w:kern w:val="0"/>
          <w:sz w:val="28"/>
          <w:szCs w:val="28"/>
          <w:lang w:val="en-US" w:eastAsia="zh-CN"/>
        </w:rPr>
        <w:t>由</w:t>
      </w:r>
      <w:r>
        <w:rPr>
          <w:rFonts w:hint="eastAsia" w:ascii="宋体" w:hAnsi="宋体" w:eastAsia="宋体"/>
          <w:kern w:val="0"/>
          <w:sz w:val="28"/>
          <w:szCs w:val="28"/>
        </w:rPr>
        <w:t>采矿权人承担直接管护责任。项目验收移交后，由原土地所有权人（村集体）或</w:t>
      </w:r>
      <w:r>
        <w:rPr>
          <w:rFonts w:hint="eastAsia" w:ascii="宋体" w:hAnsi="宋体" w:eastAsia="宋体"/>
          <w:kern w:val="0"/>
          <w:sz w:val="28"/>
          <w:szCs w:val="28"/>
          <w:lang w:val="en-US" w:eastAsia="zh-CN"/>
        </w:rPr>
        <w:t>乡镇</w:t>
      </w:r>
      <w:r>
        <w:rPr>
          <w:rFonts w:hint="eastAsia" w:ascii="宋体" w:hAnsi="宋体" w:eastAsia="宋体"/>
          <w:kern w:val="0"/>
          <w:sz w:val="28"/>
          <w:szCs w:val="28"/>
        </w:rPr>
        <w:t>级政府指定的单位承担管护主体责任。移交主体为项目的组织实施单位（修复责任义务人）。接收方为项目所在地的乡镇人民政府，或土地权属</w:t>
      </w:r>
      <w:r>
        <w:rPr>
          <w:rFonts w:hint="eastAsia" w:ascii="宋体" w:hAnsi="宋体" w:eastAsia="宋体"/>
          <w:kern w:val="0"/>
          <w:sz w:val="28"/>
          <w:szCs w:val="28"/>
          <w:lang w:val="en-US" w:eastAsia="zh-CN"/>
        </w:rPr>
        <w:t>人</w:t>
      </w:r>
      <w:r>
        <w:rPr>
          <w:rFonts w:hint="eastAsia" w:ascii="宋体" w:hAnsi="宋体" w:eastAsia="宋体"/>
          <w:kern w:val="0"/>
          <w:sz w:val="28"/>
          <w:szCs w:val="28"/>
        </w:rPr>
        <w:t>。项目通过最终竣工验收且施工质保管护期届满，工程质量符合设计要求。地方政府提前确定后期管护责任单位，并签订管护合同，明确管护时限、内容及经费来源。移交方与接收方签订《项目移交书》或《移交协议》，对移交范围、工程实体、设施完好情况进行确认。同步移交项目</w:t>
      </w:r>
      <w:r>
        <w:rPr>
          <w:rFonts w:hint="eastAsia" w:ascii="宋体" w:hAnsi="宋体"/>
          <w:kern w:val="0"/>
          <w:sz w:val="28"/>
          <w:szCs w:val="28"/>
          <w:lang w:val="en-US" w:eastAsia="zh-CN"/>
        </w:rPr>
        <w:t>相关资料</w:t>
      </w:r>
      <w:r>
        <w:rPr>
          <w:rFonts w:hint="eastAsia" w:ascii="宋体" w:hAnsi="宋体" w:eastAsia="宋体"/>
          <w:kern w:val="0"/>
          <w:sz w:val="28"/>
          <w:szCs w:val="28"/>
        </w:rPr>
        <w:t>等，并存档备案。接收方正式接管，开展日常巡查、养护（如补植、设施维护）及后续土地利用管理。</w:t>
      </w:r>
    </w:p>
    <w:p w14:paraId="63DB02BA">
      <w:pPr>
        <w:pStyle w:val="5"/>
        <w:spacing w:before="263" w:after="263"/>
        <w:rPr>
          <w:rFonts w:hint="default" w:ascii="宋体" w:hAnsi="宋体" w:eastAsia="宋体" w:cs="宋体"/>
          <w:b/>
          <w:bCs w:val="0"/>
          <w:lang w:val="en-US" w:eastAsia="zh-CN"/>
        </w:rPr>
      </w:pPr>
      <w:bookmarkStart w:id="414" w:name="_Toc502047670"/>
      <w:bookmarkStart w:id="415" w:name="_Toc502045831"/>
      <w:bookmarkStart w:id="416" w:name="_Toc502045057"/>
      <w:bookmarkStart w:id="417" w:name="_Toc502044874"/>
      <w:bookmarkStart w:id="418" w:name="_Toc502047874"/>
      <w:bookmarkStart w:id="419" w:name="_Toc31635"/>
      <w:r>
        <w:rPr>
          <w:rFonts w:hint="eastAsia" w:ascii="宋体" w:hAnsi="宋体" w:eastAsia="宋体" w:cs="宋体"/>
          <w:b/>
          <w:bCs w:val="0"/>
          <w:lang w:val="en-US" w:eastAsia="zh-CN"/>
        </w:rPr>
        <w:t>三、工程量</w:t>
      </w:r>
      <w:bookmarkEnd w:id="414"/>
      <w:bookmarkEnd w:id="415"/>
      <w:bookmarkEnd w:id="416"/>
      <w:bookmarkEnd w:id="417"/>
      <w:bookmarkEnd w:id="418"/>
      <w:r>
        <w:rPr>
          <w:rFonts w:hint="eastAsia" w:ascii="宋体" w:hAnsi="宋体" w:eastAsia="宋体" w:cs="宋体"/>
          <w:b/>
          <w:bCs w:val="0"/>
          <w:lang w:val="en-US" w:eastAsia="zh-CN"/>
        </w:rPr>
        <w:t>统计</w:t>
      </w:r>
      <w:bookmarkEnd w:id="419"/>
    </w:p>
    <w:p w14:paraId="085ECFD5">
      <w:pPr>
        <w:spacing w:line="360" w:lineRule="auto"/>
        <w:rPr>
          <w:rFonts w:hint="eastAsia"/>
          <w:sz w:val="28"/>
          <w:szCs w:val="28"/>
          <w:lang w:val="en-US" w:eastAsia="zh-CN"/>
        </w:rPr>
      </w:pPr>
      <w:r>
        <w:rPr>
          <w:rFonts w:hint="eastAsia"/>
          <w:sz w:val="28"/>
          <w:szCs w:val="28"/>
          <w:lang w:val="en-US" w:eastAsia="zh-CN"/>
        </w:rPr>
        <w:t>监测及管护工程量见下表5-1：</w:t>
      </w:r>
    </w:p>
    <w:p w14:paraId="433B25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表5-1      矿区监测与管护工程量表</w:t>
      </w:r>
    </w:p>
    <w:tbl>
      <w:tblPr>
        <w:tblStyle w:val="91"/>
        <w:tblW w:w="50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62"/>
        <w:gridCol w:w="2455"/>
        <w:gridCol w:w="1858"/>
        <w:gridCol w:w="1858"/>
        <w:gridCol w:w="1370"/>
      </w:tblGrid>
      <w:tr w14:paraId="75C51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717" w:type="pct"/>
            <w:shd w:val="clear" w:color="auto" w:fill="auto"/>
            <w:noWrap w:val="0"/>
            <w:vAlign w:val="center"/>
          </w:tcPr>
          <w:p w14:paraId="3C7F7684">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b/>
                <w:bCs/>
                <w:kern w:val="0"/>
                <w:sz w:val="24"/>
                <w:szCs w:val="21"/>
                <w:lang w:val="en-US" w:eastAsia="zh-CN" w:bidi="ar-SA"/>
              </w:rPr>
            </w:pPr>
            <w:r>
              <w:rPr>
                <w:rFonts w:ascii="宋体" w:hAnsi="宋体" w:eastAsia="宋体"/>
                <w:b/>
                <w:bCs/>
                <w:kern w:val="0"/>
                <w:szCs w:val="21"/>
              </w:rPr>
              <w:t>序号</w:t>
            </w:r>
          </w:p>
        </w:tc>
        <w:tc>
          <w:tcPr>
            <w:tcW w:w="1394" w:type="pct"/>
            <w:shd w:val="clear" w:color="auto" w:fill="auto"/>
            <w:noWrap w:val="0"/>
            <w:vAlign w:val="center"/>
          </w:tcPr>
          <w:p w14:paraId="05C918CA">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b/>
                <w:bCs/>
                <w:kern w:val="0"/>
                <w:sz w:val="24"/>
                <w:szCs w:val="21"/>
                <w:lang w:val="en-US" w:eastAsia="zh-CN" w:bidi="ar-SA"/>
              </w:rPr>
            </w:pPr>
            <w:r>
              <w:rPr>
                <w:rFonts w:ascii="宋体" w:hAnsi="宋体" w:eastAsia="宋体"/>
                <w:b/>
                <w:bCs/>
                <w:kern w:val="0"/>
                <w:szCs w:val="21"/>
              </w:rPr>
              <w:t>工作项目</w:t>
            </w:r>
          </w:p>
        </w:tc>
        <w:tc>
          <w:tcPr>
            <w:tcW w:w="1055" w:type="pct"/>
            <w:shd w:val="clear" w:color="auto" w:fill="auto"/>
            <w:noWrap w:val="0"/>
            <w:vAlign w:val="center"/>
          </w:tcPr>
          <w:p w14:paraId="06B9B011">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b/>
                <w:bCs/>
                <w:kern w:val="0"/>
                <w:sz w:val="24"/>
                <w:szCs w:val="21"/>
                <w:lang w:val="en-US" w:eastAsia="zh-CN" w:bidi="ar-SA"/>
              </w:rPr>
            </w:pPr>
            <w:r>
              <w:rPr>
                <w:rFonts w:ascii="宋体" w:hAnsi="宋体" w:eastAsia="宋体"/>
                <w:b/>
                <w:bCs/>
                <w:kern w:val="0"/>
                <w:szCs w:val="21"/>
              </w:rPr>
              <w:t>单位</w:t>
            </w:r>
          </w:p>
        </w:tc>
        <w:tc>
          <w:tcPr>
            <w:tcW w:w="1055" w:type="pct"/>
            <w:shd w:val="clear" w:color="auto" w:fill="auto"/>
            <w:noWrap w:val="0"/>
            <w:vAlign w:val="center"/>
          </w:tcPr>
          <w:p w14:paraId="237F6CD0">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b/>
                <w:bCs/>
                <w:kern w:val="0"/>
                <w:sz w:val="24"/>
                <w:szCs w:val="21"/>
                <w:lang w:val="en-US" w:eastAsia="zh-CN" w:bidi="ar-SA"/>
              </w:rPr>
            </w:pPr>
            <w:r>
              <w:rPr>
                <w:rFonts w:ascii="宋体" w:hAnsi="宋体" w:eastAsia="宋体"/>
                <w:b/>
                <w:bCs/>
                <w:kern w:val="0"/>
                <w:szCs w:val="21"/>
              </w:rPr>
              <w:t>工程量</w:t>
            </w:r>
          </w:p>
        </w:tc>
        <w:tc>
          <w:tcPr>
            <w:tcW w:w="778" w:type="pct"/>
            <w:noWrap w:val="0"/>
            <w:vAlign w:val="center"/>
          </w:tcPr>
          <w:p w14:paraId="105A8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备注</w:t>
            </w:r>
          </w:p>
        </w:tc>
      </w:tr>
      <w:tr w14:paraId="6B7CB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717" w:type="pct"/>
            <w:shd w:val="clear" w:color="auto" w:fill="auto"/>
            <w:noWrap w:val="0"/>
            <w:vAlign w:val="center"/>
          </w:tcPr>
          <w:p w14:paraId="629C7F70">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1</w:t>
            </w:r>
          </w:p>
        </w:tc>
        <w:tc>
          <w:tcPr>
            <w:tcW w:w="1394" w:type="pct"/>
            <w:shd w:val="clear" w:color="auto" w:fill="auto"/>
            <w:noWrap w:val="0"/>
            <w:vAlign w:val="center"/>
          </w:tcPr>
          <w:p w14:paraId="0DE36AE4">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监测站点</w:t>
            </w:r>
          </w:p>
        </w:tc>
        <w:tc>
          <w:tcPr>
            <w:tcW w:w="1055" w:type="pct"/>
            <w:shd w:val="clear" w:color="auto" w:fill="auto"/>
            <w:noWrap w:val="0"/>
            <w:vAlign w:val="center"/>
          </w:tcPr>
          <w:p w14:paraId="3670FF49">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p>
        </w:tc>
        <w:tc>
          <w:tcPr>
            <w:tcW w:w="1055" w:type="pct"/>
            <w:shd w:val="clear" w:color="auto" w:fill="auto"/>
            <w:noWrap w:val="0"/>
            <w:vAlign w:val="center"/>
          </w:tcPr>
          <w:p w14:paraId="7E6BD334">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p>
        </w:tc>
        <w:tc>
          <w:tcPr>
            <w:tcW w:w="778" w:type="pct"/>
            <w:noWrap w:val="0"/>
            <w:vAlign w:val="center"/>
          </w:tcPr>
          <w:p w14:paraId="18F60D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p>
        </w:tc>
      </w:tr>
      <w:tr w14:paraId="547BE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442502AC">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（1）</w:t>
            </w:r>
          </w:p>
        </w:tc>
        <w:tc>
          <w:tcPr>
            <w:tcW w:w="1394" w:type="pct"/>
            <w:shd w:val="clear" w:color="auto" w:fill="auto"/>
            <w:noWrap w:val="0"/>
            <w:vAlign w:val="center"/>
          </w:tcPr>
          <w:p w14:paraId="71EB1736">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地质灾害监测站点</w:t>
            </w:r>
          </w:p>
        </w:tc>
        <w:tc>
          <w:tcPr>
            <w:tcW w:w="1055" w:type="pct"/>
            <w:shd w:val="clear" w:color="auto" w:fill="auto"/>
            <w:noWrap w:val="0"/>
            <w:vAlign w:val="center"/>
          </w:tcPr>
          <w:p w14:paraId="2686C8E0">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个</w:t>
            </w:r>
          </w:p>
        </w:tc>
        <w:tc>
          <w:tcPr>
            <w:tcW w:w="1055" w:type="pct"/>
            <w:shd w:val="clear" w:color="auto" w:fill="auto"/>
            <w:noWrap w:val="0"/>
            <w:vAlign w:val="center"/>
          </w:tcPr>
          <w:p w14:paraId="0705740D">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2</w:t>
            </w:r>
          </w:p>
        </w:tc>
        <w:tc>
          <w:tcPr>
            <w:tcW w:w="778" w:type="pct"/>
            <w:noWrap w:val="0"/>
            <w:vAlign w:val="center"/>
          </w:tcPr>
          <w:p w14:paraId="299C33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p>
        </w:tc>
      </w:tr>
      <w:tr w14:paraId="41551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717" w:type="pct"/>
            <w:shd w:val="clear" w:color="auto" w:fill="auto"/>
            <w:noWrap w:val="0"/>
            <w:vAlign w:val="center"/>
          </w:tcPr>
          <w:p w14:paraId="57D09F23">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（2）</w:t>
            </w:r>
          </w:p>
        </w:tc>
        <w:tc>
          <w:tcPr>
            <w:tcW w:w="1394" w:type="pct"/>
            <w:shd w:val="clear" w:color="auto" w:fill="auto"/>
            <w:noWrap w:val="0"/>
            <w:vAlign w:val="center"/>
          </w:tcPr>
          <w:p w14:paraId="1BCF6EDF">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水质监测站点</w:t>
            </w:r>
          </w:p>
        </w:tc>
        <w:tc>
          <w:tcPr>
            <w:tcW w:w="1055" w:type="pct"/>
            <w:shd w:val="clear" w:color="auto" w:fill="auto"/>
            <w:noWrap w:val="0"/>
            <w:vAlign w:val="center"/>
          </w:tcPr>
          <w:p w14:paraId="5C0F339D">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个</w:t>
            </w:r>
          </w:p>
        </w:tc>
        <w:tc>
          <w:tcPr>
            <w:tcW w:w="1055" w:type="pct"/>
            <w:shd w:val="clear" w:color="auto" w:fill="auto"/>
            <w:noWrap w:val="0"/>
            <w:vAlign w:val="center"/>
          </w:tcPr>
          <w:p w14:paraId="1D29CB07">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1</w:t>
            </w:r>
          </w:p>
        </w:tc>
        <w:tc>
          <w:tcPr>
            <w:tcW w:w="778" w:type="pct"/>
            <w:noWrap w:val="0"/>
            <w:vAlign w:val="center"/>
          </w:tcPr>
          <w:p w14:paraId="5DE54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p>
        </w:tc>
      </w:tr>
      <w:tr w14:paraId="1E1C6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499285E7">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（3）</w:t>
            </w:r>
          </w:p>
        </w:tc>
        <w:tc>
          <w:tcPr>
            <w:tcW w:w="1394" w:type="pct"/>
            <w:shd w:val="clear" w:color="auto" w:fill="auto"/>
            <w:noWrap w:val="0"/>
            <w:vAlign w:val="center"/>
          </w:tcPr>
          <w:p w14:paraId="4EA88777">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土壤</w:t>
            </w:r>
            <w:r>
              <w:rPr>
                <w:rFonts w:ascii="宋体" w:hAnsi="宋体" w:eastAsia="宋体"/>
                <w:kern w:val="0"/>
                <w:szCs w:val="21"/>
              </w:rPr>
              <w:t>监测站点</w:t>
            </w:r>
          </w:p>
        </w:tc>
        <w:tc>
          <w:tcPr>
            <w:tcW w:w="1055" w:type="pct"/>
            <w:shd w:val="clear" w:color="auto" w:fill="auto"/>
            <w:noWrap w:val="0"/>
            <w:vAlign w:val="center"/>
          </w:tcPr>
          <w:p w14:paraId="2F8141C5">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个</w:t>
            </w:r>
          </w:p>
        </w:tc>
        <w:tc>
          <w:tcPr>
            <w:tcW w:w="1055" w:type="pct"/>
            <w:shd w:val="clear" w:color="auto" w:fill="auto"/>
            <w:noWrap w:val="0"/>
            <w:vAlign w:val="center"/>
          </w:tcPr>
          <w:p w14:paraId="1A9A514D">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1</w:t>
            </w:r>
          </w:p>
        </w:tc>
        <w:tc>
          <w:tcPr>
            <w:tcW w:w="778" w:type="pct"/>
            <w:noWrap w:val="0"/>
            <w:vAlign w:val="center"/>
          </w:tcPr>
          <w:p w14:paraId="4BAB17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p>
        </w:tc>
      </w:tr>
      <w:tr w14:paraId="4A7D4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426044B8">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2</w:t>
            </w:r>
          </w:p>
        </w:tc>
        <w:tc>
          <w:tcPr>
            <w:tcW w:w="1394" w:type="pct"/>
            <w:shd w:val="clear" w:color="auto" w:fill="auto"/>
            <w:noWrap w:val="0"/>
            <w:vAlign w:val="center"/>
          </w:tcPr>
          <w:p w14:paraId="677F465B">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监测次数</w:t>
            </w:r>
          </w:p>
        </w:tc>
        <w:tc>
          <w:tcPr>
            <w:tcW w:w="1055" w:type="pct"/>
            <w:shd w:val="clear" w:color="auto" w:fill="auto"/>
            <w:noWrap w:val="0"/>
            <w:vAlign w:val="center"/>
          </w:tcPr>
          <w:p w14:paraId="090B6EA0">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p>
        </w:tc>
        <w:tc>
          <w:tcPr>
            <w:tcW w:w="1055" w:type="pct"/>
            <w:shd w:val="clear" w:color="auto" w:fill="auto"/>
            <w:noWrap w:val="0"/>
            <w:vAlign w:val="center"/>
          </w:tcPr>
          <w:p w14:paraId="6BFBEA8C">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p>
        </w:tc>
        <w:tc>
          <w:tcPr>
            <w:tcW w:w="778" w:type="pct"/>
            <w:noWrap w:val="0"/>
            <w:vAlign w:val="center"/>
          </w:tcPr>
          <w:p w14:paraId="1BD2A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p>
        </w:tc>
      </w:tr>
      <w:tr w14:paraId="23054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4A4DFAC2">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（1）</w:t>
            </w:r>
          </w:p>
        </w:tc>
        <w:tc>
          <w:tcPr>
            <w:tcW w:w="1394" w:type="pct"/>
            <w:shd w:val="clear" w:color="auto" w:fill="auto"/>
            <w:noWrap w:val="0"/>
            <w:vAlign w:val="center"/>
          </w:tcPr>
          <w:p w14:paraId="2D6F870D">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地质灾害监测次数</w:t>
            </w:r>
          </w:p>
        </w:tc>
        <w:tc>
          <w:tcPr>
            <w:tcW w:w="1055" w:type="pct"/>
            <w:shd w:val="clear" w:color="auto" w:fill="auto"/>
            <w:noWrap w:val="0"/>
            <w:vAlign w:val="center"/>
          </w:tcPr>
          <w:p w14:paraId="19B49594">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次</w:t>
            </w:r>
          </w:p>
        </w:tc>
        <w:tc>
          <w:tcPr>
            <w:tcW w:w="1055" w:type="pct"/>
            <w:shd w:val="clear" w:color="auto" w:fill="auto"/>
            <w:noWrap w:val="0"/>
            <w:vAlign w:val="center"/>
          </w:tcPr>
          <w:p w14:paraId="19BCF0EB">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7</w:t>
            </w:r>
            <w:r>
              <w:rPr>
                <w:rFonts w:hint="eastAsia" w:ascii="宋体" w:hAnsi="宋体"/>
                <w:kern w:val="0"/>
                <w:szCs w:val="21"/>
                <w:lang w:val="en-US" w:eastAsia="zh-CN"/>
              </w:rPr>
              <w:t>8</w:t>
            </w:r>
          </w:p>
        </w:tc>
        <w:tc>
          <w:tcPr>
            <w:tcW w:w="778" w:type="pct"/>
            <w:noWrap w:val="0"/>
            <w:vAlign w:val="center"/>
          </w:tcPr>
          <w:p w14:paraId="5333D7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人工巡视</w:t>
            </w:r>
          </w:p>
        </w:tc>
      </w:tr>
      <w:tr w14:paraId="4C9AE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5BA84688">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（2）</w:t>
            </w:r>
          </w:p>
        </w:tc>
        <w:tc>
          <w:tcPr>
            <w:tcW w:w="1394" w:type="pct"/>
            <w:shd w:val="clear" w:color="auto" w:fill="auto"/>
            <w:noWrap w:val="0"/>
            <w:vAlign w:val="center"/>
          </w:tcPr>
          <w:p w14:paraId="115E318D">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水质监测次数</w:t>
            </w:r>
          </w:p>
        </w:tc>
        <w:tc>
          <w:tcPr>
            <w:tcW w:w="1055" w:type="pct"/>
            <w:shd w:val="clear" w:color="auto" w:fill="auto"/>
            <w:noWrap w:val="0"/>
            <w:vAlign w:val="center"/>
          </w:tcPr>
          <w:p w14:paraId="0EDA0956">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次</w:t>
            </w:r>
          </w:p>
        </w:tc>
        <w:tc>
          <w:tcPr>
            <w:tcW w:w="1055" w:type="pct"/>
            <w:shd w:val="clear" w:color="auto" w:fill="auto"/>
            <w:noWrap w:val="0"/>
            <w:vAlign w:val="center"/>
          </w:tcPr>
          <w:p w14:paraId="2E6D1CF5">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宋体" w:hAnsi="宋体" w:eastAsia="宋体" w:cs="Times New Roman"/>
                <w:kern w:val="0"/>
                <w:sz w:val="24"/>
                <w:szCs w:val="21"/>
                <w:lang w:val="en-US" w:eastAsia="zh-CN" w:bidi="ar-SA"/>
              </w:rPr>
            </w:pPr>
            <w:r>
              <w:rPr>
                <w:rFonts w:hint="eastAsia" w:ascii="宋体" w:hAnsi="宋体"/>
                <w:kern w:val="0"/>
                <w:szCs w:val="21"/>
                <w:lang w:val="en-US" w:eastAsia="zh-CN"/>
              </w:rPr>
              <w:t>13</w:t>
            </w:r>
          </w:p>
        </w:tc>
        <w:tc>
          <w:tcPr>
            <w:tcW w:w="778" w:type="pct"/>
            <w:shd w:val="clear" w:color="auto" w:fill="auto"/>
            <w:noWrap w:val="0"/>
            <w:vAlign w:val="center"/>
          </w:tcPr>
          <w:p w14:paraId="5201A5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cs="宋体"/>
                <w:sz w:val="24"/>
                <w:szCs w:val="24"/>
                <w:lang w:val="en-US" w:eastAsia="zh-CN"/>
              </w:rPr>
              <w:t>每年2次</w:t>
            </w:r>
          </w:p>
        </w:tc>
      </w:tr>
      <w:tr w14:paraId="144C9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350AC37D">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（3）</w:t>
            </w:r>
          </w:p>
        </w:tc>
        <w:tc>
          <w:tcPr>
            <w:tcW w:w="1394" w:type="pct"/>
            <w:shd w:val="clear" w:color="auto" w:fill="auto"/>
            <w:noWrap w:val="0"/>
            <w:vAlign w:val="center"/>
          </w:tcPr>
          <w:p w14:paraId="0C39655E">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土壤监测次数</w:t>
            </w:r>
          </w:p>
        </w:tc>
        <w:tc>
          <w:tcPr>
            <w:tcW w:w="1055" w:type="pct"/>
            <w:shd w:val="clear" w:color="auto" w:fill="auto"/>
            <w:noWrap w:val="0"/>
            <w:vAlign w:val="center"/>
          </w:tcPr>
          <w:p w14:paraId="4E193AA3">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次</w:t>
            </w:r>
          </w:p>
        </w:tc>
        <w:tc>
          <w:tcPr>
            <w:tcW w:w="1055" w:type="pct"/>
            <w:shd w:val="clear" w:color="auto" w:fill="auto"/>
            <w:noWrap w:val="0"/>
            <w:vAlign w:val="center"/>
          </w:tcPr>
          <w:p w14:paraId="5CCDB38D">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宋体" w:hAnsi="宋体" w:eastAsia="宋体" w:cs="Times New Roman"/>
                <w:kern w:val="0"/>
                <w:sz w:val="24"/>
                <w:szCs w:val="21"/>
                <w:lang w:val="en-US" w:eastAsia="zh-CN" w:bidi="ar-SA"/>
              </w:rPr>
            </w:pPr>
            <w:r>
              <w:rPr>
                <w:rFonts w:hint="eastAsia" w:ascii="宋体" w:hAnsi="宋体"/>
                <w:kern w:val="0"/>
                <w:szCs w:val="21"/>
                <w:lang w:val="en-US" w:eastAsia="zh-CN"/>
              </w:rPr>
              <w:t>26</w:t>
            </w:r>
          </w:p>
        </w:tc>
        <w:tc>
          <w:tcPr>
            <w:tcW w:w="778" w:type="pct"/>
            <w:noWrap w:val="0"/>
            <w:vAlign w:val="center"/>
          </w:tcPr>
          <w:p w14:paraId="211EE8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每季度1次</w:t>
            </w:r>
          </w:p>
        </w:tc>
      </w:tr>
      <w:tr w14:paraId="7C277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17" w:type="pct"/>
            <w:shd w:val="clear" w:color="auto" w:fill="auto"/>
            <w:noWrap w:val="0"/>
            <w:vAlign w:val="center"/>
          </w:tcPr>
          <w:p w14:paraId="117DE16F">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hint="eastAsia" w:ascii="宋体" w:hAnsi="宋体" w:eastAsia="宋体"/>
                <w:kern w:val="0"/>
                <w:szCs w:val="21"/>
              </w:rPr>
              <w:t>3</w:t>
            </w:r>
          </w:p>
        </w:tc>
        <w:tc>
          <w:tcPr>
            <w:tcW w:w="1394" w:type="pct"/>
            <w:shd w:val="clear" w:color="auto" w:fill="auto"/>
            <w:noWrap w:val="0"/>
            <w:vAlign w:val="center"/>
          </w:tcPr>
          <w:p w14:paraId="1B3A1E9E">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管护</w:t>
            </w:r>
          </w:p>
        </w:tc>
        <w:tc>
          <w:tcPr>
            <w:tcW w:w="1055" w:type="pct"/>
            <w:shd w:val="clear" w:color="auto" w:fill="auto"/>
            <w:noWrap w:val="0"/>
            <w:vAlign w:val="center"/>
          </w:tcPr>
          <w:p w14:paraId="4E1F90C9">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宋体" w:hAnsi="宋体" w:eastAsia="宋体" w:cs="Times New Roman"/>
                <w:kern w:val="0"/>
                <w:sz w:val="24"/>
                <w:szCs w:val="21"/>
                <w:lang w:val="en-US" w:eastAsia="zh-CN" w:bidi="ar-SA"/>
              </w:rPr>
            </w:pPr>
            <w:r>
              <w:rPr>
                <w:rFonts w:ascii="宋体" w:hAnsi="宋体" w:eastAsia="宋体"/>
                <w:kern w:val="0"/>
                <w:szCs w:val="21"/>
              </w:rPr>
              <w:t>hm²</w:t>
            </w:r>
          </w:p>
        </w:tc>
        <w:tc>
          <w:tcPr>
            <w:tcW w:w="1055" w:type="pct"/>
            <w:shd w:val="clear" w:color="auto" w:fill="auto"/>
            <w:noWrap w:val="0"/>
            <w:vAlign w:val="center"/>
          </w:tcPr>
          <w:p w14:paraId="4472BA4B">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宋体" w:hAnsi="宋体" w:eastAsia="宋体" w:cs="Times New Roman"/>
                <w:kern w:val="0"/>
                <w:sz w:val="24"/>
                <w:szCs w:val="21"/>
                <w:lang w:val="en-US" w:eastAsia="zh-CN" w:bidi="ar-SA"/>
              </w:rPr>
            </w:pPr>
            <w:r>
              <w:rPr>
                <w:rFonts w:hint="eastAsia" w:ascii="宋体" w:hAnsi="宋体" w:eastAsia="宋体"/>
                <w:kern w:val="0"/>
                <w:szCs w:val="21"/>
                <w:highlight w:val="none"/>
                <w:lang w:val="en-US" w:eastAsia="zh-CN"/>
              </w:rPr>
              <w:t>8.</w:t>
            </w:r>
            <w:r>
              <w:rPr>
                <w:rFonts w:hint="eastAsia" w:ascii="宋体" w:hAnsi="宋体"/>
                <w:kern w:val="0"/>
                <w:szCs w:val="21"/>
                <w:highlight w:val="none"/>
                <w:lang w:val="en-US" w:eastAsia="zh-CN"/>
              </w:rPr>
              <w:t>9904</w:t>
            </w:r>
          </w:p>
        </w:tc>
        <w:tc>
          <w:tcPr>
            <w:tcW w:w="778" w:type="pct"/>
            <w:noWrap w:val="0"/>
            <w:vAlign w:val="center"/>
          </w:tcPr>
          <w:p w14:paraId="67CAAA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3年</w:t>
            </w:r>
          </w:p>
        </w:tc>
      </w:tr>
    </w:tbl>
    <w:p w14:paraId="6B852961">
      <w:r>
        <w:br w:type="page"/>
      </w:r>
    </w:p>
    <w:p w14:paraId="6E9154F6">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420" w:name="_Toc10472_WPSOffice_Level1"/>
      <w:bookmarkStart w:id="421" w:name="_Toc514858679"/>
      <w:bookmarkStart w:id="422" w:name="_Toc502047878"/>
      <w:bookmarkStart w:id="423" w:name="_Toc510594081"/>
      <w:bookmarkStart w:id="424" w:name="_Toc9045_WPSOffice_Level1"/>
      <w:bookmarkStart w:id="425" w:name="_Toc509345024"/>
      <w:bookmarkStart w:id="426" w:name="_Toc509344840"/>
      <w:bookmarkStart w:id="427" w:name="_Toc509345128"/>
      <w:bookmarkStart w:id="428" w:name="_Toc502063956"/>
      <w:bookmarkStart w:id="429" w:name="_Toc502047674"/>
      <w:bookmarkStart w:id="430" w:name="_Toc46047459"/>
      <w:bookmarkStart w:id="431" w:name="_Toc502045061"/>
      <w:bookmarkStart w:id="432" w:name="_Toc502045835"/>
      <w:bookmarkStart w:id="433" w:name="_Toc23677_WPSOffice_Level1"/>
      <w:bookmarkStart w:id="434" w:name="_Toc502684795"/>
      <w:bookmarkStart w:id="435" w:name="_Toc31928"/>
      <w:r>
        <w:t>第</w:t>
      </w:r>
      <w:r>
        <w:rPr>
          <w:rFonts w:hint="eastAsia"/>
        </w:rPr>
        <w:t>六</w:t>
      </w:r>
      <w:r>
        <w:t xml:space="preserve">章 </w:t>
      </w:r>
      <w:r>
        <w:rPr>
          <w:rFonts w:hint="eastAsia"/>
        </w:rPr>
        <w:t xml:space="preserve"> </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Fonts w:hint="eastAsia"/>
        </w:rPr>
        <w:t>工程部署与经费估算</w:t>
      </w:r>
      <w:bookmarkEnd w:id="435"/>
    </w:p>
    <w:p w14:paraId="587562C4">
      <w:pPr>
        <w:pStyle w:val="5"/>
        <w:spacing w:before="263" w:after="263"/>
        <w:rPr>
          <w:rFonts w:hint="eastAsia" w:ascii="宋体" w:hAnsi="宋体" w:eastAsia="宋体" w:cs="宋体"/>
          <w:b/>
          <w:bCs w:val="0"/>
        </w:rPr>
      </w:pPr>
      <w:bookmarkStart w:id="436" w:name="_Toc502063957"/>
      <w:bookmarkStart w:id="437" w:name="_Toc13015_WPSOffice_Level2"/>
      <w:bookmarkStart w:id="438" w:name="_Toc502045836"/>
      <w:bookmarkStart w:id="439" w:name="_Toc502045062"/>
      <w:bookmarkStart w:id="440" w:name="_Toc502047675"/>
      <w:bookmarkStart w:id="441" w:name="_Toc514858680"/>
      <w:bookmarkStart w:id="442" w:name="_Toc28795"/>
      <w:bookmarkStart w:id="443" w:name="_Toc23184_WPSOffice_Level2"/>
      <w:bookmarkStart w:id="444" w:name="_Toc6598_WPSOffice_Level2"/>
      <w:bookmarkStart w:id="445" w:name="_Toc510594082"/>
      <w:bookmarkStart w:id="446" w:name="_Toc509344841"/>
      <w:bookmarkStart w:id="447" w:name="_Toc509345129"/>
      <w:bookmarkStart w:id="448" w:name="_Toc502684796"/>
      <w:bookmarkStart w:id="449" w:name="_Toc509345025"/>
      <w:bookmarkStart w:id="450" w:name="_Toc46047460"/>
      <w:bookmarkStart w:id="451" w:name="_Toc502047879"/>
      <w:r>
        <w:rPr>
          <w:rFonts w:hint="eastAsia" w:ascii="宋体" w:hAnsi="宋体" w:eastAsia="宋体" w:cs="宋体"/>
          <w:b/>
          <w:bCs w:val="0"/>
        </w:rPr>
        <w:t>一、总体部署</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0F4FA31B">
      <w:pPr>
        <w:pStyle w:val="6"/>
        <w:spacing w:before="131" w:after="131"/>
        <w:rPr>
          <w:rFonts w:hint="default" w:ascii="宋体" w:hAnsi="宋体" w:eastAsia="宋体" w:cs="宋体"/>
          <w:b/>
          <w:bCs/>
          <w:lang w:val="en-US" w:eastAsia="zh-CN"/>
        </w:rPr>
      </w:pPr>
      <w:bookmarkStart w:id="452" w:name="_Toc502047676"/>
      <w:bookmarkStart w:id="453" w:name="_Toc502047880"/>
      <w:bookmarkStart w:id="454" w:name="_Toc502045837"/>
      <w:bookmarkStart w:id="455" w:name="_Toc502045063"/>
      <w:bookmarkStart w:id="456" w:name="_Toc502684797"/>
      <w:bookmarkStart w:id="457" w:name="_Toc502063958"/>
      <w:r>
        <w:rPr>
          <w:rFonts w:hint="eastAsia" w:ascii="宋体" w:hAnsi="宋体" w:eastAsia="宋体" w:cs="宋体"/>
          <w:b/>
          <w:bCs/>
          <w:lang w:val="en-US" w:eastAsia="zh-CN"/>
        </w:rPr>
        <w:t>（一）总体目标任务</w:t>
      </w:r>
    </w:p>
    <w:p w14:paraId="67D29E75">
      <w:pPr>
        <w:spacing w:line="240" w:lineRule="auto"/>
        <w:rPr>
          <w:rFonts w:hint="eastAsia"/>
          <w:sz w:val="28"/>
          <w:szCs w:val="28"/>
          <w:highlight w:val="none"/>
          <w:lang w:val="en-US" w:eastAsia="zh-CN"/>
        </w:rPr>
      </w:pPr>
      <w:r>
        <w:rPr>
          <w:rFonts w:hint="eastAsia"/>
          <w:sz w:val="28"/>
          <w:szCs w:val="28"/>
          <w:highlight w:val="none"/>
          <w:lang w:val="zh-TW" w:eastAsia="zh-CN"/>
        </w:rPr>
        <w:t>1</w:t>
      </w:r>
      <w:r>
        <w:rPr>
          <w:rFonts w:hint="eastAsia"/>
          <w:sz w:val="28"/>
          <w:szCs w:val="28"/>
          <w:highlight w:val="none"/>
          <w:lang w:val="en-US" w:eastAsia="zh-CN"/>
        </w:rPr>
        <w:t>、先破坏先治理、工程措施、生物措施与监测措施相结合；</w:t>
      </w:r>
    </w:p>
    <w:p w14:paraId="1615D35C">
      <w:pPr>
        <w:spacing w:line="240" w:lineRule="auto"/>
        <w:rPr>
          <w:rFonts w:hint="eastAsia"/>
          <w:sz w:val="28"/>
          <w:szCs w:val="28"/>
          <w:highlight w:val="none"/>
          <w:lang w:val="en-US" w:eastAsia="zh-CN"/>
        </w:rPr>
      </w:pPr>
      <w:r>
        <w:rPr>
          <w:rFonts w:hint="eastAsia"/>
          <w:sz w:val="28"/>
          <w:szCs w:val="28"/>
          <w:highlight w:val="none"/>
          <w:lang w:val="zh-TW" w:eastAsia="zh-CN"/>
        </w:rPr>
        <w:t>2</w:t>
      </w:r>
      <w:r>
        <w:rPr>
          <w:rFonts w:hint="eastAsia"/>
          <w:sz w:val="28"/>
          <w:szCs w:val="28"/>
          <w:highlight w:val="none"/>
          <w:lang w:val="en-US" w:eastAsia="zh-CN"/>
        </w:rPr>
        <w:t>、针对地质灾害主要采取工程措施、配合生物措施进行治理，用监测措施进行预防；</w:t>
      </w:r>
    </w:p>
    <w:p w14:paraId="5E5A36A1">
      <w:pPr>
        <w:spacing w:line="240" w:lineRule="auto"/>
        <w:rPr>
          <w:rFonts w:hint="eastAsia"/>
          <w:sz w:val="28"/>
          <w:szCs w:val="28"/>
          <w:highlight w:val="none"/>
          <w:lang w:val="en-US" w:eastAsia="zh-CN"/>
        </w:rPr>
      </w:pPr>
      <w:r>
        <w:rPr>
          <w:rFonts w:hint="eastAsia"/>
          <w:sz w:val="28"/>
          <w:szCs w:val="28"/>
          <w:highlight w:val="none"/>
          <w:lang w:val="zh-TW" w:eastAsia="zh-CN"/>
        </w:rPr>
        <w:t>3</w:t>
      </w:r>
      <w:r>
        <w:rPr>
          <w:rFonts w:hint="eastAsia"/>
          <w:sz w:val="28"/>
          <w:szCs w:val="28"/>
          <w:highlight w:val="none"/>
          <w:lang w:val="en-US" w:eastAsia="zh-CN"/>
        </w:rPr>
        <w:t>、针对地形地貌景观破坏，可采取生物措施、配合工程措施进行治理；</w:t>
      </w:r>
    </w:p>
    <w:p w14:paraId="56FD1ED2">
      <w:pPr>
        <w:spacing w:line="240" w:lineRule="auto"/>
        <w:rPr>
          <w:rFonts w:hint="eastAsia"/>
          <w:sz w:val="28"/>
          <w:szCs w:val="28"/>
          <w:highlight w:val="none"/>
          <w:lang w:val="en-US" w:eastAsia="zh-CN"/>
        </w:rPr>
      </w:pPr>
      <w:r>
        <w:rPr>
          <w:rFonts w:hint="eastAsia"/>
          <w:sz w:val="28"/>
          <w:szCs w:val="28"/>
          <w:highlight w:val="none"/>
          <w:lang w:val="zh-TW" w:eastAsia="zh-CN"/>
        </w:rPr>
        <w:t>4</w:t>
      </w:r>
      <w:r>
        <w:rPr>
          <w:rFonts w:hint="eastAsia"/>
          <w:sz w:val="28"/>
          <w:szCs w:val="28"/>
          <w:highlight w:val="none"/>
          <w:lang w:val="en-US" w:eastAsia="zh-CN"/>
        </w:rPr>
        <w:t>、针对土地资源的损毁采取土地复垦的方法进行恢复。</w:t>
      </w:r>
    </w:p>
    <w:p w14:paraId="7164A89E">
      <w:pPr>
        <w:pStyle w:val="6"/>
        <w:spacing w:before="131" w:after="131"/>
        <w:rPr>
          <w:rFonts w:hint="eastAsia" w:ascii="宋体" w:hAnsi="宋体" w:eastAsia="宋体" w:cs="宋体"/>
          <w:b/>
          <w:bCs/>
          <w:lang w:val="en-US" w:eastAsia="zh-CN"/>
        </w:rPr>
      </w:pPr>
      <w:r>
        <w:rPr>
          <w:rFonts w:hint="eastAsia" w:ascii="宋体" w:hAnsi="宋体" w:eastAsia="宋体" w:cs="宋体"/>
          <w:b/>
          <w:bCs/>
          <w:lang w:val="en-US" w:eastAsia="zh-CN"/>
        </w:rPr>
        <w:t>（二）</w:t>
      </w:r>
      <w:r>
        <w:rPr>
          <w:rFonts w:hint="eastAsia" w:ascii="宋体" w:hAnsi="宋体" w:eastAsia="宋体"/>
          <w:b/>
          <w:sz w:val="28"/>
          <w:szCs w:val="28"/>
        </w:rPr>
        <w:t>总体工作部署和实施计划</w:t>
      </w:r>
    </w:p>
    <w:p w14:paraId="04B2C602">
      <w:pPr>
        <w:spacing w:line="360" w:lineRule="auto"/>
        <w:rPr>
          <w:rFonts w:hint="default" w:eastAsia="宋体"/>
          <w:sz w:val="28"/>
          <w:szCs w:val="28"/>
          <w:highlight w:val="none"/>
          <w:lang w:val="en-US" w:eastAsia="zh-CN"/>
        </w:rPr>
      </w:pPr>
      <w:r>
        <w:rPr>
          <w:sz w:val="28"/>
          <w:szCs w:val="28"/>
          <w:highlight w:val="none"/>
        </w:rPr>
        <w:t>根据矿山地质环境影响评估结果，按照轻重缓急、分阶段实施的原则，将矿区划分为近期综合治理、中期综合治理、远期综合治理三个规划阶段。</w:t>
      </w:r>
      <w:r>
        <w:rPr>
          <w:rFonts w:hint="eastAsia"/>
          <w:sz w:val="28"/>
          <w:szCs w:val="28"/>
          <w:highlight w:val="none"/>
          <w:lang w:val="en-US" w:eastAsia="zh-CN"/>
        </w:rPr>
        <w:t>总体工作内容包括地质灾害治理、闭坑后构筑物拆除、土地平整、覆土复绿及配套设施建设，以及监测和管护工作。</w:t>
      </w:r>
    </w:p>
    <w:p w14:paraId="0B356FD7">
      <w:pPr>
        <w:spacing w:line="360" w:lineRule="auto"/>
        <w:rPr>
          <w:sz w:val="28"/>
          <w:szCs w:val="28"/>
          <w:highlight w:val="none"/>
        </w:rPr>
      </w:pPr>
      <w:r>
        <w:rPr>
          <w:sz w:val="28"/>
          <w:szCs w:val="28"/>
          <w:highlight w:val="none"/>
        </w:rPr>
        <w:t>很多治理措施贯穿于整个矿山生产过程，阶段划分只是相对的。根据矿</w:t>
      </w:r>
      <w:r>
        <w:rPr>
          <w:rFonts w:hint="eastAsia"/>
          <w:sz w:val="28"/>
          <w:szCs w:val="28"/>
          <w:highlight w:val="none"/>
          <w:lang w:val="en-US" w:eastAsia="zh-CN"/>
        </w:rPr>
        <w:t>区现状生态环境问题、土地损毁预测等</w:t>
      </w:r>
      <w:r>
        <w:rPr>
          <w:sz w:val="28"/>
          <w:szCs w:val="28"/>
          <w:highlight w:val="none"/>
        </w:rPr>
        <w:t>，综合治理规划时间确定</w:t>
      </w:r>
      <w:r>
        <w:rPr>
          <w:rFonts w:hint="eastAsia"/>
          <w:sz w:val="28"/>
          <w:szCs w:val="28"/>
          <w:highlight w:val="none"/>
          <w:lang w:val="en-US" w:eastAsia="zh-CN"/>
        </w:rPr>
        <w:t>近期为近期矿山基建期</w:t>
      </w:r>
      <w:r>
        <w:rPr>
          <w:sz w:val="28"/>
          <w:szCs w:val="28"/>
          <w:highlight w:val="none"/>
        </w:rPr>
        <w:t>202</w:t>
      </w:r>
      <w:r>
        <w:rPr>
          <w:rFonts w:hint="eastAsia"/>
          <w:sz w:val="28"/>
          <w:szCs w:val="28"/>
          <w:highlight w:val="none"/>
          <w:lang w:val="en-US" w:eastAsia="zh-CN"/>
        </w:rPr>
        <w:t>6</w:t>
      </w:r>
      <w:r>
        <w:rPr>
          <w:sz w:val="28"/>
          <w:szCs w:val="28"/>
          <w:highlight w:val="none"/>
        </w:rPr>
        <w:t>年</w:t>
      </w:r>
      <w:r>
        <w:rPr>
          <w:rFonts w:hint="eastAsia"/>
          <w:sz w:val="28"/>
          <w:szCs w:val="28"/>
          <w:highlight w:val="none"/>
          <w:lang w:val="en-US" w:eastAsia="zh-CN"/>
        </w:rPr>
        <w:t>7月</w:t>
      </w:r>
      <w:r>
        <w:rPr>
          <w:sz w:val="28"/>
          <w:szCs w:val="28"/>
          <w:highlight w:val="none"/>
        </w:rPr>
        <w:t>-</w:t>
      </w:r>
      <w:r>
        <w:rPr>
          <w:rFonts w:hint="eastAsia"/>
          <w:sz w:val="28"/>
          <w:szCs w:val="28"/>
          <w:highlight w:val="none"/>
        </w:rPr>
        <w:t>20</w:t>
      </w:r>
      <w:r>
        <w:rPr>
          <w:rFonts w:hint="eastAsia"/>
          <w:sz w:val="28"/>
          <w:szCs w:val="28"/>
          <w:highlight w:val="none"/>
          <w:lang w:val="en-US" w:eastAsia="zh-CN"/>
        </w:rPr>
        <w:t>26年12月</w:t>
      </w:r>
      <w:r>
        <w:rPr>
          <w:sz w:val="28"/>
          <w:szCs w:val="28"/>
          <w:highlight w:val="none"/>
        </w:rPr>
        <w:t>，</w:t>
      </w:r>
      <w:r>
        <w:rPr>
          <w:rFonts w:hint="eastAsia"/>
          <w:sz w:val="28"/>
          <w:szCs w:val="28"/>
          <w:highlight w:val="none"/>
          <w:lang w:val="en-US" w:eastAsia="zh-CN"/>
        </w:rPr>
        <w:t>中期矿山生产期为2027年1月-2033年6月，远期闭坑治理及管护期为</w:t>
      </w:r>
      <w:r>
        <w:rPr>
          <w:sz w:val="28"/>
          <w:szCs w:val="28"/>
          <w:highlight w:val="none"/>
        </w:rPr>
        <w:t>2</w:t>
      </w:r>
      <w:r>
        <w:rPr>
          <w:rFonts w:hint="eastAsia"/>
          <w:sz w:val="28"/>
          <w:szCs w:val="28"/>
          <w:highlight w:val="none"/>
        </w:rPr>
        <w:t>0</w:t>
      </w:r>
      <w:r>
        <w:rPr>
          <w:rFonts w:hint="eastAsia"/>
          <w:sz w:val="28"/>
          <w:szCs w:val="28"/>
          <w:highlight w:val="none"/>
          <w:lang w:val="en-US" w:eastAsia="zh-CN"/>
        </w:rPr>
        <w:t>33</w:t>
      </w:r>
      <w:r>
        <w:rPr>
          <w:rFonts w:hint="eastAsia"/>
          <w:sz w:val="28"/>
          <w:szCs w:val="28"/>
          <w:highlight w:val="none"/>
        </w:rPr>
        <w:t>年</w:t>
      </w:r>
      <w:r>
        <w:rPr>
          <w:rFonts w:hint="eastAsia"/>
          <w:sz w:val="28"/>
          <w:szCs w:val="28"/>
          <w:highlight w:val="none"/>
          <w:lang w:val="en-US" w:eastAsia="zh-CN"/>
        </w:rPr>
        <w:t>7月</w:t>
      </w:r>
      <w:r>
        <w:rPr>
          <w:sz w:val="28"/>
          <w:szCs w:val="28"/>
          <w:highlight w:val="none"/>
        </w:rPr>
        <w:t>-20</w:t>
      </w:r>
      <w:r>
        <w:rPr>
          <w:rFonts w:hint="eastAsia"/>
          <w:sz w:val="28"/>
          <w:szCs w:val="28"/>
          <w:highlight w:val="none"/>
          <w:lang w:val="en-US" w:eastAsia="zh-CN"/>
        </w:rPr>
        <w:t>36年6月</w:t>
      </w:r>
      <w:r>
        <w:rPr>
          <w:sz w:val="28"/>
          <w:szCs w:val="28"/>
          <w:highlight w:val="none"/>
        </w:rPr>
        <w:t>。</w:t>
      </w:r>
    </w:p>
    <w:p w14:paraId="612A2071">
      <w:pPr>
        <w:numPr>
          <w:ilvl w:val="0"/>
          <w:numId w:val="0"/>
        </w:numPr>
        <w:spacing w:line="360" w:lineRule="auto"/>
        <w:ind w:firstLine="562" w:firstLineChars="200"/>
        <w:rPr>
          <w:rFonts w:hint="eastAsia"/>
          <w:sz w:val="28"/>
          <w:szCs w:val="28"/>
          <w:highlight w:val="none"/>
          <w:lang w:val="en-US" w:eastAsia="zh-CN"/>
        </w:rPr>
      </w:pPr>
      <w:r>
        <w:rPr>
          <w:rFonts w:hint="eastAsia" w:ascii="Times New Roman" w:hAnsi="Times New Roman" w:eastAsia="宋体" w:cs="Times New Roman"/>
          <w:b/>
          <w:bCs/>
          <w:sz w:val="28"/>
          <w:szCs w:val="28"/>
          <w:lang w:val="en-US" w:eastAsia="zh-CN" w:bidi="ar-SA"/>
        </w:rPr>
        <w:t>1、</w:t>
      </w:r>
      <w:r>
        <w:rPr>
          <w:rFonts w:hint="eastAsia"/>
          <w:b/>
          <w:bCs/>
          <w:sz w:val="28"/>
          <w:szCs w:val="28"/>
          <w:highlight w:val="none"/>
          <w:lang w:val="en-US" w:eastAsia="zh-CN"/>
        </w:rPr>
        <w:t>近期矿山基建期（</w:t>
      </w:r>
      <w:r>
        <w:rPr>
          <w:b/>
          <w:bCs/>
          <w:sz w:val="28"/>
          <w:szCs w:val="28"/>
          <w:highlight w:val="none"/>
        </w:rPr>
        <w:t>202</w:t>
      </w:r>
      <w:r>
        <w:rPr>
          <w:rFonts w:hint="eastAsia"/>
          <w:b/>
          <w:bCs/>
          <w:sz w:val="28"/>
          <w:szCs w:val="28"/>
          <w:highlight w:val="none"/>
          <w:lang w:val="en-US" w:eastAsia="zh-CN"/>
        </w:rPr>
        <w:t>6</w:t>
      </w:r>
      <w:r>
        <w:rPr>
          <w:b/>
          <w:bCs/>
          <w:sz w:val="28"/>
          <w:szCs w:val="28"/>
          <w:highlight w:val="none"/>
        </w:rPr>
        <w:t>年</w:t>
      </w:r>
      <w:r>
        <w:rPr>
          <w:rFonts w:hint="eastAsia"/>
          <w:b/>
          <w:bCs/>
          <w:sz w:val="28"/>
          <w:szCs w:val="28"/>
          <w:highlight w:val="none"/>
          <w:lang w:val="en-US" w:eastAsia="zh-CN"/>
        </w:rPr>
        <w:t>7月</w:t>
      </w:r>
      <w:r>
        <w:rPr>
          <w:b/>
          <w:bCs/>
          <w:sz w:val="28"/>
          <w:szCs w:val="28"/>
          <w:highlight w:val="none"/>
        </w:rPr>
        <w:t>-</w:t>
      </w:r>
      <w:r>
        <w:rPr>
          <w:rFonts w:hint="eastAsia"/>
          <w:b/>
          <w:bCs/>
          <w:sz w:val="28"/>
          <w:szCs w:val="28"/>
          <w:highlight w:val="none"/>
        </w:rPr>
        <w:t>20</w:t>
      </w:r>
      <w:r>
        <w:rPr>
          <w:rFonts w:hint="eastAsia"/>
          <w:b/>
          <w:bCs/>
          <w:sz w:val="28"/>
          <w:szCs w:val="28"/>
          <w:highlight w:val="none"/>
          <w:lang w:val="en-US" w:eastAsia="zh-CN"/>
        </w:rPr>
        <w:t>26年12月）</w:t>
      </w:r>
    </w:p>
    <w:p w14:paraId="5A007768">
      <w:pPr>
        <w:spacing w:line="360" w:lineRule="auto"/>
        <w:rPr>
          <w:rFonts w:hint="eastAsia"/>
          <w:sz w:val="28"/>
          <w:szCs w:val="28"/>
          <w:highlight w:val="none"/>
          <w:lang w:val="en-US" w:eastAsia="zh-CN"/>
        </w:rPr>
      </w:pPr>
      <w:r>
        <w:rPr>
          <w:rFonts w:hint="eastAsia"/>
          <w:sz w:val="28"/>
          <w:szCs w:val="28"/>
          <w:highlight w:val="none"/>
          <w:lang w:val="en-US" w:eastAsia="zh-CN"/>
        </w:rPr>
        <w:t>此</w:t>
      </w:r>
      <w:r>
        <w:rPr>
          <w:sz w:val="28"/>
          <w:szCs w:val="28"/>
          <w:highlight w:val="none"/>
        </w:rPr>
        <w:t>阶段主要是</w:t>
      </w:r>
      <w:r>
        <w:rPr>
          <w:rFonts w:hint="eastAsia"/>
          <w:sz w:val="28"/>
          <w:szCs w:val="28"/>
          <w:highlight w:val="none"/>
          <w:lang w:val="en-US" w:eastAsia="zh-CN"/>
        </w:rPr>
        <w:t>矿山基线期消除</w:t>
      </w:r>
      <w:r>
        <w:rPr>
          <w:rFonts w:hint="eastAsia"/>
          <w:sz w:val="28"/>
          <w:szCs w:val="28"/>
          <w:highlight w:val="none"/>
        </w:rPr>
        <w:t>地质灾害隐患</w:t>
      </w:r>
      <w:r>
        <w:rPr>
          <w:sz w:val="28"/>
          <w:szCs w:val="28"/>
          <w:highlight w:val="none"/>
        </w:rPr>
        <w:t>。</w:t>
      </w:r>
      <w:r>
        <w:rPr>
          <w:rFonts w:hint="eastAsia"/>
          <w:sz w:val="28"/>
          <w:szCs w:val="28"/>
          <w:highlight w:val="none"/>
          <w:lang w:val="en-US" w:eastAsia="zh-CN"/>
        </w:rPr>
        <w:t>矿区四周修建截排水沟、防护栏及警示牌。</w:t>
      </w:r>
    </w:p>
    <w:p w14:paraId="3E612098">
      <w:pPr>
        <w:numPr>
          <w:ilvl w:val="0"/>
          <w:numId w:val="0"/>
        </w:numPr>
        <w:spacing w:line="360" w:lineRule="auto"/>
        <w:ind w:firstLine="562" w:firstLineChars="200"/>
        <w:rPr>
          <w:rFonts w:hint="default"/>
          <w:b/>
          <w:bCs/>
          <w:sz w:val="28"/>
          <w:szCs w:val="28"/>
          <w:highlight w:val="none"/>
          <w:lang w:val="en-US" w:eastAsia="zh-CN"/>
        </w:rPr>
      </w:pPr>
      <w:r>
        <w:rPr>
          <w:rFonts w:hint="eastAsia"/>
          <w:b/>
          <w:bCs/>
          <w:sz w:val="28"/>
          <w:szCs w:val="28"/>
          <w:highlight w:val="none"/>
          <w:lang w:val="en-US" w:eastAsia="zh-CN"/>
        </w:rPr>
        <w:t>2、中期矿山生产期（2027年1月-2033年6月）</w:t>
      </w:r>
    </w:p>
    <w:p w14:paraId="0692B20F">
      <w:pPr>
        <w:spacing w:line="360" w:lineRule="auto"/>
        <w:rPr>
          <w:sz w:val="28"/>
          <w:szCs w:val="28"/>
          <w:highlight w:val="green"/>
        </w:rPr>
      </w:pPr>
      <w:r>
        <w:rPr>
          <w:rFonts w:hint="eastAsia"/>
          <w:sz w:val="28"/>
          <w:szCs w:val="28"/>
          <w:highlight w:val="none"/>
          <w:lang w:val="en-US" w:eastAsia="zh-CN"/>
        </w:rPr>
        <w:t>此阶段为矿山开采期，主要生态修复工作包括</w:t>
      </w:r>
      <w:r>
        <w:rPr>
          <w:rFonts w:hint="eastAsia"/>
          <w:sz w:val="28"/>
          <w:szCs w:val="28"/>
          <w:highlight w:val="none"/>
        </w:rPr>
        <w:t>矿区</w:t>
      </w:r>
      <w:r>
        <w:rPr>
          <w:rFonts w:hint="eastAsia"/>
          <w:sz w:val="28"/>
          <w:szCs w:val="28"/>
          <w:highlight w:val="none"/>
          <w:lang w:val="en-US" w:eastAsia="zh-CN"/>
        </w:rPr>
        <w:t>破碎站东侧历史压占区域、前期开采平台、复垦用土临时堆场进行恢复治理，并且对矿区地质灾害、水质和土壤进行监测。</w:t>
      </w:r>
    </w:p>
    <w:p w14:paraId="616A189F">
      <w:pPr>
        <w:numPr>
          <w:ilvl w:val="0"/>
          <w:numId w:val="0"/>
        </w:numPr>
        <w:spacing w:line="360" w:lineRule="auto"/>
        <w:ind w:left="0" w:leftChars="0" w:firstLine="562" w:firstLineChars="200"/>
        <w:rPr>
          <w:rFonts w:hint="eastAsia"/>
          <w:b/>
          <w:bCs/>
          <w:sz w:val="28"/>
          <w:szCs w:val="28"/>
          <w:highlight w:val="none"/>
          <w:lang w:val="en-US" w:eastAsia="zh-CN"/>
        </w:rPr>
      </w:pPr>
      <w:r>
        <w:rPr>
          <w:rFonts w:hint="eastAsia" w:ascii="Times New Roman" w:hAnsi="Times New Roman" w:eastAsia="宋体" w:cs="Times New Roman"/>
          <w:b/>
          <w:bCs/>
          <w:sz w:val="28"/>
          <w:szCs w:val="28"/>
          <w:lang w:val="en-US" w:eastAsia="zh-CN" w:bidi="ar-SA"/>
        </w:rPr>
        <w:t>3、</w:t>
      </w:r>
      <w:r>
        <w:rPr>
          <w:rFonts w:hint="eastAsia"/>
          <w:b/>
          <w:bCs/>
          <w:sz w:val="28"/>
          <w:szCs w:val="28"/>
          <w:highlight w:val="none"/>
          <w:lang w:val="en-US" w:eastAsia="zh-CN"/>
        </w:rPr>
        <w:t>远期闭坑治理及管护期（2033年7月-2036年6月）</w:t>
      </w:r>
    </w:p>
    <w:p w14:paraId="3BEFEA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44" w:firstLineChars="200"/>
        <w:textAlignment w:val="auto"/>
        <w:rPr>
          <w:rFonts w:hint="eastAsia" w:ascii="宋体" w:hAnsi="宋体" w:cs="宋体"/>
          <w:b w:val="0"/>
          <w:bCs w:val="0"/>
          <w:spacing w:val="-4"/>
          <w:sz w:val="28"/>
          <w:szCs w:val="28"/>
          <w:highlight w:val="none"/>
          <w:lang w:val="en-US" w:eastAsia="zh-CN"/>
        </w:rPr>
      </w:pPr>
      <w:r>
        <w:rPr>
          <w:rFonts w:hint="eastAsia" w:ascii="宋体" w:hAnsi="宋体" w:cs="宋体"/>
          <w:b w:val="0"/>
          <w:bCs w:val="0"/>
          <w:spacing w:val="-4"/>
          <w:sz w:val="28"/>
          <w:szCs w:val="28"/>
          <w:highlight w:val="none"/>
          <w:lang w:val="en-US" w:eastAsia="zh-CN"/>
        </w:rPr>
        <w:t>该阶段主要为闭坑治理期和管护期，主要任务为全面拆除建构筑物、对矿区开采及附属设施所影响区域进行全面恢复治理。主要包括将责任范围内所有构筑物进行拆除，清理地表建筑垃圾，对场地进行平整、覆土、覆土复绿及管护工作。</w:t>
      </w:r>
    </w:p>
    <w:bookmarkEnd w:id="452"/>
    <w:bookmarkEnd w:id="453"/>
    <w:bookmarkEnd w:id="454"/>
    <w:bookmarkEnd w:id="455"/>
    <w:bookmarkEnd w:id="456"/>
    <w:bookmarkEnd w:id="457"/>
    <w:p w14:paraId="217750A2">
      <w:pPr>
        <w:pStyle w:val="5"/>
        <w:spacing w:before="263" w:after="263"/>
        <w:rPr>
          <w:rFonts w:hint="eastAsia" w:ascii="宋体" w:hAnsi="宋体" w:eastAsia="宋体" w:cs="宋体"/>
          <w:b/>
          <w:bCs w:val="0"/>
          <w:color w:val="auto"/>
          <w:highlight w:val="none"/>
        </w:rPr>
      </w:pPr>
      <w:bookmarkStart w:id="458" w:name="_Toc20343"/>
      <w:bookmarkStart w:id="459" w:name="_Toc509345132"/>
      <w:bookmarkStart w:id="460" w:name="_Toc502045067"/>
      <w:bookmarkStart w:id="461" w:name="_Toc502047886"/>
      <w:bookmarkStart w:id="462" w:name="_Toc509344844"/>
      <w:bookmarkStart w:id="463" w:name="_Toc514858683"/>
      <w:bookmarkStart w:id="464" w:name="_Toc509345028"/>
      <w:bookmarkStart w:id="465" w:name="_Toc16975_WPSOffice_Level1"/>
      <w:bookmarkStart w:id="466" w:name="_Toc502045841"/>
      <w:bookmarkStart w:id="467" w:name="_Toc502063960"/>
      <w:bookmarkStart w:id="468" w:name="_Toc510594085"/>
      <w:bookmarkStart w:id="469" w:name="_Toc25724_WPSOffice_Level1"/>
      <w:bookmarkStart w:id="470" w:name="_Toc502684799"/>
      <w:bookmarkStart w:id="471" w:name="_Toc46047462"/>
      <w:bookmarkStart w:id="472" w:name="_Toc29736_WPSOffice_Level1"/>
      <w:bookmarkStart w:id="473" w:name="_Toc502047682"/>
      <w:r>
        <w:rPr>
          <w:rFonts w:hint="eastAsia" w:ascii="宋体" w:hAnsi="宋体" w:eastAsia="宋体" w:cs="宋体"/>
          <w:b/>
          <w:bCs w:val="0"/>
          <w:color w:val="auto"/>
          <w:highlight w:val="none"/>
          <w:lang w:val="en-US" w:eastAsia="zh-CN"/>
        </w:rPr>
        <w:t>三</w:t>
      </w:r>
      <w:r>
        <w:rPr>
          <w:rFonts w:hint="eastAsia" w:ascii="宋体" w:hAnsi="宋体" w:eastAsia="宋体" w:cs="宋体"/>
          <w:b/>
          <w:bCs w:val="0"/>
          <w:color w:val="auto"/>
          <w:highlight w:val="none"/>
        </w:rPr>
        <w:t>、阶段工作任务与经费安排</w:t>
      </w:r>
      <w:bookmarkEnd w:id="458"/>
    </w:p>
    <w:p w14:paraId="795D133E">
      <w:pPr>
        <w:pStyle w:val="6"/>
        <w:spacing w:before="131" w:after="131"/>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（一）阶段工作任务</w:t>
      </w:r>
    </w:p>
    <w:p w14:paraId="05A22591">
      <w:pPr>
        <w:spacing w:line="360" w:lineRule="auto"/>
        <w:rPr>
          <w:rFonts w:hint="eastAsia"/>
          <w:sz w:val="28"/>
          <w:szCs w:val="28"/>
          <w:highlight w:val="none"/>
          <w:lang w:val="en-US" w:eastAsia="zh-CN"/>
        </w:rPr>
      </w:pPr>
      <w:r>
        <w:rPr>
          <w:rFonts w:hint="eastAsia"/>
          <w:color w:val="auto"/>
          <w:sz w:val="28"/>
          <w:szCs w:val="28"/>
          <w:highlight w:val="none"/>
          <w:lang w:val="en-US" w:eastAsia="zh-CN"/>
        </w:rPr>
        <w:t>根据广东省徐闻县城北乡迈报（西山坑）矿区建筑用玄武岩矿生态修复分区及总体工作部署，</w:t>
      </w:r>
      <w:r>
        <w:rPr>
          <w:rFonts w:hint="eastAsia"/>
          <w:sz w:val="28"/>
          <w:szCs w:val="28"/>
          <w:highlight w:val="none"/>
          <w:lang w:val="en-US" w:eastAsia="zh-CN"/>
        </w:rPr>
        <w:t>对矿山生态修复工作做出阶段工作任务安排，矿山为露天开采，破碎站、办公生活区及连接道路基本建设完成，目前正在积极办理各项开采手续，后续将进行正式开采，将不断新增破坏区域。将矿山生态修复划分为三个阶段，各阶段工作任务如下：</w:t>
      </w:r>
    </w:p>
    <w:p w14:paraId="2185DB32">
      <w:pPr>
        <w:numPr>
          <w:ilvl w:val="0"/>
          <w:numId w:val="0"/>
        </w:numPr>
        <w:spacing w:line="360" w:lineRule="auto"/>
        <w:ind w:firstLine="562" w:firstLineChars="200"/>
        <w:rPr>
          <w:rFonts w:hint="default"/>
          <w:sz w:val="28"/>
          <w:szCs w:val="28"/>
          <w:highlight w:val="none"/>
          <w:lang w:val="en-US" w:eastAsia="zh-CN"/>
        </w:rPr>
      </w:pPr>
      <w:r>
        <w:rPr>
          <w:rFonts w:hint="eastAsia" w:ascii="Times New Roman" w:hAnsi="Times New Roman" w:eastAsia="宋体" w:cs="Times New Roman"/>
          <w:b/>
          <w:bCs/>
          <w:sz w:val="28"/>
          <w:szCs w:val="28"/>
          <w:lang w:val="en-US" w:eastAsia="zh-CN" w:bidi="ar-SA"/>
        </w:rPr>
        <w:t>1、</w:t>
      </w:r>
      <w:r>
        <w:rPr>
          <w:rFonts w:hint="eastAsia"/>
          <w:b/>
          <w:bCs/>
          <w:sz w:val="28"/>
          <w:szCs w:val="28"/>
          <w:highlight w:val="none"/>
          <w:lang w:val="en-US" w:eastAsia="zh-CN"/>
        </w:rPr>
        <w:t>近期（矿山基建期</w:t>
      </w:r>
      <w:r>
        <w:rPr>
          <w:b/>
          <w:bCs/>
          <w:sz w:val="28"/>
          <w:szCs w:val="28"/>
          <w:highlight w:val="none"/>
        </w:rPr>
        <w:t>202</w:t>
      </w:r>
      <w:r>
        <w:rPr>
          <w:rFonts w:hint="eastAsia"/>
          <w:b/>
          <w:bCs/>
          <w:sz w:val="28"/>
          <w:szCs w:val="28"/>
          <w:highlight w:val="none"/>
          <w:lang w:val="en-US" w:eastAsia="zh-CN"/>
        </w:rPr>
        <w:t>6</w:t>
      </w:r>
      <w:r>
        <w:rPr>
          <w:b/>
          <w:bCs/>
          <w:sz w:val="28"/>
          <w:szCs w:val="28"/>
          <w:highlight w:val="none"/>
        </w:rPr>
        <w:t>年</w:t>
      </w:r>
      <w:r>
        <w:rPr>
          <w:rFonts w:hint="eastAsia"/>
          <w:b/>
          <w:bCs/>
          <w:sz w:val="28"/>
          <w:szCs w:val="28"/>
          <w:highlight w:val="none"/>
          <w:lang w:val="en-US" w:eastAsia="zh-CN"/>
        </w:rPr>
        <w:t>7月</w:t>
      </w:r>
      <w:r>
        <w:rPr>
          <w:b/>
          <w:bCs/>
          <w:sz w:val="28"/>
          <w:szCs w:val="28"/>
          <w:highlight w:val="none"/>
        </w:rPr>
        <w:t>-</w:t>
      </w:r>
      <w:r>
        <w:rPr>
          <w:rFonts w:hint="eastAsia"/>
          <w:b/>
          <w:bCs/>
          <w:sz w:val="28"/>
          <w:szCs w:val="28"/>
          <w:highlight w:val="none"/>
        </w:rPr>
        <w:t>20</w:t>
      </w:r>
      <w:r>
        <w:rPr>
          <w:rFonts w:hint="eastAsia"/>
          <w:b/>
          <w:bCs/>
          <w:sz w:val="28"/>
          <w:szCs w:val="28"/>
          <w:highlight w:val="none"/>
          <w:lang w:val="en-US" w:eastAsia="zh-CN"/>
        </w:rPr>
        <w:t>26年12月）</w:t>
      </w:r>
    </w:p>
    <w:p w14:paraId="3EB83CE5">
      <w:pPr>
        <w:numPr>
          <w:ilvl w:val="0"/>
          <w:numId w:val="0"/>
        </w:numPr>
        <w:spacing w:line="360" w:lineRule="auto"/>
        <w:ind w:firstLine="560" w:firstLineChars="200"/>
        <w:rPr>
          <w:rFonts w:hint="eastAsia"/>
          <w:sz w:val="28"/>
          <w:szCs w:val="28"/>
          <w:highlight w:val="none"/>
          <w:lang w:val="en-US" w:eastAsia="zh-CN"/>
        </w:rPr>
      </w:pPr>
      <w:r>
        <w:rPr>
          <w:rFonts w:hint="eastAsia"/>
          <w:sz w:val="28"/>
          <w:szCs w:val="28"/>
          <w:highlight w:val="none"/>
          <w:lang w:val="en-US" w:eastAsia="zh-CN"/>
        </w:rPr>
        <w:t>此</w:t>
      </w:r>
      <w:r>
        <w:rPr>
          <w:sz w:val="28"/>
          <w:szCs w:val="28"/>
          <w:highlight w:val="none"/>
        </w:rPr>
        <w:t>阶段主要是</w:t>
      </w:r>
      <w:r>
        <w:rPr>
          <w:rFonts w:hint="eastAsia"/>
          <w:sz w:val="28"/>
          <w:szCs w:val="28"/>
          <w:highlight w:val="none"/>
          <w:lang w:val="en-US" w:eastAsia="zh-CN"/>
        </w:rPr>
        <w:t>矿山基线期消除</w:t>
      </w:r>
      <w:r>
        <w:rPr>
          <w:rFonts w:hint="eastAsia"/>
          <w:sz w:val="28"/>
          <w:szCs w:val="28"/>
          <w:highlight w:val="none"/>
        </w:rPr>
        <w:t>地质灾害隐患</w:t>
      </w:r>
      <w:r>
        <w:rPr>
          <w:sz w:val="28"/>
          <w:szCs w:val="28"/>
          <w:highlight w:val="none"/>
        </w:rPr>
        <w:t>。</w:t>
      </w:r>
      <w:r>
        <w:rPr>
          <w:rFonts w:hint="eastAsia"/>
          <w:sz w:val="28"/>
          <w:szCs w:val="28"/>
          <w:highlight w:val="none"/>
          <w:lang w:val="en-US" w:eastAsia="zh-CN"/>
        </w:rPr>
        <w:t>矿区四周修建截排水沟、沉砂池、防护栏及警示牌，消除地质灾害隐患。</w:t>
      </w:r>
    </w:p>
    <w:p w14:paraId="00C78DC4">
      <w:pPr>
        <w:numPr>
          <w:ilvl w:val="0"/>
          <w:numId w:val="0"/>
        </w:numPr>
        <w:spacing w:line="360" w:lineRule="auto"/>
        <w:ind w:firstLine="562" w:firstLineChars="200"/>
        <w:rPr>
          <w:rFonts w:hint="default"/>
          <w:b/>
          <w:bCs/>
          <w:sz w:val="28"/>
          <w:szCs w:val="28"/>
          <w:highlight w:val="none"/>
          <w:lang w:val="en-US" w:eastAsia="zh-CN"/>
        </w:rPr>
      </w:pPr>
      <w:r>
        <w:rPr>
          <w:rFonts w:hint="eastAsia"/>
          <w:b/>
          <w:bCs/>
          <w:sz w:val="28"/>
          <w:szCs w:val="28"/>
          <w:highlight w:val="none"/>
          <w:lang w:val="en-US" w:eastAsia="zh-CN"/>
        </w:rPr>
        <w:t>2、中期（矿山生产期2027年1月-2033年6月）</w:t>
      </w:r>
    </w:p>
    <w:p w14:paraId="4EA73C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宋体" w:hAnsi="宋体" w:cs="宋体"/>
          <w:b w:val="0"/>
          <w:bCs w:val="0"/>
          <w:spacing w:val="-4"/>
          <w:sz w:val="28"/>
          <w:szCs w:val="28"/>
          <w:highlight w:val="none"/>
          <w:lang w:val="en-US" w:eastAsia="zh-CN"/>
        </w:rPr>
      </w:pPr>
      <w:r>
        <w:rPr>
          <w:rFonts w:hint="eastAsia"/>
          <w:sz w:val="28"/>
          <w:szCs w:val="28"/>
          <w:highlight w:val="none"/>
          <w:lang w:val="en-US" w:eastAsia="zh-CN"/>
        </w:rPr>
        <w:t>此阶段为矿山开采期，主要生态修复工作包括</w:t>
      </w:r>
      <w:r>
        <w:rPr>
          <w:rFonts w:hint="eastAsia"/>
          <w:sz w:val="28"/>
          <w:szCs w:val="28"/>
          <w:highlight w:val="none"/>
        </w:rPr>
        <w:t>矿区</w:t>
      </w:r>
      <w:r>
        <w:rPr>
          <w:rFonts w:hint="eastAsia"/>
          <w:sz w:val="28"/>
          <w:szCs w:val="28"/>
          <w:highlight w:val="none"/>
          <w:lang w:val="en-US" w:eastAsia="zh-CN"/>
        </w:rPr>
        <w:t>破碎站东侧历史压占区域、前期开采平台、复垦用土临时堆场进行恢复治理，并且对矿区地质灾害、水质和土壤进行监测。</w:t>
      </w:r>
    </w:p>
    <w:p w14:paraId="0A477E46">
      <w:pPr>
        <w:numPr>
          <w:ilvl w:val="0"/>
          <w:numId w:val="0"/>
        </w:numPr>
        <w:spacing w:line="360" w:lineRule="auto"/>
        <w:ind w:left="0" w:leftChars="0" w:firstLine="562" w:firstLineChars="200"/>
        <w:rPr>
          <w:rFonts w:hint="eastAsia"/>
          <w:b/>
          <w:bCs/>
          <w:sz w:val="28"/>
          <w:szCs w:val="28"/>
          <w:highlight w:val="none"/>
          <w:lang w:val="en-US" w:eastAsia="zh-CN"/>
        </w:rPr>
      </w:pPr>
      <w:r>
        <w:rPr>
          <w:rFonts w:hint="eastAsia" w:ascii="Times New Roman" w:hAnsi="Times New Roman" w:eastAsia="宋体" w:cs="Times New Roman"/>
          <w:b/>
          <w:bCs/>
          <w:sz w:val="28"/>
          <w:szCs w:val="28"/>
          <w:lang w:val="en-US" w:eastAsia="zh-CN" w:bidi="ar-SA"/>
        </w:rPr>
        <w:t>3、</w:t>
      </w:r>
      <w:r>
        <w:rPr>
          <w:rFonts w:hint="eastAsia"/>
          <w:b/>
          <w:bCs/>
          <w:sz w:val="28"/>
          <w:szCs w:val="28"/>
          <w:highlight w:val="none"/>
          <w:lang w:val="en-US" w:eastAsia="zh-CN"/>
        </w:rPr>
        <w:t>远期（闭坑治理及管护期2033年7月-2036年6月）</w:t>
      </w:r>
    </w:p>
    <w:p w14:paraId="5E3C4E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44" w:firstLineChars="200"/>
        <w:textAlignment w:val="auto"/>
        <w:rPr>
          <w:rFonts w:hint="eastAsia" w:ascii="宋体" w:hAnsi="宋体" w:cs="宋体"/>
          <w:b w:val="0"/>
          <w:bCs w:val="0"/>
          <w:spacing w:val="-4"/>
          <w:sz w:val="28"/>
          <w:szCs w:val="28"/>
          <w:lang w:val="en-US" w:eastAsia="zh-CN"/>
        </w:rPr>
      </w:pPr>
      <w:r>
        <w:rPr>
          <w:rFonts w:hint="eastAsia" w:ascii="宋体" w:hAnsi="宋体" w:cs="宋体"/>
          <w:b w:val="0"/>
          <w:bCs w:val="0"/>
          <w:spacing w:val="-4"/>
          <w:sz w:val="28"/>
          <w:szCs w:val="28"/>
          <w:highlight w:val="none"/>
          <w:lang w:val="en-US" w:eastAsia="zh-CN"/>
        </w:rPr>
        <w:t>该阶段主要为闭坑治理期和管护期，主要任务为全面拆除建构筑物、对矿区开采及附属设施所影响区域进行全面恢复治理。主要包括将责任范围内所有构筑物进行拆除，清理地表建筑垃圾，对场地进行平整、覆土、覆土复绿。管护期对矿山进行</w:t>
      </w:r>
      <w:r>
        <w:rPr>
          <w:rFonts w:hint="eastAsia" w:ascii="宋体" w:hAnsi="宋体" w:eastAsia="宋体" w:cs="宋体"/>
          <w:b w:val="0"/>
          <w:bCs w:val="0"/>
          <w:spacing w:val="-4"/>
          <w:sz w:val="28"/>
          <w:szCs w:val="28"/>
        </w:rPr>
        <w:t>地质灾害</w:t>
      </w:r>
      <w:r>
        <w:rPr>
          <w:rFonts w:hint="eastAsia" w:ascii="宋体" w:hAnsi="宋体" w:cs="宋体"/>
          <w:b w:val="0"/>
          <w:bCs w:val="0"/>
          <w:spacing w:val="-4"/>
          <w:sz w:val="28"/>
          <w:szCs w:val="28"/>
          <w:lang w:eastAsia="zh-CN"/>
        </w:rPr>
        <w:t>、</w:t>
      </w:r>
      <w:r>
        <w:rPr>
          <w:rFonts w:hint="eastAsia" w:ascii="宋体" w:hAnsi="宋体" w:cs="宋体"/>
          <w:b w:val="0"/>
          <w:bCs w:val="0"/>
          <w:spacing w:val="-4"/>
          <w:sz w:val="28"/>
          <w:szCs w:val="28"/>
          <w:lang w:val="en-US" w:eastAsia="zh-CN"/>
        </w:rPr>
        <w:t>含水层、土壤进行监测以及管护。</w:t>
      </w:r>
    </w:p>
    <w:p w14:paraId="44553DCD">
      <w:pPr>
        <w:pStyle w:val="6"/>
        <w:spacing w:before="131" w:after="131"/>
        <w:rPr>
          <w:rFonts w:hint="eastAsia" w:ascii="宋体" w:hAnsi="宋体" w:eastAsia="宋体" w:cs="宋体"/>
          <w:b/>
          <w:bCs/>
          <w:color w:val="auto"/>
          <w:highlight w:val="none"/>
          <w:lang w:val="en-US" w:eastAsia="zh-CN"/>
        </w:rPr>
      </w:pPr>
      <w:bookmarkStart w:id="474" w:name="_Toc217374102"/>
      <w:r>
        <w:rPr>
          <w:rFonts w:hint="eastAsia" w:ascii="宋体" w:hAnsi="宋体" w:eastAsia="宋体" w:cs="宋体"/>
          <w:b/>
          <w:bCs/>
          <w:color w:val="auto"/>
          <w:highlight w:val="none"/>
          <w:lang w:val="en-US" w:eastAsia="zh-CN"/>
        </w:rPr>
        <w:t>（二）总费用构成与汇总</w:t>
      </w:r>
      <w:bookmarkEnd w:id="474"/>
    </w:p>
    <w:p w14:paraId="06E29C85">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《方案》总费用的构成</w:t>
      </w:r>
      <w:r>
        <w:rPr>
          <w:rFonts w:hint="eastAsia" w:ascii="宋体" w:hAnsi="宋体" w:eastAsia="宋体" w:cs="宋体"/>
          <w:kern w:val="0"/>
          <w:sz w:val="28"/>
          <w:szCs w:val="28"/>
          <w:lang w:val="en-US" w:eastAsia="zh-CN"/>
        </w:rPr>
        <w:t>包含地貌重塑、土壤重构、植被重建、监测与管护等所有费用。</w:t>
      </w:r>
      <w:r>
        <w:rPr>
          <w:rFonts w:hint="eastAsia" w:ascii="宋体" w:hAnsi="宋体" w:eastAsia="宋体" w:cs="宋体"/>
          <w:kern w:val="0"/>
          <w:sz w:val="28"/>
          <w:szCs w:val="28"/>
        </w:rPr>
        <w:t>根据矿山</w:t>
      </w:r>
      <w:r>
        <w:rPr>
          <w:rFonts w:hint="eastAsia" w:ascii="宋体" w:hAnsi="宋体" w:eastAsia="宋体" w:cs="宋体"/>
          <w:kern w:val="0"/>
          <w:sz w:val="28"/>
          <w:szCs w:val="28"/>
          <w:lang w:val="en-US" w:eastAsia="zh-CN"/>
        </w:rPr>
        <w:t>生态修复</w:t>
      </w:r>
      <w:r>
        <w:rPr>
          <w:rFonts w:hint="eastAsia" w:ascii="宋体" w:hAnsi="宋体" w:eastAsia="宋体" w:cs="宋体"/>
          <w:kern w:val="0"/>
          <w:sz w:val="28"/>
          <w:szCs w:val="28"/>
        </w:rPr>
        <w:t>工程部署，按照有关定额标准估算，本矿山</w:t>
      </w:r>
      <w:r>
        <w:rPr>
          <w:rFonts w:hint="eastAsia" w:ascii="宋体" w:hAnsi="宋体" w:eastAsia="宋体" w:cs="宋体"/>
          <w:kern w:val="0"/>
          <w:sz w:val="28"/>
          <w:szCs w:val="28"/>
          <w:lang w:val="en-US" w:eastAsia="zh-CN"/>
        </w:rPr>
        <w:t>生态修复工程</w:t>
      </w:r>
      <w:r>
        <w:rPr>
          <w:rFonts w:hint="eastAsia" w:ascii="宋体" w:hAnsi="宋体" w:eastAsia="宋体" w:cs="宋体"/>
          <w:bCs/>
          <w:sz w:val="28"/>
          <w:szCs w:val="28"/>
        </w:rPr>
        <w:t>静态</w:t>
      </w:r>
      <w:r>
        <w:rPr>
          <w:rFonts w:hint="eastAsia" w:ascii="宋体" w:hAnsi="宋体" w:eastAsia="宋体" w:cs="宋体"/>
          <w:kern w:val="0"/>
          <w:sz w:val="28"/>
          <w:szCs w:val="28"/>
        </w:rPr>
        <w:t>总投资为</w:t>
      </w:r>
      <w:r>
        <w:rPr>
          <w:rFonts w:hint="eastAsia" w:ascii="宋体" w:hAnsi="宋体" w:cs="宋体"/>
          <w:b/>
          <w:bCs/>
          <w:kern w:val="0"/>
          <w:sz w:val="28"/>
          <w:szCs w:val="28"/>
          <w:highlight w:val="none"/>
          <w:lang w:val="en-US" w:eastAsia="zh-CN"/>
        </w:rPr>
        <w:t>130.32</w:t>
      </w:r>
      <w:r>
        <w:rPr>
          <w:rFonts w:hint="eastAsia" w:ascii="宋体" w:hAnsi="宋体" w:eastAsia="宋体" w:cs="宋体"/>
          <w:kern w:val="0"/>
          <w:sz w:val="28"/>
          <w:szCs w:val="28"/>
        </w:rPr>
        <w:t>万元。</w:t>
      </w:r>
    </w:p>
    <w:p w14:paraId="3E9B3CB5">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Cs/>
          <w:sz w:val="28"/>
          <w:szCs w:val="28"/>
        </w:rPr>
      </w:pPr>
      <w:r>
        <w:rPr>
          <w:rFonts w:hint="eastAsia" w:ascii="宋体" w:hAnsi="宋体" w:eastAsia="宋体" w:cs="宋体"/>
          <w:bCs/>
          <w:sz w:val="28"/>
          <w:szCs w:val="28"/>
        </w:rPr>
        <w:t>考虑到经济发展及物价波动等因素，应根据静态投资及</w:t>
      </w:r>
      <w:r>
        <w:rPr>
          <w:rFonts w:hint="eastAsia" w:ascii="宋体" w:hAnsi="宋体" w:eastAsia="宋体" w:cs="宋体"/>
          <w:bCs/>
          <w:sz w:val="28"/>
          <w:szCs w:val="28"/>
          <w:lang w:val="en-US" w:eastAsia="zh-CN"/>
        </w:rPr>
        <w:t>生态修复工程</w:t>
      </w:r>
      <w:r>
        <w:rPr>
          <w:rFonts w:hint="eastAsia" w:ascii="宋体" w:hAnsi="宋体" w:eastAsia="宋体" w:cs="宋体"/>
          <w:bCs/>
          <w:sz w:val="28"/>
          <w:szCs w:val="28"/>
        </w:rPr>
        <w:t>安排进行</w:t>
      </w:r>
      <w:r>
        <w:rPr>
          <w:rFonts w:hint="eastAsia" w:ascii="宋体" w:hAnsi="宋体" w:eastAsia="宋体" w:cs="宋体"/>
          <w:bCs/>
          <w:sz w:val="28"/>
          <w:szCs w:val="28"/>
          <w:lang w:val="en-US" w:eastAsia="zh-CN"/>
        </w:rPr>
        <w:t>价差</w:t>
      </w:r>
      <w:r>
        <w:rPr>
          <w:rFonts w:hint="eastAsia" w:ascii="宋体" w:hAnsi="宋体" w:eastAsia="宋体" w:cs="宋体"/>
          <w:bCs/>
          <w:sz w:val="28"/>
          <w:szCs w:val="28"/>
        </w:rPr>
        <w:t>预备费计算。</w:t>
      </w:r>
    </w:p>
    <w:p w14:paraId="6474D3E7">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Cs/>
          <w:sz w:val="28"/>
          <w:szCs w:val="28"/>
          <w:highlight w:val="none"/>
        </w:rPr>
      </w:pPr>
      <w:r>
        <w:rPr>
          <w:rFonts w:hint="eastAsia" w:ascii="宋体" w:hAnsi="宋体" w:eastAsia="宋体" w:cs="宋体"/>
          <w:bCs/>
          <w:sz w:val="28"/>
          <w:szCs w:val="28"/>
        </w:rPr>
        <w:t>假设项目生产服务年限为n年，年度价格波动水平按国家规定的物价指数（r）计算，若每年的静态投资费为a</w:t>
      </w:r>
      <w:r>
        <w:rPr>
          <w:rFonts w:hint="eastAsia" w:ascii="宋体" w:hAnsi="宋体" w:eastAsia="宋体" w:cs="宋体"/>
          <w:bCs/>
          <w:sz w:val="28"/>
          <w:szCs w:val="28"/>
          <w:vertAlign w:val="subscript"/>
        </w:rPr>
        <w:t>1</w:t>
      </w:r>
      <w:r>
        <w:rPr>
          <w:rFonts w:hint="eastAsia" w:ascii="宋体" w:hAnsi="宋体" w:eastAsia="宋体" w:cs="宋体"/>
          <w:bCs/>
          <w:sz w:val="28"/>
          <w:szCs w:val="28"/>
        </w:rPr>
        <w:t>、a</w:t>
      </w:r>
      <w:r>
        <w:rPr>
          <w:rFonts w:hint="eastAsia" w:ascii="宋体" w:hAnsi="宋体" w:eastAsia="宋体" w:cs="宋体"/>
          <w:bCs/>
          <w:sz w:val="28"/>
          <w:szCs w:val="28"/>
          <w:vertAlign w:val="subscript"/>
        </w:rPr>
        <w:t>2</w:t>
      </w:r>
      <w:r>
        <w:rPr>
          <w:rFonts w:hint="eastAsia" w:ascii="宋体" w:hAnsi="宋体" w:eastAsia="宋体" w:cs="宋体"/>
          <w:bCs/>
          <w:sz w:val="28"/>
          <w:szCs w:val="28"/>
        </w:rPr>
        <w:t>、a</w:t>
      </w:r>
      <w:r>
        <w:rPr>
          <w:rFonts w:hint="eastAsia" w:ascii="宋体" w:hAnsi="宋体" w:eastAsia="宋体" w:cs="宋体"/>
          <w:bCs/>
          <w:sz w:val="28"/>
          <w:szCs w:val="28"/>
          <w:vertAlign w:val="subscript"/>
        </w:rPr>
        <w:t>3</w:t>
      </w:r>
      <w:r>
        <w:rPr>
          <w:rFonts w:hint="eastAsia" w:ascii="宋体" w:hAnsi="宋体" w:eastAsia="宋体" w:cs="宋体"/>
          <w:bCs/>
          <w:sz w:val="28"/>
          <w:szCs w:val="28"/>
        </w:rPr>
        <w:t>……a</w:t>
      </w:r>
      <w:r>
        <w:rPr>
          <w:rFonts w:hint="eastAsia" w:ascii="宋体" w:hAnsi="宋体" w:eastAsia="宋体" w:cs="宋体"/>
          <w:bCs/>
          <w:sz w:val="28"/>
          <w:szCs w:val="28"/>
          <w:vertAlign w:val="subscript"/>
        </w:rPr>
        <w:t>n</w:t>
      </w:r>
      <w:r>
        <w:rPr>
          <w:rFonts w:hint="eastAsia" w:ascii="宋体" w:hAnsi="宋体" w:eastAsia="宋体" w:cs="宋体"/>
          <w:bCs/>
          <w:sz w:val="28"/>
          <w:szCs w:val="28"/>
        </w:rPr>
        <w:t>（万元），则第i年的价差预备费W</w:t>
      </w:r>
      <w:r>
        <w:rPr>
          <w:rFonts w:hint="eastAsia" w:ascii="宋体" w:hAnsi="宋体" w:eastAsia="宋体" w:cs="宋体"/>
          <w:bCs/>
          <w:sz w:val="28"/>
          <w:szCs w:val="28"/>
          <w:vertAlign w:val="subscript"/>
        </w:rPr>
        <w:t>i</w:t>
      </w:r>
      <w:r>
        <w:rPr>
          <w:rFonts w:hint="eastAsia" w:ascii="宋体" w:hAnsi="宋体" w:eastAsia="宋体" w:cs="宋体"/>
          <w:bCs/>
          <w:sz w:val="28"/>
          <w:szCs w:val="28"/>
        </w:rPr>
        <w:t>：W</w:t>
      </w:r>
      <w:r>
        <w:rPr>
          <w:rFonts w:hint="eastAsia" w:ascii="宋体" w:hAnsi="宋体" w:eastAsia="宋体" w:cs="宋体"/>
          <w:bCs/>
          <w:sz w:val="28"/>
          <w:szCs w:val="28"/>
          <w:vertAlign w:val="subscript"/>
        </w:rPr>
        <w:t>i</w:t>
      </w:r>
      <w:r>
        <w:rPr>
          <w:rFonts w:hint="eastAsia" w:ascii="宋体" w:hAnsi="宋体" w:eastAsia="宋体" w:cs="宋体"/>
          <w:bCs/>
          <w:sz w:val="28"/>
          <w:szCs w:val="28"/>
        </w:rPr>
        <w:t>=a</w:t>
      </w:r>
      <w:r>
        <w:rPr>
          <w:rFonts w:hint="eastAsia" w:ascii="宋体" w:hAnsi="宋体" w:eastAsia="宋体" w:cs="宋体"/>
          <w:bCs/>
          <w:sz w:val="28"/>
          <w:szCs w:val="28"/>
          <w:vertAlign w:val="subscript"/>
        </w:rPr>
        <w:t>i</w:t>
      </w:r>
      <w:r>
        <w:rPr>
          <w:rFonts w:hint="eastAsia" w:ascii="宋体" w:hAnsi="宋体" w:eastAsia="宋体" w:cs="宋体"/>
          <w:bCs/>
          <w:sz w:val="28"/>
          <w:szCs w:val="28"/>
        </w:rPr>
        <w:t>[(1+r)</w:t>
      </w:r>
      <w:r>
        <w:rPr>
          <w:rFonts w:hint="eastAsia" w:ascii="宋体" w:hAnsi="宋体" w:eastAsia="宋体" w:cs="宋体"/>
          <w:bCs/>
          <w:sz w:val="28"/>
          <w:szCs w:val="28"/>
          <w:vertAlign w:val="superscript"/>
        </w:rPr>
        <w:t>i-1</w:t>
      </w:r>
      <w:r>
        <w:rPr>
          <w:rFonts w:hint="eastAsia" w:ascii="宋体" w:hAnsi="宋体" w:eastAsia="宋体" w:cs="宋体"/>
          <w:bCs/>
          <w:sz w:val="28"/>
          <w:szCs w:val="28"/>
        </w:rPr>
        <w:t>-1]，根据湛江市近5年平均物价指数为3%，本方案最终确定价差预备费费费率为3%。本矿山的</w:t>
      </w:r>
      <w:r>
        <w:rPr>
          <w:rFonts w:hint="eastAsia" w:ascii="宋体" w:hAnsi="宋体" w:eastAsia="宋体" w:cs="宋体"/>
          <w:bCs/>
          <w:sz w:val="28"/>
          <w:szCs w:val="28"/>
          <w:lang w:val="en-US" w:eastAsia="zh-CN"/>
        </w:rPr>
        <w:t>基建期为0.5年，生产期为6.5年，</w:t>
      </w:r>
      <w:r>
        <w:rPr>
          <w:rFonts w:hint="eastAsia" w:ascii="宋体" w:hAnsi="宋体" w:eastAsia="宋体" w:cs="宋体"/>
          <w:bCs/>
          <w:sz w:val="28"/>
          <w:szCs w:val="28"/>
        </w:rPr>
        <w:t>闭坑治理期为1年，复垦后管护</w:t>
      </w:r>
      <w:r>
        <w:rPr>
          <w:rFonts w:hint="eastAsia" w:ascii="宋体" w:hAnsi="宋体" w:eastAsia="宋体" w:cs="宋体"/>
          <w:bCs/>
          <w:sz w:val="28"/>
          <w:szCs w:val="28"/>
          <w:lang w:val="en-US" w:eastAsia="zh-CN"/>
        </w:rPr>
        <w:t>3</w:t>
      </w:r>
      <w:r>
        <w:rPr>
          <w:rFonts w:hint="eastAsia" w:ascii="宋体" w:hAnsi="宋体" w:eastAsia="宋体" w:cs="宋体"/>
          <w:bCs/>
          <w:sz w:val="28"/>
          <w:szCs w:val="28"/>
        </w:rPr>
        <w:t>年，本方案</w:t>
      </w:r>
      <w:r>
        <w:rPr>
          <w:rFonts w:hint="eastAsia" w:ascii="宋体" w:hAnsi="宋体" w:eastAsia="宋体" w:cs="宋体"/>
          <w:bCs/>
          <w:sz w:val="28"/>
          <w:szCs w:val="28"/>
          <w:lang w:val="en-US" w:eastAsia="zh-CN"/>
        </w:rPr>
        <w:t>服务</w:t>
      </w:r>
      <w:r>
        <w:rPr>
          <w:rFonts w:hint="eastAsia" w:ascii="宋体" w:hAnsi="宋体" w:eastAsia="宋体" w:cs="宋体"/>
          <w:bCs/>
          <w:sz w:val="28"/>
          <w:szCs w:val="28"/>
        </w:rPr>
        <w:t>年限为</w:t>
      </w:r>
      <w:r>
        <w:rPr>
          <w:rFonts w:hint="eastAsia" w:ascii="宋体" w:hAnsi="宋体" w:eastAsia="宋体" w:cs="宋体"/>
          <w:bCs/>
          <w:sz w:val="28"/>
          <w:szCs w:val="28"/>
          <w:lang w:val="en-US" w:eastAsia="zh-CN"/>
        </w:rPr>
        <w:t>10</w:t>
      </w:r>
      <w:r>
        <w:rPr>
          <w:rFonts w:hint="eastAsia" w:ascii="宋体" w:hAnsi="宋体" w:eastAsia="宋体" w:cs="宋体"/>
          <w:bCs/>
          <w:sz w:val="28"/>
          <w:szCs w:val="28"/>
        </w:rPr>
        <w:t>年。</w:t>
      </w:r>
      <w:r>
        <w:rPr>
          <w:rFonts w:hint="eastAsia" w:ascii="宋体" w:hAnsi="宋体" w:eastAsia="宋体" w:cs="宋体"/>
          <w:bCs/>
          <w:sz w:val="28"/>
          <w:szCs w:val="28"/>
          <w:lang w:val="en-US" w:eastAsia="zh-CN"/>
        </w:rPr>
        <w:t>按照每年预计投入经费</w:t>
      </w:r>
      <w:r>
        <w:rPr>
          <w:rFonts w:hint="eastAsia" w:ascii="宋体" w:hAnsi="宋体" w:eastAsia="宋体" w:cs="宋体"/>
          <w:bCs/>
          <w:sz w:val="28"/>
          <w:szCs w:val="28"/>
        </w:rPr>
        <w:t>计算，本方案</w:t>
      </w:r>
      <w:r>
        <w:rPr>
          <w:rFonts w:hint="eastAsia" w:ascii="宋体" w:hAnsi="宋体" w:eastAsia="宋体" w:cs="宋体"/>
          <w:bCs/>
          <w:sz w:val="28"/>
          <w:szCs w:val="28"/>
          <w:lang w:val="en-US" w:eastAsia="zh-CN"/>
        </w:rPr>
        <w:t>价差</w:t>
      </w:r>
      <w:r>
        <w:rPr>
          <w:rFonts w:hint="eastAsia" w:ascii="宋体" w:hAnsi="宋体" w:eastAsia="宋体" w:cs="宋体"/>
          <w:bCs/>
          <w:sz w:val="28"/>
          <w:szCs w:val="28"/>
        </w:rPr>
        <w:t>预备</w:t>
      </w:r>
      <w:r>
        <w:rPr>
          <w:rFonts w:hint="eastAsia" w:ascii="宋体" w:hAnsi="宋体" w:eastAsia="宋体" w:cs="宋体"/>
          <w:bCs/>
          <w:sz w:val="28"/>
          <w:szCs w:val="28"/>
          <w:highlight w:val="none"/>
        </w:rPr>
        <w:t>费总额为</w:t>
      </w:r>
      <w:r>
        <w:rPr>
          <w:rFonts w:hint="eastAsia" w:ascii="宋体" w:hAnsi="宋体" w:cs="宋体"/>
          <w:bCs/>
          <w:sz w:val="28"/>
          <w:szCs w:val="28"/>
          <w:highlight w:val="none"/>
          <w:lang w:val="en-US" w:eastAsia="zh-CN"/>
        </w:rPr>
        <w:t>22.93</w:t>
      </w:r>
      <w:r>
        <w:rPr>
          <w:rFonts w:hint="eastAsia" w:ascii="宋体" w:hAnsi="宋体" w:eastAsia="宋体" w:cs="宋体"/>
          <w:bCs/>
          <w:sz w:val="28"/>
          <w:szCs w:val="28"/>
          <w:highlight w:val="none"/>
        </w:rPr>
        <w:t>万元(见表6-</w:t>
      </w:r>
      <w:r>
        <w:rPr>
          <w:rFonts w:hint="eastAsia" w:ascii="宋体" w:hAnsi="宋体" w:eastAsia="宋体" w:cs="宋体"/>
          <w:bCs/>
          <w:sz w:val="28"/>
          <w:szCs w:val="28"/>
          <w:highlight w:val="none"/>
          <w:lang w:val="en-US" w:eastAsia="zh-CN"/>
        </w:rPr>
        <w:t>19</w:t>
      </w:r>
      <w:r>
        <w:rPr>
          <w:rFonts w:hint="eastAsia" w:ascii="宋体" w:hAnsi="宋体" w:eastAsia="宋体" w:cs="宋体"/>
          <w:bCs/>
          <w:sz w:val="28"/>
          <w:szCs w:val="28"/>
          <w:highlight w:val="none"/>
        </w:rPr>
        <w:t>)。</w:t>
      </w:r>
    </w:p>
    <w:p w14:paraId="70F23130">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Pr>
        <w:t>综上所述，本方案</w:t>
      </w:r>
      <w:r>
        <w:rPr>
          <w:rFonts w:hint="eastAsia" w:ascii="宋体" w:hAnsi="宋体" w:eastAsia="宋体" w:cs="宋体"/>
          <w:bCs/>
          <w:sz w:val="28"/>
          <w:szCs w:val="28"/>
          <w:highlight w:val="none"/>
          <w:lang w:val="en-US" w:eastAsia="zh-CN"/>
        </w:rPr>
        <w:t>生态修复</w:t>
      </w:r>
      <w:r>
        <w:rPr>
          <w:rFonts w:hint="eastAsia" w:ascii="宋体" w:hAnsi="宋体" w:eastAsia="宋体" w:cs="宋体"/>
          <w:bCs/>
          <w:sz w:val="28"/>
          <w:szCs w:val="28"/>
          <w:highlight w:val="none"/>
        </w:rPr>
        <w:t>动态总投资额为</w:t>
      </w:r>
      <w:r>
        <w:rPr>
          <w:rFonts w:hint="eastAsia" w:ascii="宋体" w:hAnsi="宋体" w:cs="宋体"/>
          <w:b/>
          <w:bCs w:val="0"/>
          <w:sz w:val="28"/>
          <w:szCs w:val="28"/>
          <w:highlight w:val="none"/>
          <w:lang w:val="en-US" w:eastAsia="zh-CN"/>
        </w:rPr>
        <w:t>153.25</w:t>
      </w:r>
      <w:r>
        <w:rPr>
          <w:rFonts w:hint="eastAsia" w:ascii="宋体" w:hAnsi="宋体" w:eastAsia="宋体" w:cs="宋体"/>
          <w:b/>
          <w:bCs w:val="0"/>
          <w:sz w:val="28"/>
          <w:szCs w:val="28"/>
          <w:highlight w:val="none"/>
        </w:rPr>
        <w:t>万元</w:t>
      </w:r>
      <w:r>
        <w:rPr>
          <w:rFonts w:hint="eastAsia" w:ascii="宋体" w:hAnsi="宋体" w:eastAsia="宋体" w:cs="宋体"/>
          <w:b w:val="0"/>
          <w:bCs/>
          <w:sz w:val="28"/>
          <w:szCs w:val="28"/>
          <w:highlight w:val="none"/>
        </w:rPr>
        <w:t>，单</w:t>
      </w:r>
      <w:r>
        <w:rPr>
          <w:rFonts w:hint="eastAsia" w:ascii="宋体" w:hAnsi="宋体" w:eastAsia="宋体" w:cs="宋体"/>
          <w:bCs/>
          <w:sz w:val="28"/>
          <w:szCs w:val="28"/>
          <w:highlight w:val="none"/>
        </w:rPr>
        <w:t>位面积投资额按土地复垦区总面积(</w:t>
      </w:r>
      <w:r>
        <w:rPr>
          <w:rFonts w:hint="eastAsia" w:ascii="宋体" w:hAnsi="宋体" w:eastAsia="宋体" w:cs="宋体"/>
          <w:bCs/>
          <w:sz w:val="28"/>
          <w:szCs w:val="28"/>
          <w:highlight w:val="none"/>
          <w:lang w:val="en-US" w:eastAsia="zh-CN"/>
        </w:rPr>
        <w:t>17.9371</w:t>
      </w:r>
      <w:r>
        <w:rPr>
          <w:rFonts w:hint="eastAsia" w:ascii="宋体" w:hAnsi="宋体" w:eastAsia="宋体" w:cs="宋体"/>
          <w:bCs/>
          <w:sz w:val="28"/>
          <w:szCs w:val="28"/>
          <w:highlight w:val="none"/>
        </w:rPr>
        <w:t>hm</w:t>
      </w:r>
      <w:r>
        <w:rPr>
          <w:rFonts w:hint="eastAsia" w:ascii="宋体" w:hAnsi="宋体" w:eastAsia="宋体" w:cs="宋体"/>
          <w:bCs/>
          <w:sz w:val="28"/>
          <w:szCs w:val="28"/>
          <w:highlight w:val="none"/>
          <w:vertAlign w:val="superscript"/>
        </w:rPr>
        <w:t xml:space="preserve">2 </w:t>
      </w:r>
      <w:r>
        <w:rPr>
          <w:rFonts w:hint="eastAsia" w:ascii="宋体" w:hAnsi="宋体" w:eastAsia="宋体" w:cs="宋体"/>
          <w:bCs/>
          <w:sz w:val="28"/>
          <w:szCs w:val="28"/>
          <w:highlight w:val="none"/>
        </w:rPr>
        <w:t>)计算为</w:t>
      </w:r>
      <w:r>
        <w:rPr>
          <w:rFonts w:hint="eastAsia" w:ascii="宋体" w:hAnsi="宋体" w:cs="宋体"/>
          <w:bCs/>
          <w:sz w:val="28"/>
          <w:szCs w:val="28"/>
          <w:highlight w:val="none"/>
          <w:lang w:val="en-US" w:eastAsia="zh-CN"/>
        </w:rPr>
        <w:t>8.54</w:t>
      </w:r>
      <w:r>
        <w:rPr>
          <w:rFonts w:hint="eastAsia" w:ascii="宋体" w:hAnsi="宋体" w:eastAsia="宋体" w:cs="宋体"/>
          <w:bCs/>
          <w:sz w:val="28"/>
          <w:szCs w:val="28"/>
          <w:highlight w:val="none"/>
        </w:rPr>
        <w:t>万元/hm</w:t>
      </w:r>
      <w:r>
        <w:rPr>
          <w:rFonts w:hint="eastAsia" w:ascii="宋体" w:hAnsi="宋体" w:eastAsia="宋体" w:cs="宋体"/>
          <w:bCs/>
          <w:sz w:val="28"/>
          <w:szCs w:val="28"/>
          <w:highlight w:val="none"/>
          <w:vertAlign w:val="superscript"/>
        </w:rPr>
        <w:t>2</w:t>
      </w:r>
      <w:r>
        <w:rPr>
          <w:rFonts w:hint="eastAsia" w:ascii="宋体" w:hAnsi="宋体" w:eastAsia="宋体" w:cs="宋体"/>
          <w:bCs/>
          <w:sz w:val="28"/>
          <w:szCs w:val="28"/>
          <w:highlight w:val="none"/>
          <w:vertAlign w:val="baseline"/>
          <w:lang w:eastAsia="zh-CN"/>
        </w:rPr>
        <w:t>。</w:t>
      </w:r>
    </w:p>
    <w:p w14:paraId="790BAE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b/>
          <w:bCs/>
          <w:highlight w:val="none"/>
          <w:lang w:val="en-US" w:eastAsia="zh-CN"/>
        </w:rPr>
      </w:pPr>
      <w:r>
        <w:rPr>
          <w:rFonts w:hint="eastAsia" w:ascii="宋体" w:hAnsi="宋体" w:eastAsia="宋体" w:cs="宋体"/>
          <w:b/>
          <w:bCs/>
          <w:highlight w:val="none"/>
          <w:lang w:val="en-US" w:eastAsia="zh-CN"/>
        </w:rPr>
        <w:t>表6-19 差价</w:t>
      </w:r>
      <w:r>
        <w:rPr>
          <w:rFonts w:hint="eastAsia" w:ascii="宋体" w:hAnsi="宋体" w:cs="宋体"/>
          <w:b/>
          <w:bCs/>
          <w:highlight w:val="none"/>
          <w:lang w:val="en-US" w:eastAsia="zh-CN"/>
        </w:rPr>
        <w:t>预备费</w:t>
      </w:r>
      <w:r>
        <w:rPr>
          <w:rFonts w:hint="eastAsia" w:ascii="宋体" w:hAnsi="宋体" w:eastAsia="宋体" w:cs="宋体"/>
          <w:b/>
          <w:bCs/>
          <w:highlight w:val="none"/>
          <w:lang w:val="en-US" w:eastAsia="zh-CN"/>
        </w:rPr>
        <w:t>计算表</w:t>
      </w:r>
      <w:r>
        <w:rPr>
          <w:rFonts w:hint="eastAsia" w:ascii="宋体" w:hAnsi="宋体" w:cs="宋体"/>
          <w:b/>
          <w:bCs/>
          <w:highlight w:val="none"/>
          <w:lang w:val="en-US" w:eastAsia="zh-CN"/>
        </w:rPr>
        <w:t xml:space="preserve">                </w:t>
      </w:r>
    </w:p>
    <w:tbl>
      <w:tblPr>
        <w:tblStyle w:val="3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3"/>
        <w:gridCol w:w="1545"/>
        <w:gridCol w:w="1673"/>
        <w:gridCol w:w="1387"/>
        <w:gridCol w:w="1273"/>
        <w:gridCol w:w="1848"/>
      </w:tblGrid>
      <w:tr w14:paraId="5AFBB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07" w:type="pct"/>
            <w:tcBorders>
              <w:bottom w:val="single" w:color="auto" w:sz="4" w:space="0"/>
            </w:tcBorders>
            <w:shd w:val="clear" w:color="auto" w:fill="auto"/>
            <w:vAlign w:val="center"/>
          </w:tcPr>
          <w:p w14:paraId="5650FC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58" w:type="pct"/>
            <w:tcBorders>
              <w:bottom w:val="single" w:color="auto" w:sz="4" w:space="0"/>
            </w:tcBorders>
            <w:shd w:val="clear" w:color="auto" w:fill="auto"/>
            <w:vAlign w:val="center"/>
          </w:tcPr>
          <w:p w14:paraId="0EA134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929" w:type="pct"/>
            <w:tcBorders>
              <w:bottom w:val="single" w:color="auto" w:sz="4" w:space="0"/>
            </w:tcBorders>
            <w:shd w:val="clear" w:color="auto" w:fill="auto"/>
            <w:vAlign w:val="center"/>
          </w:tcPr>
          <w:p w14:paraId="2E7F34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70" w:type="pct"/>
            <w:tcBorders>
              <w:bottom w:val="single" w:color="auto" w:sz="4" w:space="0"/>
            </w:tcBorders>
            <w:shd w:val="clear" w:color="auto" w:fill="auto"/>
            <w:vAlign w:val="center"/>
          </w:tcPr>
          <w:p w14:paraId="69C0D4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707" w:type="pct"/>
            <w:tcBorders>
              <w:bottom w:val="single" w:color="auto" w:sz="4" w:space="0"/>
            </w:tcBorders>
            <w:shd w:val="clear" w:color="auto" w:fill="auto"/>
            <w:vAlign w:val="center"/>
          </w:tcPr>
          <w:p w14:paraId="42A058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026" w:type="pct"/>
            <w:tcBorders>
              <w:bottom w:val="single" w:color="auto" w:sz="4" w:space="0"/>
            </w:tcBorders>
            <w:shd w:val="clear" w:color="auto" w:fill="auto"/>
            <w:vAlign w:val="center"/>
          </w:tcPr>
          <w:p w14:paraId="58E452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单位：万元</w:t>
            </w:r>
          </w:p>
        </w:tc>
      </w:tr>
      <w:tr w14:paraId="281C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0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DCCED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年度</w:t>
            </w:r>
          </w:p>
        </w:tc>
        <w:tc>
          <w:tcPr>
            <w:tcW w:w="85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AB56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年预计投资</w:t>
            </w:r>
          </w:p>
        </w:tc>
        <w:tc>
          <w:tcPr>
            <w:tcW w:w="929" w:type="pct"/>
            <w:tcBorders>
              <w:top w:val="single" w:color="auto" w:sz="4" w:space="0"/>
              <w:left w:val="single" w:color="auto" w:sz="4" w:space="0"/>
              <w:bottom w:val="single" w:color="auto" w:sz="4" w:space="0"/>
              <w:right w:val="single" w:color="auto" w:sz="4" w:space="0"/>
            </w:tcBorders>
            <w:shd w:val="clear" w:color="auto" w:fill="auto"/>
            <w:vAlign w:val="center"/>
          </w:tcPr>
          <w:p w14:paraId="47AAB1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系数</w:t>
            </w:r>
          </w:p>
        </w:tc>
        <w:tc>
          <w:tcPr>
            <w:tcW w:w="77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0786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总投资剩余量</w:t>
            </w:r>
          </w:p>
        </w:tc>
        <w:tc>
          <w:tcPr>
            <w:tcW w:w="70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B0A8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差价预备费</w:t>
            </w:r>
          </w:p>
        </w:tc>
        <w:tc>
          <w:tcPr>
            <w:tcW w:w="102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1C75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动态投资</w:t>
            </w:r>
          </w:p>
        </w:tc>
      </w:tr>
      <w:tr w14:paraId="1EF3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0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4F117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85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EFA2E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929" w:type="pct"/>
            <w:tcBorders>
              <w:top w:val="single" w:color="auto" w:sz="4" w:space="0"/>
              <w:left w:val="single" w:color="auto" w:sz="4" w:space="0"/>
              <w:bottom w:val="single" w:color="auto" w:sz="4" w:space="0"/>
              <w:right w:val="single" w:color="auto" w:sz="4" w:space="0"/>
            </w:tcBorders>
            <w:shd w:val="clear" w:color="auto" w:fill="auto"/>
            <w:vAlign w:val="center"/>
          </w:tcPr>
          <w:p w14:paraId="1892589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w:t>
            </w:r>
            <w:r>
              <w:rPr>
                <w:rFonts w:hint="default" w:ascii="Times New Roman" w:hAnsi="Times New Roman" w:eastAsia="宋体" w:cs="Times New Roman"/>
                <w:i w:val="0"/>
                <w:iCs w:val="0"/>
                <w:color w:val="000000"/>
                <w:kern w:val="0"/>
                <w:sz w:val="21"/>
                <w:szCs w:val="21"/>
                <w:u w:val="none"/>
                <w:vertAlign w:val="superscript"/>
                <w:lang w:val="en-US" w:eastAsia="zh-CN" w:bidi="ar"/>
              </w:rPr>
              <w:t>n-1</w:t>
            </w:r>
            <w:r>
              <w:rPr>
                <w:rFonts w:hint="default" w:ascii="Times New Roman" w:hAnsi="Times New Roman" w:eastAsia="宋体" w:cs="Times New Roman"/>
                <w:i w:val="0"/>
                <w:iCs w:val="0"/>
                <w:color w:val="000000"/>
                <w:kern w:val="0"/>
                <w:sz w:val="21"/>
                <w:szCs w:val="21"/>
                <w:u w:val="none"/>
                <w:lang w:val="en-US" w:eastAsia="zh-CN" w:bidi="ar"/>
              </w:rPr>
              <w:t>-1</w:t>
            </w:r>
          </w:p>
        </w:tc>
        <w:tc>
          <w:tcPr>
            <w:tcW w:w="7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C37A7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70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DF8C8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102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C496A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r>
      <w:tr w14:paraId="0529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66579C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2026</w:t>
            </w:r>
          </w:p>
        </w:tc>
        <w:tc>
          <w:tcPr>
            <w:tcW w:w="858" w:type="pct"/>
            <w:tcBorders>
              <w:top w:val="single" w:color="auto" w:sz="4" w:space="0"/>
              <w:left w:val="single" w:color="auto" w:sz="4" w:space="0"/>
              <w:bottom w:val="single" w:color="auto" w:sz="4" w:space="0"/>
              <w:right w:val="single" w:color="auto" w:sz="4" w:space="0"/>
            </w:tcBorders>
            <w:shd w:val="clear" w:color="auto" w:fill="auto"/>
            <w:vAlign w:val="bottom"/>
          </w:tcPr>
          <w:p w14:paraId="0EDBCB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7DB55F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0.0000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055011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130.32</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472285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0.00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313EE0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42.00 </w:t>
            </w:r>
          </w:p>
        </w:tc>
      </w:tr>
      <w:tr w14:paraId="6679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201917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2027</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47E543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32.32</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263B24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0.0300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4FE1D1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88.32</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275ABA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2.65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5E7EFC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34.97 </w:t>
            </w:r>
          </w:p>
        </w:tc>
      </w:tr>
      <w:tr w14:paraId="022E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2AAED2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2028</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79BD3B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2E6101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0.0609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6C940D5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72E77B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3.41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6A75FA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11.41 </w:t>
            </w:r>
          </w:p>
        </w:tc>
      </w:tr>
      <w:tr w14:paraId="67EB5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0C15F8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2029</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336055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045BE8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0.0927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56E163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5FD376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4.45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102403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12.45 </w:t>
            </w:r>
          </w:p>
        </w:tc>
      </w:tr>
      <w:tr w14:paraId="1CB5F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3C8A3F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2030</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22FD45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35B2BD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0.1255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5AFF86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649DC7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5.02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59C133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13.02 </w:t>
            </w:r>
          </w:p>
        </w:tc>
      </w:tr>
      <w:tr w14:paraId="4BB5F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75957B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2031</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50F9D6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6CA556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0.1593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72DB71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2EE762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5.10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55E576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33.10 </w:t>
            </w:r>
          </w:p>
        </w:tc>
      </w:tr>
      <w:tr w14:paraId="21DFB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40EDEF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2032</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14ADFC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679818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0.1941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268F98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51C05C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0.78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57A956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1.78 </w:t>
            </w:r>
          </w:p>
        </w:tc>
      </w:tr>
      <w:tr w14:paraId="0D5B2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37A6F7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2033</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55260B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6A60A4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0.2299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0ADFCE9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05EF81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0.69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593DAB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1.69 </w:t>
            </w:r>
          </w:p>
        </w:tc>
      </w:tr>
      <w:tr w14:paraId="40ED4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50F52A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2034</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3D2997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2E8A11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0.2668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1B23F8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3DE8E57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0.53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733AE8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1.53 </w:t>
            </w:r>
          </w:p>
        </w:tc>
      </w:tr>
      <w:tr w14:paraId="33F28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top"/>
          </w:tcPr>
          <w:p w14:paraId="25C163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2035</w:t>
            </w:r>
          </w:p>
        </w:tc>
        <w:tc>
          <w:tcPr>
            <w:tcW w:w="858" w:type="pct"/>
            <w:tcBorders>
              <w:top w:val="single" w:color="auto" w:sz="4" w:space="0"/>
              <w:left w:val="single" w:color="auto" w:sz="4" w:space="0"/>
              <w:bottom w:val="single" w:color="auto" w:sz="4" w:space="0"/>
              <w:right w:val="single" w:color="auto" w:sz="4" w:space="0"/>
            </w:tcBorders>
            <w:shd w:val="clear" w:color="auto" w:fill="auto"/>
            <w:vAlign w:val="top"/>
          </w:tcPr>
          <w:p w14:paraId="094AF8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29" w:type="pct"/>
            <w:tcBorders>
              <w:top w:val="single" w:color="auto" w:sz="4" w:space="0"/>
              <w:left w:val="single" w:color="auto" w:sz="4" w:space="0"/>
              <w:bottom w:val="single" w:color="auto" w:sz="4" w:space="0"/>
              <w:right w:val="single" w:color="auto" w:sz="4" w:space="0"/>
            </w:tcBorders>
            <w:shd w:val="clear" w:color="auto" w:fill="auto"/>
            <w:vAlign w:val="bottom"/>
          </w:tcPr>
          <w:p w14:paraId="6015E2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0.3048 </w:t>
            </w: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4C0A0F9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21B232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0.30 </w:t>
            </w:r>
          </w:p>
        </w:tc>
        <w:tc>
          <w:tcPr>
            <w:tcW w:w="1026" w:type="pct"/>
            <w:tcBorders>
              <w:top w:val="single" w:color="auto" w:sz="4" w:space="0"/>
              <w:left w:val="single" w:color="auto" w:sz="4" w:space="0"/>
              <w:bottom w:val="single" w:color="auto" w:sz="4" w:space="0"/>
              <w:right w:val="single" w:color="auto" w:sz="4" w:space="0"/>
            </w:tcBorders>
            <w:shd w:val="clear" w:color="auto" w:fill="auto"/>
            <w:vAlign w:val="center"/>
          </w:tcPr>
          <w:p w14:paraId="171933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1.30 </w:t>
            </w:r>
          </w:p>
        </w:tc>
      </w:tr>
      <w:tr w14:paraId="4AAD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07" w:type="pct"/>
            <w:tcBorders>
              <w:top w:val="single" w:color="auto" w:sz="4" w:space="0"/>
              <w:left w:val="single" w:color="auto" w:sz="4" w:space="0"/>
              <w:bottom w:val="single" w:color="auto" w:sz="4" w:space="0"/>
              <w:right w:val="single" w:color="auto" w:sz="4" w:space="0"/>
            </w:tcBorders>
            <w:shd w:val="clear" w:color="auto" w:fill="auto"/>
            <w:vAlign w:val="center"/>
          </w:tcPr>
          <w:p w14:paraId="1219A3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合计</w:t>
            </w:r>
          </w:p>
        </w:tc>
        <w:tc>
          <w:tcPr>
            <w:tcW w:w="858" w:type="pct"/>
            <w:tcBorders>
              <w:top w:val="single" w:color="auto" w:sz="4" w:space="0"/>
              <w:left w:val="single" w:color="auto" w:sz="4" w:space="0"/>
              <w:bottom w:val="single" w:color="auto" w:sz="4" w:space="0"/>
              <w:right w:val="single" w:color="auto" w:sz="4" w:space="0"/>
            </w:tcBorders>
            <w:shd w:val="clear" w:color="auto" w:fill="auto"/>
            <w:vAlign w:val="center"/>
          </w:tcPr>
          <w:p w14:paraId="7F824C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130.32</w:t>
            </w:r>
          </w:p>
        </w:tc>
        <w:tc>
          <w:tcPr>
            <w:tcW w:w="929" w:type="pct"/>
            <w:tcBorders>
              <w:top w:val="single" w:color="auto" w:sz="4" w:space="0"/>
              <w:left w:val="single" w:color="auto" w:sz="4" w:space="0"/>
              <w:bottom w:val="single" w:color="auto" w:sz="4" w:space="0"/>
              <w:right w:val="single" w:color="auto" w:sz="4" w:space="0"/>
            </w:tcBorders>
            <w:shd w:val="clear" w:color="auto" w:fill="auto"/>
            <w:vAlign w:val="center"/>
          </w:tcPr>
          <w:p w14:paraId="4F3FD05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1"/>
                <w:szCs w:val="21"/>
                <w:u w:val="none"/>
              </w:rPr>
            </w:pPr>
          </w:p>
        </w:tc>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14:paraId="433353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9F1E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22.93 </w:t>
            </w:r>
          </w:p>
        </w:tc>
        <w:tc>
          <w:tcPr>
            <w:tcW w:w="1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3CD2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153.25 </w:t>
            </w:r>
          </w:p>
        </w:tc>
      </w:tr>
    </w:tbl>
    <w:p w14:paraId="6BE8E5E3">
      <w:pPr>
        <w:pStyle w:val="6"/>
        <w:spacing w:before="131" w:after="131"/>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（二）近年工作任务与经费进度安排</w:t>
      </w:r>
    </w:p>
    <w:p w14:paraId="6A8468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highlight w:val="none"/>
          <w:lang w:val="en-US" w:eastAsia="zh-CN"/>
        </w:rPr>
      </w:pPr>
      <w:r>
        <w:rPr>
          <w:rFonts w:hint="eastAsia"/>
          <w:sz w:val="28"/>
          <w:szCs w:val="28"/>
          <w:highlight w:val="none"/>
          <w:lang w:val="en-US" w:eastAsia="zh-CN"/>
        </w:rPr>
        <w:t>根据矿区生态修复方案编制指南（临时），</w:t>
      </w:r>
      <w:r>
        <w:rPr>
          <w:sz w:val="28"/>
          <w:szCs w:val="28"/>
          <w:highlight w:val="none"/>
        </w:rPr>
        <w:t>本方案主要制定</w:t>
      </w:r>
      <w:r>
        <w:rPr>
          <w:rFonts w:hint="eastAsia"/>
          <w:sz w:val="28"/>
          <w:szCs w:val="28"/>
          <w:highlight w:val="none"/>
          <w:lang w:val="en-US" w:eastAsia="zh-CN"/>
        </w:rPr>
        <w:t>近三年</w:t>
      </w:r>
      <w:r>
        <w:rPr>
          <w:sz w:val="28"/>
          <w:szCs w:val="28"/>
          <w:highlight w:val="none"/>
        </w:rPr>
        <w:t>（202</w:t>
      </w:r>
      <w:r>
        <w:rPr>
          <w:rFonts w:hint="eastAsia"/>
          <w:sz w:val="28"/>
          <w:szCs w:val="28"/>
          <w:highlight w:val="none"/>
          <w:lang w:val="en-US" w:eastAsia="zh-CN"/>
        </w:rPr>
        <w:t>6</w:t>
      </w:r>
      <w:r>
        <w:rPr>
          <w:sz w:val="28"/>
          <w:szCs w:val="28"/>
          <w:highlight w:val="none"/>
        </w:rPr>
        <w:t>～20</w:t>
      </w:r>
      <w:r>
        <w:rPr>
          <w:rFonts w:hint="eastAsia"/>
          <w:sz w:val="28"/>
          <w:szCs w:val="28"/>
          <w:highlight w:val="none"/>
          <w:lang w:val="en-US" w:eastAsia="zh-CN"/>
        </w:rPr>
        <w:t>28</w:t>
      </w:r>
      <w:r>
        <w:rPr>
          <w:sz w:val="28"/>
          <w:szCs w:val="28"/>
          <w:highlight w:val="none"/>
        </w:rPr>
        <w:t>年</w:t>
      </w:r>
      <w:r>
        <w:rPr>
          <w:rFonts w:hint="eastAsia"/>
          <w:sz w:val="28"/>
          <w:szCs w:val="28"/>
          <w:highlight w:val="none"/>
          <w:lang w:val="en-US" w:eastAsia="zh-CN"/>
        </w:rPr>
        <w:t>度</w:t>
      </w:r>
      <w:r>
        <w:rPr>
          <w:sz w:val="28"/>
          <w:szCs w:val="28"/>
          <w:highlight w:val="none"/>
        </w:rPr>
        <w:t>）的</w:t>
      </w:r>
      <w:r>
        <w:rPr>
          <w:rFonts w:hint="eastAsia"/>
          <w:sz w:val="28"/>
          <w:szCs w:val="28"/>
          <w:highlight w:val="none"/>
          <w:lang w:val="en-US" w:eastAsia="zh-CN"/>
        </w:rPr>
        <w:t>矿区生态修复工作任务。</w:t>
      </w:r>
    </w:p>
    <w:p w14:paraId="31ACEF52">
      <w:pPr>
        <w:pStyle w:val="7"/>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default"/>
          <w:sz w:val="28"/>
          <w:szCs w:val="28"/>
          <w:highlight w:val="none"/>
          <w:lang w:val="en-US" w:eastAsia="zh-CN"/>
        </w:rPr>
      </w:pPr>
      <w:r>
        <w:rPr>
          <w:rFonts w:hint="eastAsia"/>
          <w:sz w:val="28"/>
          <w:szCs w:val="28"/>
          <w:highlight w:val="none"/>
          <w:lang w:val="en-US" w:eastAsia="zh-CN"/>
        </w:rPr>
        <w:t>1.2026年度工作任务及工程量</w:t>
      </w:r>
    </w:p>
    <w:p w14:paraId="287952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cs="宋体"/>
          <w:kern w:val="0"/>
          <w:sz w:val="28"/>
          <w:szCs w:val="28"/>
        </w:rPr>
      </w:pPr>
      <w:r>
        <w:rPr>
          <w:rFonts w:hint="eastAsia"/>
          <w:sz w:val="28"/>
          <w:szCs w:val="28"/>
          <w:highlight w:val="none"/>
          <w:lang w:val="en-US" w:eastAsia="zh-CN"/>
        </w:rPr>
        <w:t>此</w:t>
      </w:r>
      <w:r>
        <w:rPr>
          <w:sz w:val="28"/>
          <w:szCs w:val="28"/>
          <w:highlight w:val="none"/>
        </w:rPr>
        <w:t>阶段主要是</w:t>
      </w:r>
      <w:r>
        <w:rPr>
          <w:sz w:val="28"/>
          <w:szCs w:val="28"/>
        </w:rPr>
        <w:t>在露天采场</w:t>
      </w:r>
      <w:r>
        <w:rPr>
          <w:rFonts w:hint="eastAsia"/>
          <w:sz w:val="28"/>
          <w:szCs w:val="28"/>
          <w:lang w:val="en-US" w:eastAsia="zh-CN"/>
        </w:rPr>
        <w:t>北部汇水地段</w:t>
      </w:r>
      <w:r>
        <w:rPr>
          <w:sz w:val="28"/>
          <w:szCs w:val="28"/>
        </w:rPr>
        <w:t>修筑截排水沟，主要是暴雨期间</w:t>
      </w:r>
      <w:r>
        <w:rPr>
          <w:rFonts w:hint="eastAsia" w:ascii="宋体" w:hAnsi="宋体" w:cs="宋体"/>
          <w:kern w:val="0"/>
          <w:sz w:val="28"/>
          <w:szCs w:val="28"/>
        </w:rPr>
        <w:t>截留场外汇水，并最终汇流至矿区外围设置的1</w:t>
      </w:r>
      <w:r>
        <w:rPr>
          <w:rFonts w:ascii="宋体" w:hAnsi="宋体" w:cs="宋体"/>
          <w:kern w:val="0"/>
          <w:sz w:val="28"/>
          <w:szCs w:val="28"/>
        </w:rPr>
        <w:t>#</w:t>
      </w:r>
      <w:r>
        <w:rPr>
          <w:rFonts w:hint="eastAsia" w:ascii="宋体" w:hAnsi="宋体" w:cs="宋体"/>
          <w:kern w:val="0"/>
          <w:sz w:val="28"/>
          <w:szCs w:val="28"/>
        </w:rPr>
        <w:t>沉砂池内，经过沉淀处理并达到排放标准后方进行外排。</w:t>
      </w:r>
    </w:p>
    <w:p w14:paraId="5C99B8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cs="宋体"/>
          <w:kern w:val="0"/>
          <w:sz w:val="28"/>
          <w:szCs w:val="28"/>
        </w:rPr>
      </w:pPr>
      <w:r>
        <w:rPr>
          <w:rFonts w:hint="eastAsia" w:ascii="宋体" w:hAnsi="宋体" w:cs="宋体"/>
          <w:kern w:val="0"/>
          <w:sz w:val="28"/>
          <w:szCs w:val="28"/>
          <w:lang w:eastAsia="zh-CN"/>
        </w:rPr>
        <w:t>（</w:t>
      </w:r>
      <w:r>
        <w:rPr>
          <w:rFonts w:hint="eastAsia" w:ascii="宋体" w:hAnsi="宋体" w:cs="宋体"/>
          <w:kern w:val="0"/>
          <w:sz w:val="28"/>
          <w:szCs w:val="28"/>
          <w:lang w:val="en-US" w:eastAsia="zh-CN"/>
        </w:rPr>
        <w:t>1</w:t>
      </w:r>
      <w:r>
        <w:rPr>
          <w:rFonts w:hint="eastAsia" w:ascii="宋体" w:hAnsi="宋体" w:cs="宋体"/>
          <w:kern w:val="0"/>
          <w:sz w:val="28"/>
          <w:szCs w:val="28"/>
          <w:lang w:eastAsia="zh-CN"/>
        </w:rPr>
        <w:t>）</w:t>
      </w:r>
      <w:r>
        <w:rPr>
          <w:rFonts w:hint="eastAsia" w:ascii="宋体" w:hAnsi="宋体" w:cs="宋体"/>
          <w:kern w:val="0"/>
          <w:sz w:val="28"/>
          <w:szCs w:val="28"/>
        </w:rPr>
        <w:t>矿区外部截水沟</w:t>
      </w:r>
    </w:p>
    <w:p w14:paraId="05FB82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为减少外围汇水进入矿区，</w:t>
      </w:r>
      <w:r>
        <w:rPr>
          <w:rFonts w:hint="default" w:ascii="Times New Roman" w:hAnsi="Times New Roman" w:cs="Times New Roman"/>
          <w:kern w:val="0"/>
          <w:sz w:val="28"/>
          <w:szCs w:val="28"/>
          <w:lang w:val="en-US" w:eastAsia="zh-CN"/>
        </w:rPr>
        <w:t>防止</w:t>
      </w:r>
      <w:r>
        <w:rPr>
          <w:rFonts w:hint="default" w:ascii="Times New Roman" w:hAnsi="Times New Roman" w:cs="Times New Roman"/>
          <w:kern w:val="0"/>
          <w:sz w:val="28"/>
          <w:szCs w:val="28"/>
        </w:rPr>
        <w:t>暴雨期间地表迳流涌入采场，防止水土流失、开采边坡失稳及山洪暴发等对采场造成的威胁。</w:t>
      </w:r>
    </w:p>
    <w:p w14:paraId="0BE8A86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设计</w:t>
      </w:r>
      <w:r>
        <w:rPr>
          <w:rFonts w:hint="default" w:ascii="Times New Roman" w:hAnsi="Times New Roman" w:cs="Times New Roman"/>
          <w:kern w:val="0"/>
          <w:sz w:val="28"/>
          <w:szCs w:val="28"/>
          <w:lang w:val="en-US" w:eastAsia="zh-CN"/>
        </w:rPr>
        <w:t>截</w:t>
      </w:r>
      <w:r>
        <w:rPr>
          <w:rFonts w:hint="default" w:ascii="Times New Roman" w:hAnsi="Times New Roman" w:cs="Times New Roman"/>
          <w:kern w:val="0"/>
          <w:sz w:val="28"/>
          <w:szCs w:val="28"/>
        </w:rPr>
        <w:t>水沟长度</w:t>
      </w:r>
      <w:r>
        <w:rPr>
          <w:rFonts w:hint="default" w:ascii="Times New Roman" w:hAnsi="Times New Roman" w:cs="Times New Roman"/>
          <w:kern w:val="0"/>
          <w:sz w:val="28"/>
          <w:szCs w:val="28"/>
          <w:lang w:val="en-US" w:eastAsia="zh-CN"/>
        </w:rPr>
        <w:t>520</w:t>
      </w:r>
      <w:r>
        <w:rPr>
          <w:rFonts w:hint="default" w:ascii="Times New Roman" w:hAnsi="Times New Roman" w:cs="Times New Roman"/>
          <w:kern w:val="0"/>
          <w:sz w:val="28"/>
          <w:szCs w:val="28"/>
        </w:rPr>
        <w:t>m。沟底现铺设水泥</w:t>
      </w:r>
      <w:r>
        <w:rPr>
          <w:rFonts w:hint="eastAsia" w:cs="Times New Roman"/>
          <w:kern w:val="0"/>
          <w:sz w:val="28"/>
          <w:szCs w:val="28"/>
          <w:lang w:eastAsia="zh-CN"/>
        </w:rPr>
        <w:t>毯</w:t>
      </w:r>
      <w:r>
        <w:rPr>
          <w:rFonts w:hint="default" w:ascii="Times New Roman" w:hAnsi="Times New Roman" w:cs="Times New Roman"/>
          <w:kern w:val="0"/>
          <w:sz w:val="28"/>
          <w:szCs w:val="28"/>
        </w:rPr>
        <w:t>，边壁砂浆抹面</w:t>
      </w:r>
      <w:r>
        <w:rPr>
          <w:rFonts w:hint="default" w:ascii="Times New Roman" w:hAnsi="Times New Roman" w:cs="Times New Roman"/>
          <w:kern w:val="0"/>
          <w:sz w:val="28"/>
          <w:szCs w:val="28"/>
          <w:lang w:eastAsia="zh-CN"/>
        </w:rPr>
        <w:t>。</w:t>
      </w:r>
      <w:r>
        <w:rPr>
          <w:rFonts w:hint="default" w:ascii="Times New Roman" w:hAnsi="Times New Roman" w:cs="Times New Roman"/>
          <w:kern w:val="0"/>
          <w:sz w:val="28"/>
          <w:szCs w:val="28"/>
          <w:lang w:val="en-US" w:eastAsia="zh-CN"/>
        </w:rPr>
        <w:t>截水沟土方开挖157.95m</w:t>
      </w:r>
      <w:r>
        <w:rPr>
          <w:rFonts w:hint="default" w:ascii="Times New Roman" w:hAnsi="Times New Roman" w:cs="Times New Roman"/>
          <w:kern w:val="0"/>
          <w:sz w:val="28"/>
          <w:szCs w:val="28"/>
          <w:vertAlign w:val="superscript"/>
          <w:lang w:val="en-US" w:eastAsia="zh-CN"/>
        </w:rPr>
        <w:t>3</w:t>
      </w:r>
      <w:r>
        <w:rPr>
          <w:rFonts w:hint="eastAsia" w:cs="Times New Roman"/>
          <w:kern w:val="0"/>
          <w:sz w:val="28"/>
          <w:szCs w:val="28"/>
          <w:vertAlign w:val="baseline"/>
          <w:lang w:val="en-US" w:eastAsia="zh-CN"/>
        </w:rPr>
        <w:t>，</w:t>
      </w:r>
      <w:r>
        <w:rPr>
          <w:rFonts w:hint="default" w:ascii="Times New Roman" w:hAnsi="Times New Roman" w:cs="Times New Roman"/>
          <w:kern w:val="0"/>
          <w:sz w:val="28"/>
          <w:szCs w:val="28"/>
        </w:rPr>
        <w:t>水泥</w:t>
      </w:r>
      <w:r>
        <w:rPr>
          <w:rFonts w:hint="eastAsia" w:cs="Times New Roman"/>
          <w:kern w:val="0"/>
          <w:sz w:val="28"/>
          <w:szCs w:val="28"/>
          <w:lang w:eastAsia="zh-CN"/>
        </w:rPr>
        <w:t>毯</w:t>
      </w:r>
      <w:r>
        <w:rPr>
          <w:rFonts w:hint="default" w:ascii="Times New Roman" w:hAnsi="Times New Roman" w:cs="Times New Roman"/>
          <w:kern w:val="0"/>
          <w:sz w:val="28"/>
          <w:szCs w:val="28"/>
        </w:rPr>
        <w:t>面积</w:t>
      </w:r>
      <w:r>
        <w:rPr>
          <w:rFonts w:hint="default" w:ascii="Times New Roman" w:hAnsi="Times New Roman" w:cs="Times New Roman"/>
          <w:kern w:val="0"/>
          <w:sz w:val="28"/>
          <w:szCs w:val="28"/>
          <w:lang w:val="en-US" w:eastAsia="zh-CN"/>
        </w:rPr>
        <w:t>676m</w:t>
      </w:r>
      <w:r>
        <w:rPr>
          <w:rFonts w:hint="default" w:ascii="Times New Roman" w:hAnsi="Times New Roman" w:cs="Times New Roman"/>
          <w:kern w:val="0"/>
          <w:sz w:val="28"/>
          <w:szCs w:val="28"/>
          <w:vertAlign w:val="superscript"/>
          <w:lang w:val="en-US" w:eastAsia="zh-CN"/>
        </w:rPr>
        <w:t>2</w:t>
      </w:r>
      <w:r>
        <w:rPr>
          <w:rFonts w:hint="default" w:ascii="Times New Roman" w:hAnsi="Times New Roman" w:cs="Times New Roman"/>
          <w:kern w:val="0"/>
          <w:sz w:val="28"/>
          <w:szCs w:val="28"/>
        </w:rPr>
        <w:t>，砂浆抹面工程量为</w:t>
      </w:r>
      <w:r>
        <w:rPr>
          <w:rFonts w:hint="default" w:ascii="Times New Roman" w:hAnsi="Times New Roman" w:cs="Times New Roman"/>
          <w:kern w:val="0"/>
          <w:sz w:val="28"/>
          <w:szCs w:val="28"/>
          <w:lang w:val="en-US" w:eastAsia="zh-CN"/>
        </w:rPr>
        <w:t>676</w:t>
      </w:r>
      <w:r>
        <w:rPr>
          <w:rFonts w:hint="default" w:ascii="Times New Roman" w:hAnsi="Times New Roman" w:cs="Times New Roman"/>
          <w:kern w:val="0"/>
          <w:sz w:val="28"/>
          <w:szCs w:val="28"/>
        </w:rPr>
        <w:t>m</w:t>
      </w:r>
      <w:r>
        <w:rPr>
          <w:rFonts w:hint="default" w:ascii="Times New Roman" w:hAnsi="Times New Roman" w:cs="Times New Roman"/>
          <w:kern w:val="0"/>
          <w:sz w:val="28"/>
          <w:szCs w:val="28"/>
          <w:vertAlign w:val="superscript"/>
          <w:lang w:val="en-US" w:eastAsia="zh-CN"/>
        </w:rPr>
        <w:t>2</w:t>
      </w:r>
      <w:r>
        <w:rPr>
          <w:rFonts w:hint="default" w:ascii="Times New Roman" w:hAnsi="Times New Roman" w:cs="Times New Roman"/>
          <w:kern w:val="0"/>
          <w:sz w:val="28"/>
          <w:szCs w:val="28"/>
        </w:rPr>
        <w:t>。</w:t>
      </w:r>
    </w:p>
    <w:p w14:paraId="2253F5E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cs="Times New Roman"/>
          <w:kern w:val="0"/>
          <w:sz w:val="28"/>
          <w:szCs w:val="28"/>
        </w:rPr>
      </w:pPr>
      <w:r>
        <w:rPr>
          <w:rFonts w:hint="eastAsia" w:ascii="Times New Roman" w:hAnsi="Times New Roman" w:cs="Times New Roman"/>
          <w:kern w:val="0"/>
          <w:sz w:val="28"/>
          <w:szCs w:val="28"/>
        </w:rPr>
        <w:t>（</w:t>
      </w:r>
      <w:r>
        <w:rPr>
          <w:rFonts w:hint="eastAsia" w:cs="Times New Roman"/>
          <w:kern w:val="0"/>
          <w:sz w:val="28"/>
          <w:szCs w:val="28"/>
          <w:lang w:val="en-US" w:eastAsia="zh-CN"/>
        </w:rPr>
        <w:t>2</w:t>
      </w:r>
      <w:r>
        <w:rPr>
          <w:rFonts w:hint="eastAsia" w:ascii="Times New Roman" w:hAnsi="Times New Roman" w:cs="Times New Roman"/>
          <w:kern w:val="0"/>
          <w:sz w:val="28"/>
          <w:szCs w:val="28"/>
        </w:rPr>
        <w:t>）沉砂池</w:t>
      </w:r>
    </w:p>
    <w:p w14:paraId="606970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kern w:val="0"/>
          <w:sz w:val="28"/>
          <w:szCs w:val="28"/>
        </w:rPr>
      </w:pPr>
      <w:r>
        <w:rPr>
          <w:rFonts w:hint="eastAsia" w:cs="Times New Roman"/>
          <w:kern w:val="0"/>
          <w:sz w:val="28"/>
          <w:szCs w:val="28"/>
          <w:lang w:val="en-US" w:eastAsia="zh-CN"/>
        </w:rPr>
        <w:t>设计</w:t>
      </w:r>
      <w:r>
        <w:rPr>
          <w:rFonts w:hint="eastAsia" w:ascii="Times New Roman" w:hAnsi="Times New Roman" w:cs="Times New Roman"/>
          <w:kern w:val="0"/>
          <w:sz w:val="28"/>
          <w:szCs w:val="28"/>
        </w:rPr>
        <w:t>沉淀池</w:t>
      </w:r>
      <w:r>
        <w:rPr>
          <w:rFonts w:hint="eastAsia" w:cs="Times New Roman"/>
          <w:kern w:val="0"/>
          <w:sz w:val="28"/>
          <w:szCs w:val="28"/>
          <w:lang w:val="en-US" w:eastAsia="zh-CN"/>
        </w:rPr>
        <w:t>1座，</w:t>
      </w:r>
      <w:r>
        <w:rPr>
          <w:rFonts w:hint="eastAsia" w:ascii="Times New Roman" w:hAnsi="Times New Roman" w:cs="Times New Roman"/>
          <w:kern w:val="0"/>
          <w:sz w:val="28"/>
          <w:szCs w:val="28"/>
        </w:rPr>
        <w:t>位</w:t>
      </w:r>
      <w:r>
        <w:rPr>
          <w:rFonts w:hint="eastAsia" w:cs="Times New Roman"/>
          <w:kern w:val="0"/>
          <w:sz w:val="28"/>
          <w:szCs w:val="28"/>
          <w:lang w:val="en-US" w:eastAsia="zh-CN"/>
        </w:rPr>
        <w:t>与</w:t>
      </w:r>
      <w:r>
        <w:rPr>
          <w:rFonts w:hint="eastAsia" w:ascii="Times New Roman" w:hAnsi="Times New Roman" w:cs="Times New Roman"/>
          <w:kern w:val="0"/>
          <w:sz w:val="28"/>
          <w:szCs w:val="28"/>
        </w:rPr>
        <w:t>采场</w:t>
      </w:r>
      <w:r>
        <w:rPr>
          <w:rFonts w:hint="eastAsia" w:cs="Times New Roman"/>
          <w:kern w:val="0"/>
          <w:sz w:val="28"/>
          <w:szCs w:val="28"/>
          <w:lang w:val="en-US" w:eastAsia="zh-CN"/>
        </w:rPr>
        <w:t>截</w:t>
      </w:r>
      <w:r>
        <w:rPr>
          <w:rFonts w:hint="eastAsia" w:ascii="Times New Roman" w:hAnsi="Times New Roman" w:cs="Times New Roman"/>
          <w:kern w:val="0"/>
          <w:sz w:val="28"/>
          <w:szCs w:val="28"/>
        </w:rPr>
        <w:t>水沟末端</w:t>
      </w:r>
      <w:r>
        <w:rPr>
          <w:rFonts w:hint="eastAsia" w:cs="Times New Roman"/>
          <w:kern w:val="0"/>
          <w:sz w:val="28"/>
          <w:szCs w:val="28"/>
          <w:lang w:eastAsia="zh-CN"/>
        </w:rPr>
        <w:t>、</w:t>
      </w:r>
      <w:r>
        <w:rPr>
          <w:rFonts w:hint="eastAsia" w:cs="Times New Roman"/>
          <w:kern w:val="0"/>
          <w:sz w:val="28"/>
          <w:szCs w:val="28"/>
          <w:lang w:val="en-US" w:eastAsia="zh-CN"/>
        </w:rPr>
        <w:t>露天采场西侧。</w:t>
      </w:r>
      <w:r>
        <w:rPr>
          <w:rFonts w:hint="eastAsia" w:ascii="Times New Roman" w:hAnsi="Times New Roman" w:cs="Times New Roman"/>
          <w:kern w:val="0"/>
          <w:sz w:val="28"/>
          <w:szCs w:val="28"/>
        </w:rPr>
        <w:t>采用</w:t>
      </w:r>
      <w:r>
        <w:rPr>
          <w:rFonts w:hint="default" w:ascii="Times New Roman" w:hAnsi="Times New Roman" w:cs="Times New Roman"/>
          <w:kern w:val="0"/>
          <w:sz w:val="28"/>
          <w:szCs w:val="28"/>
        </w:rPr>
        <w:t>C</w:t>
      </w:r>
      <w:r>
        <w:rPr>
          <w:rFonts w:hint="eastAsia" w:cs="Times New Roman"/>
          <w:kern w:val="0"/>
          <w:sz w:val="28"/>
          <w:szCs w:val="28"/>
          <w:lang w:val="en-US" w:eastAsia="zh-CN"/>
        </w:rPr>
        <w:t>25</w:t>
      </w:r>
      <w:r>
        <w:rPr>
          <w:rFonts w:hint="default" w:ascii="Times New Roman" w:hAnsi="Times New Roman" w:cs="Times New Roman"/>
          <w:kern w:val="0"/>
          <w:sz w:val="28"/>
          <w:szCs w:val="28"/>
        </w:rPr>
        <w:t>混凝土现场浇筑。</w:t>
      </w:r>
      <w:r>
        <w:rPr>
          <w:rFonts w:hint="eastAsia" w:ascii="Times New Roman" w:hAnsi="Times New Roman" w:cs="Times New Roman"/>
          <w:kern w:val="0"/>
          <w:sz w:val="28"/>
          <w:szCs w:val="28"/>
        </w:rPr>
        <w:t>沉</w:t>
      </w:r>
      <w:r>
        <w:rPr>
          <w:rFonts w:hint="default" w:ascii="Times New Roman" w:hAnsi="Times New Roman" w:cs="Times New Roman"/>
          <w:kern w:val="0"/>
          <w:sz w:val="28"/>
          <w:szCs w:val="28"/>
        </w:rPr>
        <w:t>沙池</w:t>
      </w:r>
      <w:r>
        <w:rPr>
          <w:rFonts w:hint="eastAsia" w:ascii="Times New Roman" w:hAnsi="Times New Roman" w:cs="Times New Roman"/>
          <w:kern w:val="0"/>
          <w:sz w:val="28"/>
          <w:szCs w:val="28"/>
        </w:rPr>
        <w:t>规格设计</w:t>
      </w:r>
      <w:r>
        <w:rPr>
          <w:rFonts w:hint="default" w:ascii="Times New Roman" w:hAnsi="Times New Roman" w:cs="Times New Roman"/>
          <w:kern w:val="0"/>
          <w:sz w:val="28"/>
          <w:szCs w:val="28"/>
        </w:rPr>
        <w:t>：</w:t>
      </w:r>
      <w:r>
        <w:rPr>
          <w:rFonts w:hint="eastAsia" w:ascii="Times New Roman" w:hAnsi="Times New Roman" w:cs="Times New Roman"/>
          <w:kern w:val="0"/>
          <w:sz w:val="28"/>
          <w:szCs w:val="28"/>
        </w:rPr>
        <w:t>长</w:t>
      </w:r>
      <w:r>
        <w:rPr>
          <w:rFonts w:hint="eastAsia" w:cs="Times New Roman"/>
          <w:kern w:val="0"/>
          <w:sz w:val="28"/>
          <w:szCs w:val="28"/>
          <w:lang w:val="en-US" w:eastAsia="zh-CN"/>
        </w:rPr>
        <w:t>5.0</w:t>
      </w:r>
      <w:r>
        <w:rPr>
          <w:rFonts w:hint="default" w:ascii="Times New Roman" w:hAnsi="Times New Roman" w:cs="Times New Roman"/>
          <w:kern w:val="0"/>
          <w:sz w:val="28"/>
          <w:szCs w:val="28"/>
        </w:rPr>
        <w:t>m</w:t>
      </w:r>
      <w:r>
        <w:rPr>
          <w:rFonts w:hint="eastAsia" w:ascii="Times New Roman" w:hAnsi="Times New Roman" w:cs="Times New Roman"/>
          <w:kern w:val="0"/>
          <w:sz w:val="28"/>
          <w:szCs w:val="28"/>
        </w:rPr>
        <w:t>、</w:t>
      </w:r>
      <w:r>
        <w:rPr>
          <w:rFonts w:hint="default" w:ascii="Times New Roman" w:hAnsi="Times New Roman" w:cs="Times New Roman"/>
          <w:kern w:val="0"/>
          <w:sz w:val="28"/>
          <w:szCs w:val="28"/>
        </w:rPr>
        <w:t>宽</w:t>
      </w:r>
      <w:r>
        <w:rPr>
          <w:rFonts w:hint="eastAsia" w:cs="Times New Roman"/>
          <w:kern w:val="0"/>
          <w:sz w:val="28"/>
          <w:szCs w:val="28"/>
          <w:lang w:val="en-US" w:eastAsia="zh-CN"/>
        </w:rPr>
        <w:t>3.0</w:t>
      </w:r>
      <w:r>
        <w:rPr>
          <w:rFonts w:hint="default" w:ascii="Times New Roman" w:hAnsi="Times New Roman" w:cs="Times New Roman"/>
          <w:kern w:val="0"/>
          <w:sz w:val="28"/>
          <w:szCs w:val="28"/>
        </w:rPr>
        <w:t>m</w:t>
      </w:r>
      <w:r>
        <w:rPr>
          <w:rFonts w:hint="eastAsia" w:ascii="Times New Roman" w:hAnsi="Times New Roman" w:cs="Times New Roman"/>
          <w:kern w:val="0"/>
          <w:sz w:val="28"/>
          <w:szCs w:val="28"/>
        </w:rPr>
        <w:t>、</w:t>
      </w:r>
      <w:r>
        <w:rPr>
          <w:rFonts w:hint="default" w:ascii="Times New Roman" w:hAnsi="Times New Roman" w:cs="Times New Roman"/>
          <w:kern w:val="0"/>
          <w:sz w:val="28"/>
          <w:szCs w:val="28"/>
        </w:rPr>
        <w:t>深度</w:t>
      </w:r>
      <w:r>
        <w:rPr>
          <w:rFonts w:hint="eastAsia" w:ascii="Times New Roman" w:hAnsi="Times New Roman" w:cs="Times New Roman"/>
          <w:kern w:val="0"/>
          <w:sz w:val="28"/>
          <w:szCs w:val="28"/>
        </w:rPr>
        <w:t>2</w:t>
      </w:r>
      <w:r>
        <w:rPr>
          <w:rFonts w:hint="eastAsia" w:cs="Times New Roman"/>
          <w:kern w:val="0"/>
          <w:sz w:val="28"/>
          <w:szCs w:val="28"/>
          <w:lang w:val="en-US" w:eastAsia="zh-CN"/>
        </w:rPr>
        <w:t>.0</w:t>
      </w:r>
      <w:r>
        <w:rPr>
          <w:rFonts w:hint="default" w:ascii="Times New Roman" w:hAnsi="Times New Roman" w:cs="Times New Roman"/>
          <w:kern w:val="0"/>
          <w:sz w:val="28"/>
          <w:szCs w:val="28"/>
        </w:rPr>
        <w:t>m</w:t>
      </w:r>
      <w:r>
        <w:rPr>
          <w:rFonts w:hint="eastAsia" w:cs="Times New Roman"/>
          <w:kern w:val="0"/>
          <w:sz w:val="28"/>
          <w:szCs w:val="28"/>
          <w:lang w:eastAsia="zh-CN"/>
        </w:rPr>
        <w:t>，</w:t>
      </w:r>
      <w:r>
        <w:rPr>
          <w:rFonts w:hint="eastAsia" w:ascii="Times New Roman" w:hAnsi="Times New Roman" w:cs="Times New Roman"/>
          <w:kern w:val="0"/>
          <w:sz w:val="28"/>
          <w:szCs w:val="28"/>
        </w:rPr>
        <w:t>设计沉沙池边壁厚度0.2</w:t>
      </w:r>
      <w:r>
        <w:rPr>
          <w:rFonts w:hint="default" w:ascii="Times New Roman" w:hAnsi="Times New Roman" w:cs="Times New Roman"/>
          <w:kern w:val="0"/>
          <w:sz w:val="28"/>
          <w:szCs w:val="28"/>
        </w:rPr>
        <w:t>m</w:t>
      </w:r>
      <w:r>
        <w:rPr>
          <w:rFonts w:hint="eastAsia" w:cs="Times New Roman"/>
          <w:kern w:val="0"/>
          <w:sz w:val="28"/>
          <w:szCs w:val="28"/>
          <w:lang w:eastAsia="zh-CN"/>
        </w:rPr>
        <w:t>，</w:t>
      </w:r>
      <w:r>
        <w:rPr>
          <w:rFonts w:hint="eastAsia" w:cs="Times New Roman"/>
          <w:kern w:val="0"/>
          <w:sz w:val="28"/>
          <w:szCs w:val="28"/>
          <w:lang w:val="en-US" w:eastAsia="zh-CN"/>
        </w:rPr>
        <w:t>设计沉砂池按1:0.75坡比开挖。沉砂池土方开挖</w:t>
      </w:r>
      <w:r>
        <w:rPr>
          <w:rFonts w:hint="eastAsia" w:ascii="Times New Roman" w:hAnsi="Times New Roman" w:cs="Times New Roman"/>
          <w:kern w:val="0"/>
          <w:sz w:val="28"/>
          <w:szCs w:val="28"/>
        </w:rPr>
        <w:t>为</w:t>
      </w:r>
      <w:r>
        <w:rPr>
          <w:rFonts w:hint="eastAsia" w:cs="Times New Roman"/>
          <w:kern w:val="0"/>
          <w:sz w:val="28"/>
          <w:szCs w:val="28"/>
          <w:lang w:val="en-US" w:eastAsia="zh-CN"/>
        </w:rPr>
        <w:t>69</w:t>
      </w:r>
      <w:r>
        <w:rPr>
          <w:rFonts w:hint="default" w:ascii="Times New Roman" w:hAnsi="Times New Roman" w:cs="Times New Roman"/>
          <w:kern w:val="0"/>
          <w:sz w:val="28"/>
          <w:szCs w:val="28"/>
        </w:rPr>
        <w:t>m</w:t>
      </w:r>
      <w:r>
        <w:rPr>
          <w:rFonts w:hint="eastAsia" w:cs="Times New Roman"/>
          <w:kern w:val="0"/>
          <w:sz w:val="28"/>
          <w:szCs w:val="28"/>
          <w:vertAlign w:val="superscript"/>
          <w:lang w:val="en-US" w:eastAsia="zh-CN"/>
        </w:rPr>
        <w:t>3</w:t>
      </w:r>
      <w:r>
        <w:rPr>
          <w:rFonts w:hint="eastAsia" w:cs="Times New Roman"/>
          <w:kern w:val="0"/>
          <w:sz w:val="28"/>
          <w:szCs w:val="28"/>
          <w:lang w:eastAsia="zh-CN"/>
        </w:rPr>
        <w:t>，</w:t>
      </w:r>
      <w:r>
        <w:rPr>
          <w:rFonts w:hint="eastAsia" w:ascii="Times New Roman" w:hAnsi="Times New Roman" w:cs="Times New Roman"/>
          <w:kern w:val="0"/>
          <w:sz w:val="28"/>
          <w:szCs w:val="28"/>
        </w:rPr>
        <w:t>混凝土量为</w:t>
      </w:r>
      <w:r>
        <w:rPr>
          <w:rFonts w:hint="eastAsia" w:ascii="Times New Roman" w:hAnsi="Times New Roman" w:cs="Times New Roman"/>
          <w:kern w:val="0"/>
          <w:sz w:val="28"/>
          <w:szCs w:val="28"/>
          <w:lang w:val="en-US" w:eastAsia="zh-CN"/>
        </w:rPr>
        <w:t>10.1</w:t>
      </w:r>
      <w:r>
        <w:rPr>
          <w:rFonts w:hint="eastAsia" w:ascii="Times New Roman" w:hAnsi="Times New Roman" w:cs="Times New Roman"/>
          <w:kern w:val="0"/>
          <w:sz w:val="28"/>
          <w:szCs w:val="28"/>
        </w:rPr>
        <w:t>m³。</w:t>
      </w:r>
    </w:p>
    <w:p w14:paraId="08D1E05C">
      <w:pPr>
        <w:bidi w:val="0"/>
        <w:spacing w:line="360" w:lineRule="auto"/>
        <w:ind w:firstLine="560" w:firstLineChars="200"/>
        <w:outlineLvl w:val="9"/>
        <w:rPr>
          <w:sz w:val="28"/>
          <w:szCs w:val="28"/>
          <w:highlight w:val="green"/>
        </w:rPr>
      </w:pPr>
      <w:r>
        <w:rPr>
          <w:rFonts w:ascii="Times New Roman" w:hAnsi="Times New Roman" w:eastAsia="宋体" w:cs="Times New Roman"/>
          <w:sz w:val="28"/>
          <w:szCs w:val="28"/>
          <w:lang w:val="en-US" w:eastAsia="zh-CN" w:bidi="ar-SA"/>
        </w:rPr>
        <w:t>（</w:t>
      </w:r>
      <w:r>
        <w:rPr>
          <w:rFonts w:hint="eastAsia" w:cs="Times New Roman"/>
          <w:sz w:val="28"/>
          <w:szCs w:val="28"/>
          <w:lang w:val="en-US" w:eastAsia="zh-CN" w:bidi="ar-SA"/>
        </w:rPr>
        <w:t>3</w:t>
      </w:r>
      <w:r>
        <w:rPr>
          <w:rFonts w:ascii="Times New Roman" w:hAnsi="Times New Roman" w:eastAsia="宋体" w:cs="Times New Roman"/>
          <w:sz w:val="28"/>
          <w:szCs w:val="28"/>
          <w:lang w:val="en-US" w:eastAsia="zh-CN" w:bidi="ar-SA"/>
        </w:rPr>
        <w:t>）</w:t>
      </w:r>
      <w:r>
        <w:rPr>
          <w:rFonts w:hint="eastAsia"/>
          <w:sz w:val="28"/>
          <w:szCs w:val="28"/>
          <w:highlight w:val="none"/>
          <w:lang w:val="en-US" w:eastAsia="zh-CN"/>
        </w:rPr>
        <w:t>防护栏及警示牌</w:t>
      </w:r>
      <w:r>
        <w:rPr>
          <w:rFonts w:hint="eastAsia"/>
          <w:b w:val="0"/>
          <w:bCs/>
          <w:sz w:val="28"/>
          <w:szCs w:val="28"/>
          <w:lang w:val="en-US" w:eastAsia="zh-CN"/>
        </w:rPr>
        <w:t>在采场周围设置刺死围墙和警示标牌对矿坑进行防护，防止无关人员等进入或跌入矿坑。刺丝围墙长度1361m，合计面积2450m</w:t>
      </w:r>
      <w:r>
        <w:rPr>
          <w:rFonts w:hint="eastAsia"/>
          <w:b w:val="0"/>
          <w:bCs/>
          <w:sz w:val="28"/>
          <w:szCs w:val="28"/>
          <w:vertAlign w:val="superscript"/>
          <w:lang w:val="en-US" w:eastAsia="zh-CN"/>
        </w:rPr>
        <w:t>2</w:t>
      </w:r>
      <w:r>
        <w:rPr>
          <w:rFonts w:hint="eastAsia"/>
          <w:b w:val="0"/>
          <w:bCs/>
          <w:sz w:val="28"/>
          <w:szCs w:val="28"/>
          <w:lang w:val="en-US" w:eastAsia="zh-CN"/>
        </w:rPr>
        <w:t>。警示牌沿采场周围设置警示牌，合计27个。</w:t>
      </w:r>
    </w:p>
    <w:p w14:paraId="232EA33A">
      <w:pPr>
        <w:pStyle w:val="7"/>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sz w:val="28"/>
          <w:szCs w:val="28"/>
          <w:highlight w:val="green"/>
          <w:lang w:val="en-US" w:eastAsia="zh-CN"/>
        </w:rPr>
      </w:pPr>
      <w:r>
        <w:rPr>
          <w:rFonts w:hint="eastAsia"/>
          <w:sz w:val="28"/>
          <w:szCs w:val="28"/>
          <w:highlight w:val="none"/>
          <w:lang w:val="en-US" w:eastAsia="zh-CN"/>
        </w:rPr>
        <w:t>2.2027年度工作任务及工程量</w:t>
      </w:r>
    </w:p>
    <w:p w14:paraId="14BE8A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宋体" w:hAnsi="宋体" w:cs="宋体"/>
          <w:b w:val="0"/>
          <w:bCs w:val="0"/>
          <w:spacing w:val="-4"/>
          <w:sz w:val="28"/>
          <w:szCs w:val="28"/>
          <w:highlight w:val="none"/>
          <w:lang w:val="en-US" w:eastAsia="zh-CN"/>
        </w:rPr>
      </w:pPr>
      <w:r>
        <w:rPr>
          <w:rFonts w:hint="eastAsia"/>
          <w:snapToGrid w:val="0"/>
          <w:sz w:val="28"/>
          <w:szCs w:val="28"/>
          <w:vertAlign w:val="baseline"/>
          <w:lang w:val="en-US" w:eastAsia="zh-CN"/>
        </w:rPr>
        <w:t>此阶段为</w:t>
      </w:r>
      <w:r>
        <w:rPr>
          <w:rFonts w:hint="eastAsia" w:ascii="宋体" w:hAnsi="宋体" w:eastAsia="宋体" w:cs="宋体"/>
          <w:b w:val="0"/>
          <w:bCs w:val="0"/>
          <w:spacing w:val="-4"/>
          <w:sz w:val="28"/>
          <w:szCs w:val="28"/>
          <w:highlight w:val="none"/>
        </w:rPr>
        <w:t>矿山开采</w:t>
      </w:r>
      <w:r>
        <w:rPr>
          <w:rFonts w:hint="eastAsia" w:ascii="宋体" w:hAnsi="宋体" w:cs="宋体"/>
          <w:b w:val="0"/>
          <w:bCs w:val="0"/>
          <w:spacing w:val="-4"/>
          <w:sz w:val="28"/>
          <w:szCs w:val="28"/>
          <w:highlight w:val="none"/>
          <w:lang w:val="en-US" w:eastAsia="zh-CN"/>
        </w:rPr>
        <w:t>第一年</w:t>
      </w:r>
      <w:r>
        <w:rPr>
          <w:rFonts w:hint="eastAsia" w:ascii="宋体" w:hAnsi="宋体" w:cs="宋体"/>
          <w:b w:val="0"/>
          <w:bCs w:val="0"/>
          <w:spacing w:val="-4"/>
          <w:sz w:val="28"/>
          <w:szCs w:val="28"/>
          <w:highlight w:val="none"/>
          <w:lang w:eastAsia="zh-CN"/>
        </w:rPr>
        <w:t>，</w:t>
      </w:r>
      <w:r>
        <w:rPr>
          <w:rFonts w:hint="eastAsia" w:ascii="宋体" w:hAnsi="宋体" w:cs="宋体"/>
          <w:b w:val="0"/>
          <w:bCs w:val="0"/>
          <w:spacing w:val="-4"/>
          <w:sz w:val="28"/>
          <w:szCs w:val="28"/>
          <w:highlight w:val="none"/>
          <w:lang w:val="en-US" w:eastAsia="zh-CN"/>
        </w:rPr>
        <w:t>生态修复主要任务是矿山露天采场前期开采的边坡治理</w:t>
      </w:r>
      <w:r>
        <w:rPr>
          <w:rFonts w:hint="eastAsia" w:ascii="宋体" w:hAnsi="宋体" w:cs="宋体"/>
          <w:b w:val="0"/>
          <w:bCs w:val="0"/>
          <w:spacing w:val="-4"/>
          <w:sz w:val="28"/>
          <w:szCs w:val="28"/>
          <w:highlight w:val="none"/>
          <w:lang w:eastAsia="zh-CN"/>
        </w:rPr>
        <w:t>、</w:t>
      </w:r>
      <w:r>
        <w:rPr>
          <w:rFonts w:hint="eastAsia" w:ascii="宋体" w:hAnsi="宋体" w:cs="宋体"/>
          <w:b w:val="0"/>
          <w:bCs w:val="0"/>
          <w:spacing w:val="-4"/>
          <w:sz w:val="28"/>
          <w:szCs w:val="28"/>
          <w:highlight w:val="none"/>
          <w:lang w:val="en-US" w:eastAsia="zh-CN"/>
        </w:rPr>
        <w:t>含水层进行监测，对矿山开采形成的平台进行复绿。</w:t>
      </w:r>
    </w:p>
    <w:p w14:paraId="745F88A8">
      <w:pPr>
        <w:spacing w:line="360" w:lineRule="auto"/>
        <w:ind w:firstLine="544" w:firstLineChars="200"/>
        <w:rPr>
          <w:rFonts w:hint="default" w:ascii="Times New Roman" w:hAnsi="Times New Roman" w:cs="Times New Roman"/>
          <w:snapToGrid w:val="0"/>
          <w:color w:val="000000"/>
          <w:spacing w:val="-2"/>
          <w:lang w:val="en-US"/>
        </w:rPr>
      </w:pPr>
      <w:r>
        <w:rPr>
          <w:rFonts w:hint="default" w:ascii="Times New Roman" w:hAnsi="Times New Roman" w:eastAsia="宋体" w:cs="Times New Roman"/>
          <w:b w:val="0"/>
          <w:bCs w:val="0"/>
          <w:spacing w:val="-4"/>
          <w:sz w:val="28"/>
          <w:szCs w:val="28"/>
          <w:lang w:val="en-US" w:eastAsia="zh-CN" w:bidi="ar-SA"/>
        </w:rPr>
        <w:t>（</w:t>
      </w:r>
      <w:r>
        <w:rPr>
          <w:rFonts w:hint="eastAsia" w:cs="Times New Roman"/>
          <w:b w:val="0"/>
          <w:bCs w:val="0"/>
          <w:spacing w:val="-4"/>
          <w:sz w:val="28"/>
          <w:szCs w:val="28"/>
          <w:lang w:val="en-US" w:eastAsia="zh-CN" w:bidi="ar-SA"/>
        </w:rPr>
        <w:t>1</w:t>
      </w:r>
      <w:r>
        <w:rPr>
          <w:rFonts w:hint="default" w:ascii="Times New Roman" w:hAnsi="Times New Roman" w:eastAsia="宋体" w:cs="Times New Roman"/>
          <w:b w:val="0"/>
          <w:bCs w:val="0"/>
          <w:spacing w:val="-4"/>
          <w:sz w:val="28"/>
          <w:szCs w:val="28"/>
          <w:lang w:val="en-US" w:eastAsia="zh-CN" w:bidi="ar-SA"/>
        </w:rPr>
        <w:t>）</w:t>
      </w:r>
      <w:r>
        <w:rPr>
          <w:rFonts w:hint="default" w:ascii="Times New Roman" w:hAnsi="Times New Roman" w:cs="Times New Roman"/>
          <w:b w:val="0"/>
          <w:bCs w:val="0"/>
          <w:spacing w:val="-4"/>
          <w:sz w:val="28"/>
          <w:szCs w:val="28"/>
          <w:lang w:val="en-US" w:eastAsia="zh-CN" w:bidi="ar-SA"/>
        </w:rPr>
        <w:t>按照矿山生产规模，预计矿山开采形成</w:t>
      </w:r>
      <w:r>
        <w:rPr>
          <w:rFonts w:hint="default" w:ascii="Times New Roman" w:hAnsi="Times New Roman" w:cs="Times New Roman"/>
          <w:b w:val="0"/>
          <w:bCs w:val="0"/>
          <w:spacing w:val="-4"/>
          <w:sz w:val="28"/>
          <w:szCs w:val="28"/>
          <w:highlight w:val="none"/>
          <w:lang w:val="en-US" w:eastAsia="zh-CN"/>
        </w:rPr>
        <w:t>+55m标高以上平台，对+55m标高平台进行平整、覆土</w:t>
      </w:r>
      <w:r>
        <w:rPr>
          <w:rFonts w:hint="eastAsia" w:cs="Times New Roman"/>
          <w:b w:val="0"/>
          <w:bCs w:val="0"/>
          <w:spacing w:val="-4"/>
          <w:sz w:val="28"/>
          <w:szCs w:val="28"/>
          <w:highlight w:val="none"/>
          <w:lang w:val="en-US" w:eastAsia="zh-CN"/>
        </w:rPr>
        <w:t>复绿</w:t>
      </w:r>
      <w:r>
        <w:rPr>
          <w:rFonts w:hint="default" w:ascii="Times New Roman" w:hAnsi="Times New Roman" w:cs="Times New Roman"/>
          <w:b w:val="0"/>
          <w:bCs w:val="0"/>
          <w:spacing w:val="-4"/>
          <w:sz w:val="28"/>
          <w:szCs w:val="28"/>
          <w:highlight w:val="none"/>
          <w:lang w:val="en-US" w:eastAsia="zh-CN"/>
        </w:rPr>
        <w:t>。+55平台长度为</w:t>
      </w:r>
      <w:r>
        <w:rPr>
          <w:rFonts w:hint="eastAsia" w:cs="Times New Roman"/>
          <w:b w:val="0"/>
          <w:bCs w:val="0"/>
          <w:spacing w:val="-4"/>
          <w:sz w:val="28"/>
          <w:szCs w:val="28"/>
          <w:highlight w:val="none"/>
          <w:lang w:val="en-US" w:eastAsia="zh-CN"/>
        </w:rPr>
        <w:t>662</w:t>
      </w:r>
      <w:r>
        <w:rPr>
          <w:rFonts w:hint="default" w:ascii="Times New Roman" w:hAnsi="Times New Roman" w:cs="Times New Roman"/>
          <w:b w:val="0"/>
          <w:bCs w:val="0"/>
          <w:spacing w:val="-4"/>
          <w:sz w:val="28"/>
          <w:szCs w:val="28"/>
          <w:highlight w:val="none"/>
          <w:lang w:val="en-US" w:eastAsia="zh-CN"/>
        </w:rPr>
        <w:t>m，</w:t>
      </w:r>
      <w:r>
        <w:rPr>
          <w:rFonts w:hint="eastAsia"/>
          <w:sz w:val="28"/>
          <w:szCs w:val="28"/>
          <w:highlight w:val="none"/>
          <w:lang w:val="en-US" w:eastAsia="zh-CN"/>
        </w:rPr>
        <w:t>面积为2648m</w:t>
      </w:r>
      <w:r>
        <w:rPr>
          <w:rFonts w:hint="eastAsia"/>
          <w:sz w:val="28"/>
          <w:szCs w:val="28"/>
          <w:highlight w:val="none"/>
          <w:vertAlign w:val="superscript"/>
          <w:lang w:val="en-US" w:eastAsia="zh-CN"/>
        </w:rPr>
        <w:t>2</w:t>
      </w:r>
      <w:r>
        <w:rPr>
          <w:rFonts w:hint="eastAsia"/>
          <w:sz w:val="28"/>
          <w:szCs w:val="28"/>
          <w:highlight w:val="none"/>
          <w:lang w:val="en-US" w:eastAsia="zh-CN"/>
        </w:rPr>
        <w:t>，覆土量为1059</w:t>
      </w:r>
      <w:r>
        <w:rPr>
          <w:rFonts w:hint="eastAsia"/>
          <w:snapToGrid w:val="0"/>
          <w:sz w:val="28"/>
          <w:szCs w:val="28"/>
          <w:highlight w:val="none"/>
        </w:rPr>
        <w:t>m</w:t>
      </w:r>
      <w:r>
        <w:rPr>
          <w:rFonts w:hint="eastAsia"/>
          <w:snapToGrid w:val="0"/>
          <w:sz w:val="28"/>
          <w:szCs w:val="28"/>
          <w:highlight w:val="none"/>
          <w:vertAlign w:val="superscript"/>
        </w:rPr>
        <w:t>3</w:t>
      </w:r>
      <w:r>
        <w:rPr>
          <w:rFonts w:hint="eastAsia"/>
          <w:snapToGrid w:val="0"/>
          <w:sz w:val="28"/>
          <w:szCs w:val="28"/>
          <w:highlight w:val="none"/>
          <w:lang w:eastAsia="zh-CN"/>
        </w:rPr>
        <w:t>。</w:t>
      </w:r>
      <w:r>
        <w:rPr>
          <w:rFonts w:hint="default" w:ascii="Times New Roman" w:hAnsi="Times New Roman" w:cs="Times New Roman"/>
          <w:snapToGrid w:val="0"/>
          <w:sz w:val="28"/>
          <w:szCs w:val="28"/>
          <w:vertAlign w:val="baseline"/>
          <w:lang w:val="en-US" w:eastAsia="zh-CN"/>
        </w:rPr>
        <w:t>乔木栽植</w:t>
      </w:r>
      <w:r>
        <w:rPr>
          <w:rFonts w:hint="eastAsia" w:cs="Times New Roman"/>
          <w:snapToGrid w:val="0"/>
          <w:sz w:val="28"/>
          <w:szCs w:val="28"/>
          <w:vertAlign w:val="baseline"/>
          <w:lang w:val="en-US" w:eastAsia="zh-CN"/>
        </w:rPr>
        <w:t>423</w:t>
      </w:r>
      <w:r>
        <w:rPr>
          <w:rFonts w:hint="default" w:ascii="Times New Roman" w:hAnsi="Times New Roman" w:cs="Times New Roman"/>
          <w:snapToGrid w:val="0"/>
          <w:sz w:val="28"/>
          <w:szCs w:val="28"/>
          <w:vertAlign w:val="baseline"/>
          <w:lang w:val="en-US" w:eastAsia="zh-CN"/>
        </w:rPr>
        <w:t>株，</w:t>
      </w:r>
      <w:r>
        <w:rPr>
          <w:rFonts w:hint="eastAsia" w:cs="Times New Roman"/>
          <w:snapToGrid w:val="0"/>
          <w:sz w:val="28"/>
          <w:szCs w:val="28"/>
          <w:vertAlign w:val="baseline"/>
          <w:lang w:val="en-US" w:eastAsia="zh-CN"/>
        </w:rPr>
        <w:t>灌木种植423株，撒播草籽0.2648hm</w:t>
      </w:r>
      <w:r>
        <w:rPr>
          <w:rFonts w:hint="eastAsia" w:cs="Times New Roman"/>
          <w:snapToGrid w:val="0"/>
          <w:sz w:val="28"/>
          <w:szCs w:val="28"/>
          <w:vertAlign w:val="superscript"/>
          <w:lang w:val="en-US" w:eastAsia="zh-CN"/>
        </w:rPr>
        <w:t>2</w:t>
      </w:r>
      <w:r>
        <w:rPr>
          <w:rFonts w:hint="eastAsia" w:cs="Times New Roman"/>
          <w:snapToGrid w:val="0"/>
          <w:sz w:val="28"/>
          <w:szCs w:val="28"/>
          <w:vertAlign w:val="baseline"/>
          <w:lang w:val="en-US" w:eastAsia="zh-CN"/>
        </w:rPr>
        <w:t>，种植爬山虎</w:t>
      </w:r>
      <w:r>
        <w:rPr>
          <w:rFonts w:hint="eastAsia"/>
          <w:sz w:val="28"/>
          <w:szCs w:val="28"/>
          <w:lang w:val="en-US" w:eastAsia="zh-CN"/>
        </w:rPr>
        <w:t>662株，所需有机肥1177kg。平台外侧砌筑浆砌块石挡土墙，方量为198m</w:t>
      </w:r>
      <w:r>
        <w:rPr>
          <w:rFonts w:hint="eastAsia"/>
          <w:sz w:val="28"/>
          <w:szCs w:val="28"/>
          <w:vertAlign w:val="superscript"/>
          <w:lang w:val="en-US" w:eastAsia="zh-CN"/>
        </w:rPr>
        <w:t>3</w:t>
      </w:r>
      <w:r>
        <w:rPr>
          <w:rFonts w:hint="eastAsia"/>
          <w:sz w:val="28"/>
          <w:szCs w:val="28"/>
          <w:lang w:val="en-US" w:eastAsia="zh-CN"/>
        </w:rPr>
        <w:t>。</w:t>
      </w:r>
    </w:p>
    <w:p w14:paraId="3612C9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44" w:firstLineChars="200"/>
        <w:textAlignment w:val="auto"/>
        <w:rPr>
          <w:rFonts w:hint="eastAsia" w:ascii="宋体" w:hAnsi="宋体" w:cs="宋体"/>
          <w:b w:val="0"/>
          <w:bCs w:val="0"/>
          <w:spacing w:val="-4"/>
          <w:sz w:val="28"/>
          <w:szCs w:val="28"/>
          <w:highlight w:val="none"/>
          <w:lang w:val="en-US" w:eastAsia="zh-CN"/>
        </w:rPr>
      </w:pPr>
      <w:r>
        <w:rPr>
          <w:rFonts w:hint="default" w:ascii="Times New Roman" w:hAnsi="Times New Roman" w:cs="Times New Roman"/>
          <w:b w:val="0"/>
          <w:bCs w:val="0"/>
          <w:spacing w:val="-4"/>
          <w:sz w:val="28"/>
          <w:szCs w:val="28"/>
          <w:highlight w:val="none"/>
          <w:lang w:val="en-US" w:eastAsia="zh-CN"/>
        </w:rPr>
        <w:t>（2）</w:t>
      </w:r>
      <w:r>
        <w:rPr>
          <w:rFonts w:hint="eastAsia" w:ascii="宋体" w:hAnsi="宋体" w:cs="宋体"/>
          <w:b w:val="0"/>
          <w:bCs w:val="0"/>
          <w:spacing w:val="-4"/>
          <w:sz w:val="28"/>
          <w:szCs w:val="28"/>
          <w:highlight w:val="none"/>
          <w:lang w:val="en-US" w:eastAsia="zh-CN"/>
        </w:rPr>
        <w:t>对露天采场形成的地质灾害、水质、土壤进行监测。设计地质灾害监测点2个，地质灾害监测12次，水质监测2次，土壤检测4次。</w:t>
      </w:r>
    </w:p>
    <w:p w14:paraId="5645613B">
      <w:pPr>
        <w:pStyle w:val="7"/>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sz w:val="28"/>
          <w:szCs w:val="28"/>
          <w:highlight w:val="none"/>
          <w:lang w:val="en-US" w:eastAsia="zh-CN"/>
        </w:rPr>
      </w:pPr>
      <w:r>
        <w:rPr>
          <w:rFonts w:hint="eastAsia"/>
          <w:sz w:val="28"/>
          <w:szCs w:val="28"/>
          <w:highlight w:val="none"/>
          <w:lang w:val="en-US" w:eastAsia="zh-CN"/>
        </w:rPr>
        <w:t>3.2028年度工作任务及工程量</w:t>
      </w:r>
    </w:p>
    <w:p w14:paraId="567C2C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宋体" w:hAnsi="宋体" w:cs="宋体"/>
          <w:b w:val="0"/>
          <w:bCs w:val="0"/>
          <w:spacing w:val="-4"/>
          <w:sz w:val="28"/>
          <w:szCs w:val="28"/>
          <w:highlight w:val="none"/>
          <w:lang w:val="en-US" w:eastAsia="zh-CN"/>
        </w:rPr>
      </w:pPr>
      <w:r>
        <w:rPr>
          <w:rFonts w:hint="eastAsia"/>
          <w:snapToGrid w:val="0"/>
          <w:sz w:val="28"/>
          <w:szCs w:val="28"/>
          <w:vertAlign w:val="baseline"/>
          <w:lang w:val="en-US" w:eastAsia="zh-CN"/>
        </w:rPr>
        <w:t>此阶段为</w:t>
      </w:r>
      <w:r>
        <w:rPr>
          <w:rFonts w:hint="eastAsia" w:ascii="宋体" w:hAnsi="宋体" w:eastAsia="宋体" w:cs="宋体"/>
          <w:b w:val="0"/>
          <w:bCs w:val="0"/>
          <w:spacing w:val="-4"/>
          <w:sz w:val="28"/>
          <w:szCs w:val="28"/>
          <w:highlight w:val="none"/>
        </w:rPr>
        <w:t>矿山开采</w:t>
      </w:r>
      <w:r>
        <w:rPr>
          <w:rFonts w:hint="eastAsia" w:ascii="宋体" w:hAnsi="宋体" w:cs="宋体"/>
          <w:b w:val="0"/>
          <w:bCs w:val="0"/>
          <w:spacing w:val="-4"/>
          <w:sz w:val="28"/>
          <w:szCs w:val="28"/>
          <w:highlight w:val="none"/>
          <w:lang w:val="en-US" w:eastAsia="zh-CN"/>
        </w:rPr>
        <w:t>第二年</w:t>
      </w:r>
      <w:r>
        <w:rPr>
          <w:rFonts w:hint="eastAsia" w:ascii="宋体" w:hAnsi="宋体" w:cs="宋体"/>
          <w:b w:val="0"/>
          <w:bCs w:val="0"/>
          <w:spacing w:val="-4"/>
          <w:sz w:val="28"/>
          <w:szCs w:val="28"/>
          <w:highlight w:val="none"/>
          <w:lang w:eastAsia="zh-CN"/>
        </w:rPr>
        <w:t>，</w:t>
      </w:r>
      <w:r>
        <w:rPr>
          <w:rFonts w:hint="eastAsia" w:ascii="宋体" w:hAnsi="宋体" w:cs="宋体"/>
          <w:b w:val="0"/>
          <w:bCs w:val="0"/>
          <w:spacing w:val="-4"/>
          <w:sz w:val="28"/>
          <w:szCs w:val="28"/>
          <w:highlight w:val="none"/>
          <w:lang w:val="en-US" w:eastAsia="zh-CN"/>
        </w:rPr>
        <w:t>生态修复主要任务是对矿山露天采场前期开采的边坡进行地质灾害、水质、土壤进行监测以及对表土进行防护。设计地质灾害监测点2个，地质灾害监测12次，水质监测2次，土壤检测4次。</w:t>
      </w:r>
    </w:p>
    <w:p w14:paraId="5D41C6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eastAsia"/>
          <w:sz w:val="28"/>
          <w:szCs w:val="28"/>
          <w:highlight w:val="none"/>
          <w:lang w:val="en-US" w:eastAsia="zh-CN"/>
        </w:rPr>
      </w:pPr>
      <w:r>
        <w:rPr>
          <w:rFonts w:hint="eastAsia"/>
          <w:sz w:val="28"/>
          <w:szCs w:val="28"/>
          <w:highlight w:val="none"/>
          <w:lang w:val="en-US" w:eastAsia="zh-CN"/>
        </w:rPr>
        <w:t>根据以上进度安排，近3年矿山生态修复费用共计39.49万元，其中2026年度25.52万元，2027年度12.37万元，2028年度1.60万元。详见下表6-20。</w:t>
      </w:r>
    </w:p>
    <w:p w14:paraId="5F8F4A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表</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20  近3年</w:t>
      </w:r>
      <w:r>
        <w:rPr>
          <w:rFonts w:hint="eastAsia" w:ascii="宋体" w:hAnsi="宋体" w:eastAsia="宋体" w:cs="宋体"/>
          <w:b/>
          <w:bCs/>
          <w:sz w:val="24"/>
          <w:szCs w:val="24"/>
          <w:highlight w:val="none"/>
        </w:rPr>
        <w:t>矿山</w:t>
      </w:r>
      <w:r>
        <w:rPr>
          <w:rFonts w:hint="eastAsia" w:ascii="宋体" w:hAnsi="宋体" w:eastAsia="宋体" w:cs="宋体"/>
          <w:b/>
          <w:bCs/>
          <w:sz w:val="24"/>
          <w:szCs w:val="24"/>
          <w:highlight w:val="none"/>
          <w:lang w:val="en-US" w:eastAsia="zh-CN"/>
        </w:rPr>
        <w:t>生态修复工程量及</w:t>
      </w:r>
      <w:r>
        <w:rPr>
          <w:rFonts w:hint="eastAsia" w:ascii="宋体" w:hAnsi="宋体" w:eastAsia="宋体" w:cs="宋体"/>
          <w:b/>
          <w:bCs/>
          <w:sz w:val="24"/>
          <w:szCs w:val="24"/>
          <w:highlight w:val="none"/>
        </w:rPr>
        <w:t>费用年度计划表</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4"/>
        <w:gridCol w:w="1906"/>
        <w:gridCol w:w="669"/>
        <w:gridCol w:w="751"/>
        <w:gridCol w:w="1061"/>
        <w:gridCol w:w="821"/>
        <w:gridCol w:w="1144"/>
        <w:gridCol w:w="714"/>
        <w:gridCol w:w="882"/>
      </w:tblGrid>
      <w:tr w14:paraId="54CED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00" w:type="pct"/>
            <w:gridSpan w:val="9"/>
            <w:tcBorders>
              <w:bottom w:val="single" w:color="auto" w:sz="4" w:space="0"/>
            </w:tcBorders>
            <w:shd w:val="clear" w:color="auto" w:fill="auto"/>
            <w:tcMar>
              <w:top w:w="0" w:type="dxa"/>
              <w:left w:w="17" w:type="dxa"/>
              <w:bottom w:w="0" w:type="dxa"/>
              <w:right w:w="17" w:type="dxa"/>
            </w:tcMar>
            <w:vAlign w:val="center"/>
          </w:tcPr>
          <w:p w14:paraId="4160010C">
            <w:pPr>
              <w:keepNext w:val="0"/>
              <w:keepLines w:val="0"/>
              <w:pageBreakBefore w:val="0"/>
              <w:widowControl/>
              <w:suppressLineNumbers w:val="0"/>
              <w:kinsoku/>
              <w:wordWrap/>
              <w:overflowPunct/>
              <w:topLinePunct w:val="0"/>
              <w:autoSpaceDE/>
              <w:autoSpaceDN/>
              <w:bidi w:val="0"/>
              <w:adjustRightInd/>
              <w:snapToGrid/>
              <w:ind w:firstLine="0" w:firstLineChars="0"/>
              <w:jc w:val="right"/>
              <w:textAlignment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cs="Times New Roman"/>
                <w:b w:val="0"/>
                <w:bCs w:val="0"/>
                <w:i w:val="0"/>
                <w:iCs w:val="0"/>
                <w:color w:val="auto"/>
                <w:sz w:val="21"/>
                <w:szCs w:val="21"/>
                <w:u w:val="none"/>
                <w:lang w:val="en-US" w:eastAsia="zh-CN"/>
              </w:rPr>
              <w:t>单元：元</w:t>
            </w:r>
          </w:p>
        </w:tc>
      </w:tr>
      <w:tr w14:paraId="5F7D2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96B96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080"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89F49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工程或费用名称</w:t>
            </w:r>
          </w:p>
        </w:tc>
        <w:tc>
          <w:tcPr>
            <w:tcW w:w="379" w:type="pct"/>
            <w:vMerge w:val="restar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16371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1026"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AC43C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lang w:val="en-US" w:eastAsia="zh-CN" w:bidi="ar-SA"/>
              </w:rPr>
            </w:pPr>
            <w:r>
              <w:rPr>
                <w:rFonts w:hint="default" w:ascii="Times New Roman" w:hAnsi="Times New Roman" w:eastAsia="宋体" w:cs="Times New Roman"/>
                <w:b/>
                <w:bCs/>
                <w:i w:val="0"/>
                <w:iCs w:val="0"/>
                <w:color w:val="auto"/>
                <w:sz w:val="21"/>
                <w:szCs w:val="21"/>
                <w:u w:val="none"/>
                <w:lang w:val="en-US" w:eastAsia="zh-CN"/>
              </w:rPr>
              <w:t>2026年度</w:t>
            </w:r>
          </w:p>
        </w:tc>
        <w:tc>
          <w:tcPr>
            <w:tcW w:w="1113"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58267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lang w:val="en-US" w:eastAsia="zh-CN" w:bidi="ar-SA"/>
              </w:rPr>
            </w:pPr>
            <w:r>
              <w:rPr>
                <w:rFonts w:hint="default" w:ascii="Times New Roman" w:hAnsi="Times New Roman" w:eastAsia="宋体" w:cs="Times New Roman"/>
                <w:b/>
                <w:bCs/>
                <w:i w:val="0"/>
                <w:iCs w:val="0"/>
                <w:color w:val="auto"/>
                <w:sz w:val="21"/>
                <w:szCs w:val="21"/>
                <w:u w:val="none"/>
                <w:lang w:val="en-US" w:eastAsia="zh-CN"/>
              </w:rPr>
              <w:t>2027年度</w:t>
            </w:r>
          </w:p>
        </w:tc>
        <w:tc>
          <w:tcPr>
            <w:tcW w:w="904"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C41C4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lang w:val="en-US" w:eastAsia="zh-CN" w:bidi="ar-SA"/>
              </w:rPr>
            </w:pPr>
            <w:r>
              <w:rPr>
                <w:rFonts w:hint="default" w:ascii="Times New Roman" w:hAnsi="Times New Roman" w:eastAsia="宋体" w:cs="Times New Roman"/>
                <w:b/>
                <w:bCs/>
                <w:i w:val="0"/>
                <w:iCs w:val="0"/>
                <w:color w:val="auto"/>
                <w:sz w:val="21"/>
                <w:szCs w:val="21"/>
                <w:u w:val="none"/>
                <w:lang w:val="en-US" w:eastAsia="zh-CN"/>
              </w:rPr>
              <w:t>2028年度</w:t>
            </w:r>
          </w:p>
        </w:tc>
      </w:tr>
      <w:tr w14:paraId="1CA2D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7DD8E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p>
        </w:tc>
        <w:tc>
          <w:tcPr>
            <w:tcW w:w="1080"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0AE8F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p>
        </w:tc>
        <w:tc>
          <w:tcPr>
            <w:tcW w:w="379" w:type="pct"/>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6B62A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CA9E8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工程量</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AE833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金额</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91EB7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工程量</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4B949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金额</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5CBC7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工程量</w:t>
            </w: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14B5A2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金额</w:t>
            </w:r>
          </w:p>
        </w:tc>
      </w:tr>
      <w:tr w14:paraId="32E09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E7F49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一</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4DCA8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地貌重塑工程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DACBB3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E3D3D9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763B2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255176.72</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CC9123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800405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D62219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D9AF57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5888F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DBC24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（一）</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4C94D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截排水工程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D5ADB6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8935A2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01574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40084.76</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770226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29EB47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96F81C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2AD9FD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60F4B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9C588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120EE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矿区外部截水沟</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5C4CEF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2A16BD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59183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33291.56</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EB54A5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4723EC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23523A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A30C9F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2BD3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E8DC2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E3074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土方开挖</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C7B127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3A8EF8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157.95</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52C422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522.40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D282AE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AD96F3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EF1190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D98D87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6A65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BB4A1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7ABB4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水泥毡</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8FE66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2</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A6CA1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676.00</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713D9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9464.00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22528F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432DB6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563C04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8E2940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0A6E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4DDB0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AB886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砂浆抹面</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8073A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2</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B7051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676.00</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D47DB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23305.16</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EC80EB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398D6E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9CBDF9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1426F6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12E73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F5089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10F9A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沉砂池</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76C466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E4EE40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D5B7B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6793.21</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3F77D5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2CF94F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E518E8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DB9DEE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FA3B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0B9D4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F6BF8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土方开挖</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453CA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F0A8C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69.00</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6027E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228.21</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003161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C03879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D60E72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AD76F9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481D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5F776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5F150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现浇混凝土</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EC8D3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AA527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10.10</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FB561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6565.00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3DA3F6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F23006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8B77D7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1DCF95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5A9D8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3B6B0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（四）</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B454C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防护栏及警示牌</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7A0D78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0239D6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7EE8A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215091.96</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787B33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AB1275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2431AA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51A97B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6562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9A2B9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CA602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防护栏</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B2367B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0FFCC8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EEB47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211041.96</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7DAC6E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6E1EE3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A043F7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261236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5836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8E23FF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D7DB9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刺丝围墙</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2C76E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3CA54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1361.00</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51C34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211041.96</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A369C5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D1D56A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49D7D1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8C715D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05A0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BE5B1F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A9337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警示牌</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D1577F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782C41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EDFFD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4050.00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A20202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826847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89B0C1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94474C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387E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D19F0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131EE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警示牌</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469E3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块</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1237E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27.00</w:t>
            </w: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BBDCC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4050.00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C31E29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2FC5EE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6B7571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AB6D6A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0AAD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F29D2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（五）</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C93DB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复垦用土临时堆场防护工程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5C0271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30FB6F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7D70F0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20E211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4F6F93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7ABC80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72941C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4E0D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48147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7D193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砂垒挡墙</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A97ED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59EDC0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B1AD20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7DEF0D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F99A51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78A7E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493.00</w:t>
            </w: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06F26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7395.00</w:t>
            </w:r>
          </w:p>
        </w:tc>
      </w:tr>
      <w:tr w14:paraId="5B039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B8003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（六）</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8B7DA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采矿边坡平台挡土墙工程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CDB2FC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3B34D5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F4B19D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654175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88510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81402.79</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C48F7C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9081CF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06666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05F1D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3AAC5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浆砌块石挡墙</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06908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1A834A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2321B7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1461C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198.00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37BF8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81402.79</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530E8A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8FE47A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420F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7A5A9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二</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0DEE4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土壤重构工程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229772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A73F25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994460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5B3302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97531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25258.36</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7BB270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B4DBDF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2020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87CC8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（一）</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E8269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表土覆盖</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0F49FE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FE2AF3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F90EA9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FA58E2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C9369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23492.86</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1DC29F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CEB5B4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1F494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04165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9E127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场地地面覆土40cm</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6BA5E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021E2A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23F40C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B0346E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5C98CA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CD6573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3D030E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0D19C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FCF8F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F23EF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平台覆土40cm</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EF0BDA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696122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D46A72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7398D8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34AB3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23492.86</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C364E2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BC1DEA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E10B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3C19D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BBC78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人工装双胶轮车运土</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2C72B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0B0088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9419A8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0F8C1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1059.00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0FBD5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17215.70</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68CCF0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11D15D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13A3B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04E0D0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E2339D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人工平土</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711F2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2</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1390E0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98314B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C180B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2648.00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8E4A1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6277.16</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23255D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7265C1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473E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D3C08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（二）</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431C5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培肥改良</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D3355E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DDFCA8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E9601F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BF0E24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942097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1765.50</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4ECD49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263C12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0B1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0B4BD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8E62DE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土壤培肥(有机肥)</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D4461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C89216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221093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8D8AB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1177.00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2B46C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1765.50</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E23C6A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453CDD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C16A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ECE57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三</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C5E01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植被重建工程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40F687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EBFC97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2A30EB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990D38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2E7BC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8317.09</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0A858E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DB47D9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49A7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A1E4A2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BE6A3D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林草恢复工程</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D77165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5BEE60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6DDAF2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144FC8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A2125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8317.09</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7D9837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4674A6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51664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116CF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2C895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种植乔木（木麻黄）</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11ACE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株</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9DDE9E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C71795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F3A74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423.00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5A445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3043.44</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5DAAE5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AD4D96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61397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70A14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8111C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种植灌木（黄槿）</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014E5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株</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C9725B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774D79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62D51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423.00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24FCA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3331.90</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B3855E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76A82A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1662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F8F9B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253A4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植草（撒播草籽）</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F106A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hm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2</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A096E2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AD5386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F2563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0.2648</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65EC5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942.12</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E25253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F8EC0B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414FB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196E1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w:t>
            </w: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7C282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种植爬山虎</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8D2B84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株</w:t>
            </w: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8A4F32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E1F6E4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F264C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662.00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14B2E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999.63</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573F5B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224BE4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0BF6F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3BB5E9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1080"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E84960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监测与管护</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F2A6D0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7B6BDF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FBDE0D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37C49B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784867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8710.00</w:t>
            </w:r>
          </w:p>
        </w:tc>
        <w:tc>
          <w:tcPr>
            <w:tcW w:w="404"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31C043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311AE2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8600.00</w:t>
            </w:r>
          </w:p>
        </w:tc>
      </w:tr>
      <w:tr w14:paraId="4DE1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BE207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2E57C9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监测站点</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81192B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8637A3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842F87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50D6E6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613530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CA1F2C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F82038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72D69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69B83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761C6E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地质灾害监测站点</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39EB0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个</w:t>
            </w: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66BCBE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D10445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F5751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2.00</w:t>
            </w: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CE281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110.00</w:t>
            </w: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2F995E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57E06B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3CF1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B5D0D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0E3238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监测次数</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4FF383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5E41FB8">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DD45BB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735723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D5211D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DF802D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F7327E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r>
      <w:tr w14:paraId="1ACAE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54DC7C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299E2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地质灾害监测次数</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A401F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次</w:t>
            </w: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F9695C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5BB8D6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FF019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12.00</w:t>
            </w: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03802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600.00</w:t>
            </w: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05C1B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12.00</w:t>
            </w: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41FE5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600.00</w:t>
            </w:r>
          </w:p>
        </w:tc>
      </w:tr>
      <w:tr w14:paraId="7FD5B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939F9B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11ACA4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水质监测次数</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67973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次</w:t>
            </w: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528426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7BAF863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4F71EB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2.00</w:t>
            </w: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C83F8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4000.00</w:t>
            </w: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1E577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2.00</w:t>
            </w: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57C43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4000.00</w:t>
            </w:r>
          </w:p>
        </w:tc>
      </w:tr>
      <w:tr w14:paraId="462E2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263A0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96C33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土壤监测次数</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6E4884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次</w:t>
            </w: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A7998B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083F3D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24D19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w:t>
            </w: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6AE9D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4000.00</w:t>
            </w: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1B477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w:t>
            </w: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07F64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4000.00</w:t>
            </w:r>
          </w:p>
        </w:tc>
      </w:tr>
      <w:tr w14:paraId="4650C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6F2CAD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w:t>
            </w:r>
          </w:p>
        </w:tc>
        <w:tc>
          <w:tcPr>
            <w:tcW w:w="1080" w:type="pct"/>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5A18A6B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管护</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1F8A695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hm²×年</w:t>
            </w: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00B4091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01"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EDAC6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255176.72</w:t>
            </w:r>
          </w:p>
        </w:tc>
        <w:tc>
          <w:tcPr>
            <w:tcW w:w="46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64963C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648"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F2A13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123688.24</w:t>
            </w:r>
          </w:p>
        </w:tc>
        <w:tc>
          <w:tcPr>
            <w:tcW w:w="404"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3B26621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2BE68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15995.00</w:t>
            </w:r>
          </w:p>
        </w:tc>
      </w:tr>
      <w:tr w14:paraId="01BB2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pct"/>
            <w:gridSpan w:val="2"/>
            <w:tcBorders>
              <w:top w:val="single" w:color="auto" w:sz="4" w:space="0"/>
              <w:left w:val="single" w:color="auto" w:sz="4" w:space="0"/>
              <w:bottom w:val="single" w:color="auto" w:sz="4" w:space="0"/>
              <w:right w:val="single" w:color="auto" w:sz="4" w:space="0"/>
            </w:tcBorders>
            <w:shd w:val="clear" w:color="auto" w:fill="auto"/>
            <w:tcMar>
              <w:top w:w="0" w:type="dxa"/>
              <w:left w:w="17" w:type="dxa"/>
              <w:bottom w:w="0" w:type="dxa"/>
              <w:right w:w="17" w:type="dxa"/>
            </w:tcMar>
            <w:vAlign w:val="center"/>
          </w:tcPr>
          <w:p w14:paraId="4AAC7EA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ascii="Times New Roman" w:hAnsi="Times New Roman" w:eastAsia="宋体" w:cs="Times New Roman"/>
                <w:b w:val="0"/>
                <w:bCs w:val="0"/>
                <w:i w:val="0"/>
                <w:iCs w:val="0"/>
                <w:color w:val="auto"/>
                <w:sz w:val="21"/>
                <w:szCs w:val="21"/>
                <w:u w:val="none"/>
                <w:lang w:val="en-US" w:eastAsia="zh-CN"/>
              </w:rPr>
              <w:t>合计（</w:t>
            </w:r>
            <w:r>
              <w:rPr>
                <w:rFonts w:hint="eastAsia" w:cs="Times New Roman"/>
                <w:b w:val="0"/>
                <w:bCs w:val="0"/>
                <w:i w:val="0"/>
                <w:iCs w:val="0"/>
                <w:color w:val="auto"/>
                <w:sz w:val="21"/>
                <w:szCs w:val="21"/>
                <w:u w:val="none"/>
                <w:lang w:val="en-US" w:eastAsia="zh-CN"/>
              </w:rPr>
              <w:t>万</w:t>
            </w:r>
            <w:r>
              <w:rPr>
                <w:rFonts w:hint="eastAsia" w:ascii="Times New Roman" w:hAnsi="Times New Roman" w:eastAsia="宋体" w:cs="Times New Roman"/>
                <w:b w:val="0"/>
                <w:bCs w:val="0"/>
                <w:i w:val="0"/>
                <w:iCs w:val="0"/>
                <w:color w:val="auto"/>
                <w:sz w:val="21"/>
                <w:szCs w:val="21"/>
                <w:u w:val="none"/>
                <w:lang w:val="en-US" w:eastAsia="zh-CN"/>
              </w:rPr>
              <w:t>元）</w:t>
            </w:r>
          </w:p>
        </w:tc>
        <w:tc>
          <w:tcPr>
            <w:tcW w:w="379"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5C28F0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c>
          <w:tcPr>
            <w:tcW w:w="425" w:type="pct"/>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438C86B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2619" w:type="pct"/>
            <w:gridSpan w:val="5"/>
            <w:tcBorders>
              <w:top w:val="single" w:color="auto" w:sz="4" w:space="0"/>
              <w:left w:val="single" w:color="auto" w:sz="4" w:space="0"/>
              <w:bottom w:val="single" w:color="auto" w:sz="4" w:space="0"/>
              <w:right w:val="single" w:color="auto" w:sz="4" w:space="0"/>
            </w:tcBorders>
            <w:shd w:val="clear" w:color="auto" w:fill="auto"/>
            <w:noWrap/>
            <w:tcMar>
              <w:top w:w="0" w:type="dxa"/>
              <w:left w:w="17" w:type="dxa"/>
              <w:bottom w:w="0" w:type="dxa"/>
              <w:right w:w="17" w:type="dxa"/>
            </w:tcMar>
            <w:vAlign w:val="center"/>
          </w:tcPr>
          <w:p w14:paraId="273AC4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39</w:t>
            </w:r>
            <w:r>
              <w:rPr>
                <w:rFonts w:hint="eastAsia" w:ascii="Times New Roman" w:hAnsi="Times New Roman" w:eastAsia="宋体"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4</w:t>
            </w:r>
            <w:r>
              <w:rPr>
                <w:rFonts w:hint="eastAsia" w:ascii="Times New Roman" w:hAnsi="Times New Roman" w:eastAsia="宋体" w:cs="Times New Roman"/>
                <w:b w:val="0"/>
                <w:bCs w:val="0"/>
                <w:i w:val="0"/>
                <w:iCs w:val="0"/>
                <w:color w:val="auto"/>
                <w:kern w:val="0"/>
                <w:sz w:val="21"/>
                <w:szCs w:val="21"/>
                <w:u w:val="none"/>
                <w:lang w:val="en-US" w:eastAsia="zh-CN" w:bidi="ar"/>
              </w:rPr>
              <w:t>9万元</w:t>
            </w:r>
          </w:p>
        </w:tc>
      </w:tr>
    </w:tbl>
    <w:p w14:paraId="7B706E37">
      <w:pPr>
        <w:bidi w:val="0"/>
      </w:pPr>
    </w:p>
    <w:p w14:paraId="7B41FB8F">
      <w:pPr>
        <w:sectPr>
          <w:headerReference r:id="rId15" w:type="default"/>
          <w:footerReference r:id="rId16" w:type="default"/>
          <w:pgSz w:w="11906" w:h="16838"/>
          <w:pgMar w:top="1701" w:right="1417" w:bottom="1417" w:left="1701" w:header="1134" w:footer="992" w:gutter="0"/>
          <w:pgBorders>
            <w:top w:val="none" w:sz="0" w:space="0"/>
            <w:left w:val="none" w:sz="0" w:space="0"/>
            <w:bottom w:val="none" w:sz="0" w:space="0"/>
            <w:right w:val="none" w:sz="0" w:space="0"/>
          </w:pgBorders>
          <w:pgNumType w:fmt="decimal"/>
          <w:cols w:space="0" w:num="1"/>
          <w:rtlGutter w:val="0"/>
          <w:docGrid w:type="lines" w:linePitch="418" w:charSpace="0"/>
        </w:sectPr>
      </w:pPr>
    </w:p>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14:paraId="4BF0B83C">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pPr>
      <w:bookmarkStart w:id="475" w:name="_Toc502047915"/>
      <w:bookmarkStart w:id="476" w:name="_Toc502045096"/>
      <w:bookmarkStart w:id="477" w:name="_Toc509344853"/>
      <w:bookmarkStart w:id="478" w:name="_Toc502684811"/>
      <w:bookmarkStart w:id="479" w:name="_Toc502063972"/>
      <w:bookmarkStart w:id="480" w:name="_Toc502047711"/>
      <w:bookmarkStart w:id="481" w:name="_Toc509345037"/>
      <w:bookmarkStart w:id="482" w:name="_Toc509345141"/>
      <w:bookmarkStart w:id="483" w:name="_Toc502045870"/>
      <w:bookmarkStart w:id="484" w:name="_Toc22394_WPSOffice_Level1"/>
      <w:bookmarkStart w:id="485" w:name="_Toc46047471"/>
      <w:bookmarkStart w:id="486" w:name="_Toc510594094"/>
      <w:bookmarkStart w:id="487" w:name="_Toc20093_WPSOffice_Level1"/>
      <w:bookmarkStart w:id="488" w:name="_Toc1290_WPSOffice_Level1"/>
      <w:bookmarkStart w:id="489" w:name="_Toc514858692"/>
      <w:bookmarkStart w:id="490" w:name="_Toc10065"/>
      <w:r>
        <w:t>第</w:t>
      </w:r>
      <w:r>
        <w:rPr>
          <w:rFonts w:hint="eastAsia"/>
        </w:rPr>
        <w:t>八</w:t>
      </w:r>
      <w:r>
        <w:t>章</w:t>
      </w:r>
      <w:r>
        <w:rPr>
          <w:rFonts w:hint="eastAsia"/>
        </w:rPr>
        <w:t xml:space="preserve">  </w:t>
      </w:r>
      <w:r>
        <w:t>结论</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056DE9E9">
      <w:pPr>
        <w:keepNext w:val="0"/>
        <w:keepLines w:val="0"/>
        <w:pageBreakBefore w:val="0"/>
        <w:widowControl w:val="0"/>
        <w:kinsoku/>
        <w:wordWrap/>
        <w:overflowPunct/>
        <w:topLinePunct w:val="0"/>
        <w:autoSpaceDE/>
        <w:autoSpaceDN/>
        <w:bidi w:val="0"/>
        <w:adjustRightInd/>
        <w:snapToGrid/>
        <w:spacing w:before="211" w:beforeLines="50" w:line="360" w:lineRule="auto"/>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w:t>
      </w:r>
      <w:r>
        <w:rPr>
          <w:rFonts w:hint="default" w:ascii="Times New Roman" w:hAnsi="Times New Roman" w:eastAsia="宋体" w:cs="Times New Roman"/>
          <w:b w:val="0"/>
          <w:bCs/>
          <w:sz w:val="28"/>
          <w:szCs w:val="28"/>
          <w:highlight w:val="none"/>
          <w:lang w:val="en-US" w:eastAsia="zh-CN"/>
        </w:rPr>
        <w:t>广东省徐闻县城北乡迈报（西山坑）矿区建筑用玄武岩矿</w:t>
      </w:r>
      <w:r>
        <w:rPr>
          <w:rFonts w:hint="default" w:ascii="Times New Roman" w:hAnsi="Times New Roman" w:eastAsia="宋体" w:cs="Times New Roman"/>
          <w:sz w:val="28"/>
          <w:szCs w:val="28"/>
        </w:rPr>
        <w:t>属新建矿山，矿区面积0.1012 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，开采标高+59m～+30m。开采矿种为建筑用</w:t>
      </w:r>
      <w:r>
        <w:rPr>
          <w:rFonts w:hint="default" w:ascii="Times New Roman" w:hAnsi="Times New Roman" w:eastAsia="宋体" w:cs="Times New Roman"/>
          <w:sz w:val="28"/>
          <w:szCs w:val="28"/>
          <w:lang w:val="en-US" w:eastAsia="zh-CN"/>
        </w:rPr>
        <w:t>玄武岩</w:t>
      </w:r>
      <w:r>
        <w:rPr>
          <w:rFonts w:hint="default" w:ascii="Times New Roman" w:hAnsi="Times New Roman" w:eastAsia="宋体" w:cs="Times New Roman"/>
          <w:sz w:val="28"/>
          <w:szCs w:val="28"/>
        </w:rPr>
        <w:t>。设计生产规模为</w:t>
      </w:r>
      <w:r>
        <w:rPr>
          <w:rFonts w:hint="default" w:ascii="Times New Roman" w:hAnsi="Times New Roman" w:eastAsia="宋体" w:cs="Times New Roman"/>
          <w:sz w:val="28"/>
          <w:szCs w:val="28"/>
          <w:lang w:val="en-US" w:eastAsia="zh-CN"/>
        </w:rPr>
        <w:t>15</w:t>
      </w:r>
      <w:r>
        <w:rPr>
          <w:rFonts w:hint="default" w:ascii="Times New Roman" w:hAnsi="Times New Roman" w:eastAsia="宋体" w:cs="Times New Roman"/>
          <w:sz w:val="28"/>
          <w:szCs w:val="28"/>
        </w:rPr>
        <w:t>万m</w:t>
      </w:r>
      <w:r>
        <w:rPr>
          <w:rFonts w:hint="default" w:ascii="Times New Roman" w:hAnsi="Times New Roman" w:eastAsia="宋体" w:cs="Times New Roman"/>
          <w:sz w:val="28"/>
          <w:szCs w:val="28"/>
          <w:vertAlign w:val="superscript"/>
        </w:rPr>
        <w:t>3</w:t>
      </w:r>
      <w:r>
        <w:rPr>
          <w:rFonts w:hint="default" w:ascii="Times New Roman" w:hAnsi="Times New Roman" w:eastAsia="宋体" w:cs="Times New Roman"/>
          <w:sz w:val="28"/>
          <w:szCs w:val="28"/>
        </w:rPr>
        <w:t>/年。本矿山</w:t>
      </w:r>
      <w:r>
        <w:rPr>
          <w:rFonts w:hint="default" w:ascii="Times New Roman" w:hAnsi="Times New Roman" w:eastAsia="宋体" w:cs="Times New Roman"/>
          <w:sz w:val="28"/>
          <w:szCs w:val="28"/>
          <w:lang w:val="en-US" w:eastAsia="zh-CN"/>
        </w:rPr>
        <w:t>生态修复</w:t>
      </w:r>
      <w:r>
        <w:rPr>
          <w:rFonts w:hint="default" w:ascii="Times New Roman" w:hAnsi="Times New Roman" w:eastAsia="宋体" w:cs="Times New Roman"/>
          <w:sz w:val="28"/>
          <w:szCs w:val="28"/>
        </w:rPr>
        <w:t>方案</w:t>
      </w:r>
      <w:r>
        <w:rPr>
          <w:rFonts w:hint="default" w:ascii="Times New Roman" w:hAnsi="Times New Roman" w:eastAsia="宋体" w:cs="Times New Roman"/>
          <w:sz w:val="28"/>
          <w:szCs w:val="28"/>
          <w:lang w:val="en-US" w:eastAsia="zh-CN"/>
        </w:rPr>
        <w:t>服务年限为10年，</w:t>
      </w:r>
      <w:r>
        <w:rPr>
          <w:rFonts w:hint="default" w:ascii="Times New Roman" w:hAnsi="Times New Roman" w:eastAsia="宋体" w:cs="Times New Roman"/>
          <w:sz w:val="28"/>
          <w:szCs w:val="28"/>
        </w:rPr>
        <w:t>包括基建期（</w:t>
      </w:r>
      <w:r>
        <w:rPr>
          <w:rFonts w:hint="default" w:ascii="Times New Roman" w:hAnsi="Times New Roman" w:eastAsia="宋体" w:cs="Times New Roman"/>
          <w:sz w:val="28"/>
          <w:szCs w:val="28"/>
          <w:lang w:val="en-US" w:eastAsia="zh-CN"/>
        </w:rPr>
        <w:t>0.5</w:t>
      </w: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lang w:val="en-US" w:eastAsia="zh-CN"/>
        </w:rPr>
        <w:t>生产期</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en-US" w:eastAsia="zh-CN"/>
        </w:rPr>
        <w:t>5.5</w:t>
      </w:r>
      <w:r>
        <w:rPr>
          <w:rFonts w:hint="default" w:ascii="Times New Roman" w:hAnsi="Times New Roman" w:eastAsia="宋体" w:cs="Times New Roman"/>
          <w:sz w:val="28"/>
          <w:szCs w:val="28"/>
        </w:rPr>
        <w:t>年）+闭坑治理</w:t>
      </w:r>
      <w:r>
        <w:rPr>
          <w:rFonts w:hint="default" w:ascii="Times New Roman" w:hAnsi="Times New Roman" w:eastAsia="宋体" w:cs="Times New Roman"/>
          <w:sz w:val="28"/>
          <w:szCs w:val="28"/>
          <w:lang w:val="en-US" w:eastAsia="zh-CN"/>
        </w:rPr>
        <w:t>期</w:t>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lang w:val="en-US" w:eastAsia="zh-CN"/>
        </w:rPr>
        <w:t>.0</w:t>
      </w:r>
      <w:r>
        <w:rPr>
          <w:rFonts w:hint="default" w:ascii="Times New Roman" w:hAnsi="Times New Roman" w:eastAsia="宋体" w:cs="Times New Roman"/>
          <w:sz w:val="28"/>
          <w:szCs w:val="28"/>
        </w:rPr>
        <w:t>年）+管护期（3年）。适用年限为</w:t>
      </w:r>
      <w:r>
        <w:rPr>
          <w:rFonts w:hint="eastAsia" w:cs="Times New Roman"/>
          <w:sz w:val="28"/>
          <w:szCs w:val="28"/>
          <w:lang w:val="en-US" w:eastAsia="zh-CN"/>
        </w:rPr>
        <w:t>10</w:t>
      </w:r>
      <w:r>
        <w:rPr>
          <w:rFonts w:hint="default" w:ascii="Times New Roman" w:hAnsi="Times New Roman" w:eastAsia="宋体" w:cs="Times New Roman"/>
          <w:sz w:val="28"/>
          <w:szCs w:val="28"/>
        </w:rPr>
        <w:t>年（202</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年~20</w:t>
      </w:r>
      <w:r>
        <w:rPr>
          <w:rFonts w:hint="eastAsia" w:cs="Times New Roman"/>
          <w:sz w:val="28"/>
          <w:szCs w:val="28"/>
          <w:lang w:val="en-US" w:eastAsia="zh-CN"/>
        </w:rPr>
        <w:t>36</w:t>
      </w:r>
      <w:r>
        <w:rPr>
          <w:rFonts w:hint="default" w:ascii="Times New Roman" w:hAnsi="Times New Roman" w:eastAsia="宋体" w:cs="Times New Roman"/>
          <w:sz w:val="28"/>
          <w:szCs w:val="28"/>
        </w:rPr>
        <w:t>年），方案基准年为202</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从正式投产之日起计算。</w:t>
      </w:r>
    </w:p>
    <w:p w14:paraId="023CC8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rPr>
        <w:t>2．根据《矿区生态修复方案编制指南（临时）》生态修复方案涉及的范围包括采矿登记范围和采矿活动可能影响的范围。</w:t>
      </w:r>
      <w:r>
        <w:rPr>
          <w:rFonts w:hint="default" w:ascii="Times New Roman" w:hAnsi="Times New Roman" w:eastAsia="宋体" w:cs="Times New Roman"/>
          <w:sz w:val="28"/>
          <w:szCs w:val="28"/>
          <w:lang w:val="en-US" w:eastAsia="zh-CN"/>
        </w:rPr>
        <w:t>评估</w:t>
      </w:r>
      <w:r>
        <w:rPr>
          <w:rFonts w:hint="default" w:ascii="Times New Roman" w:hAnsi="Times New Roman" w:eastAsia="宋体" w:cs="Times New Roman"/>
          <w:sz w:val="28"/>
          <w:szCs w:val="28"/>
        </w:rPr>
        <w:t>工作范围</w:t>
      </w:r>
      <w:r>
        <w:rPr>
          <w:rFonts w:hint="default" w:ascii="Times New Roman" w:hAnsi="Times New Roman" w:eastAsia="宋体" w:cs="Times New Roman"/>
          <w:sz w:val="28"/>
          <w:szCs w:val="28"/>
          <w:lang w:val="en-US" w:eastAsia="zh-CN"/>
        </w:rPr>
        <w:t>包含</w:t>
      </w:r>
      <w:r>
        <w:rPr>
          <w:rFonts w:hint="default" w:ascii="Times New Roman" w:hAnsi="Times New Roman" w:eastAsia="宋体" w:cs="Times New Roman"/>
          <w:sz w:val="28"/>
          <w:szCs w:val="28"/>
          <w:highlight w:val="none"/>
        </w:rPr>
        <w:t>露天采场、复垦用土临时堆场</w:t>
      </w:r>
      <w:r>
        <w:rPr>
          <w:rFonts w:hint="default" w:ascii="Times New Roman" w:hAnsi="Times New Roman" w:eastAsia="宋体" w:cs="Times New Roman"/>
          <w:sz w:val="28"/>
          <w:szCs w:val="28"/>
          <w:highlight w:val="none"/>
          <w:lang w:eastAsia="zh-CN"/>
        </w:rPr>
        <w:t>、排土场、破碎站、办公生活区、</w:t>
      </w:r>
      <w:r>
        <w:rPr>
          <w:rFonts w:hint="default" w:ascii="Times New Roman" w:hAnsi="Times New Roman" w:eastAsia="宋体" w:cs="Times New Roman"/>
          <w:sz w:val="28"/>
          <w:szCs w:val="28"/>
          <w:highlight w:val="none"/>
          <w:lang w:val="en-US" w:eastAsia="zh-CN"/>
        </w:rPr>
        <w:t>矿区道路等</w:t>
      </w:r>
      <w:r>
        <w:rPr>
          <w:rFonts w:hint="default" w:ascii="Times New Roman" w:hAnsi="Times New Roman" w:eastAsia="宋体" w:cs="Times New Roman"/>
          <w:sz w:val="28"/>
          <w:szCs w:val="28"/>
        </w:rPr>
        <w:t>。依据此原则，在考虑矿区登记范围、采矿影响范围及开采方式的基础上，结合矿区特点，确定本次矿山地质环境评估范围：</w:t>
      </w:r>
      <w:r>
        <w:rPr>
          <w:rFonts w:hint="default" w:ascii="Times New Roman" w:hAnsi="Times New Roman" w:eastAsia="宋体" w:cs="Times New Roman"/>
          <w:sz w:val="28"/>
          <w:szCs w:val="28"/>
          <w:lang w:val="en-US" w:eastAsia="zh-CN"/>
        </w:rPr>
        <w:t>以采矿权范围和采矿附属设施周边外扩10-30m为界，</w:t>
      </w:r>
      <w:r>
        <w:rPr>
          <w:rFonts w:hint="default" w:ascii="Times New Roman" w:hAnsi="Times New Roman" w:eastAsia="宋体" w:cs="Times New Roman"/>
          <w:sz w:val="28"/>
          <w:szCs w:val="28"/>
        </w:rPr>
        <w:t>最终确定评估区面积共计</w:t>
      </w:r>
      <w:r>
        <w:rPr>
          <w:rFonts w:hint="eastAsia"/>
          <w:sz w:val="28"/>
          <w:szCs w:val="28"/>
        </w:rPr>
        <w:t>24.8640</w:t>
      </w:r>
      <w:r>
        <w:rPr>
          <w:rFonts w:hint="eastAsia"/>
          <w:sz w:val="28"/>
          <w:szCs w:val="28"/>
          <w:highlight w:val="none"/>
        </w:rPr>
        <w:t>hm</w:t>
      </w:r>
      <w:r>
        <w:rPr>
          <w:rFonts w:hint="eastAsia"/>
          <w:sz w:val="28"/>
          <w:szCs w:val="28"/>
          <w:highlight w:val="none"/>
          <w:vertAlign w:val="superscript"/>
        </w:rPr>
        <w:t>2</w:t>
      </w:r>
      <w:r>
        <w:rPr>
          <w:rFonts w:hint="eastAsia"/>
          <w:sz w:val="28"/>
          <w:szCs w:val="28"/>
          <w:highlight w:val="none"/>
          <w:lang w:eastAsia="zh-CN"/>
        </w:rPr>
        <w:t>。</w:t>
      </w:r>
    </w:p>
    <w:p w14:paraId="25A7184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3．现状评估</w:t>
      </w:r>
      <w:r>
        <w:rPr>
          <w:rFonts w:hint="default" w:ascii="Times New Roman" w:hAnsi="Times New Roman" w:eastAsia="宋体" w:cs="Times New Roman"/>
          <w:sz w:val="28"/>
          <w:szCs w:val="28"/>
          <w:lang w:val="en-US" w:eastAsia="zh-CN"/>
        </w:rPr>
        <w:t>下，评估区内未发现地质灾害，</w:t>
      </w:r>
      <w:r>
        <w:rPr>
          <w:rFonts w:hint="default" w:ascii="Times New Roman" w:hAnsi="Times New Roman" w:eastAsia="宋体" w:cs="Times New Roman"/>
          <w:color w:val="000000"/>
          <w:sz w:val="28"/>
          <w:szCs w:val="28"/>
        </w:rPr>
        <w:t>对矿</w:t>
      </w:r>
      <w:r>
        <w:rPr>
          <w:rFonts w:hint="default" w:ascii="Times New Roman" w:hAnsi="Times New Roman" w:eastAsia="宋体" w:cs="Times New Roman"/>
          <w:color w:val="000000"/>
          <w:sz w:val="28"/>
          <w:szCs w:val="28"/>
          <w:lang w:val="en-US" w:eastAsia="zh-CN"/>
        </w:rPr>
        <w:t>区</w:t>
      </w:r>
      <w:r>
        <w:rPr>
          <w:rFonts w:hint="default" w:ascii="Times New Roman" w:hAnsi="Times New Roman" w:eastAsia="宋体" w:cs="Times New Roman"/>
          <w:color w:val="000000"/>
          <w:sz w:val="28"/>
          <w:szCs w:val="28"/>
        </w:rPr>
        <w:t>地质环境影响程度</w:t>
      </w:r>
      <w:r>
        <w:rPr>
          <w:rFonts w:hint="default" w:ascii="Times New Roman" w:hAnsi="Times New Roman" w:eastAsia="宋体" w:cs="Times New Roman"/>
          <w:b w:val="0"/>
          <w:bCs/>
          <w:color w:val="000000"/>
          <w:sz w:val="28"/>
          <w:szCs w:val="28"/>
        </w:rPr>
        <w:t>较轻。</w:t>
      </w:r>
      <w:r>
        <w:rPr>
          <w:rFonts w:hint="default" w:ascii="Times New Roman" w:hAnsi="Times New Roman" w:eastAsia="宋体" w:cs="Times New Roman"/>
          <w:sz w:val="28"/>
          <w:szCs w:val="28"/>
        </w:rPr>
        <w:t>采矿对含水层破坏较轻；</w:t>
      </w:r>
      <w:r>
        <w:rPr>
          <w:rFonts w:hint="default" w:ascii="Times New Roman" w:hAnsi="Times New Roman" w:eastAsia="宋体" w:cs="Times New Roman"/>
          <w:b w:val="0"/>
          <w:bCs/>
          <w:color w:val="000000"/>
          <w:sz w:val="28"/>
          <w:szCs w:val="28"/>
          <w:lang w:val="en-US" w:eastAsia="zh-CN"/>
        </w:rPr>
        <w:t>采矿对地形地貌景观的影响和破坏严重；对矿区土地损毁程度严重，对矿山生态受损和退化影响严重。</w:t>
      </w:r>
    </w:p>
    <w:p w14:paraId="1D475A2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．预测评估：预测评估区地质灾害对矿山地质环境的影响和破坏程度</w:t>
      </w:r>
      <w:r>
        <w:rPr>
          <w:rFonts w:hint="default" w:ascii="Times New Roman" w:hAnsi="Times New Roman" w:eastAsia="宋体" w:cs="Times New Roman"/>
          <w:sz w:val="28"/>
          <w:szCs w:val="28"/>
          <w:lang w:val="en-US" w:eastAsia="zh-CN"/>
        </w:rPr>
        <w:t>较</w:t>
      </w:r>
      <w:r>
        <w:rPr>
          <w:rFonts w:hint="default" w:ascii="Times New Roman" w:hAnsi="Times New Roman" w:eastAsia="宋体" w:cs="Times New Roman"/>
          <w:sz w:val="28"/>
          <w:szCs w:val="28"/>
        </w:rPr>
        <w:t>严重；矿业活动对地下含水层的影响程度为较轻；</w:t>
      </w:r>
      <w:r>
        <w:rPr>
          <w:rFonts w:hint="default" w:ascii="Times New Roman" w:hAnsi="Times New Roman" w:eastAsia="宋体" w:cs="Times New Roman"/>
          <w:sz w:val="28"/>
          <w:szCs w:val="28"/>
          <w:lang w:val="en-US" w:eastAsia="zh-CN"/>
        </w:rPr>
        <w:t>预测</w:t>
      </w:r>
      <w:r>
        <w:rPr>
          <w:rFonts w:hint="default" w:ascii="Times New Roman" w:hAnsi="Times New Roman" w:eastAsia="宋体" w:cs="Times New Roman"/>
          <w:sz w:val="28"/>
          <w:szCs w:val="28"/>
        </w:rPr>
        <w:t>采矿活动对矿山地形地貌景观的影响和破坏程度严重；</w:t>
      </w:r>
      <w:r>
        <w:rPr>
          <w:rFonts w:hint="default" w:ascii="Times New Roman" w:hAnsi="Times New Roman" w:eastAsia="宋体" w:cs="Times New Roman"/>
          <w:sz w:val="28"/>
          <w:szCs w:val="28"/>
          <w:lang w:val="en-US" w:eastAsia="zh-CN"/>
        </w:rPr>
        <w:t>后续采矿活动</w:t>
      </w:r>
      <w:r>
        <w:rPr>
          <w:rFonts w:hint="default" w:ascii="Times New Roman" w:hAnsi="Times New Roman" w:eastAsia="宋体" w:cs="Times New Roman"/>
          <w:sz w:val="28"/>
          <w:szCs w:val="28"/>
        </w:rPr>
        <w:t>对矿区土地</w:t>
      </w:r>
      <w:r>
        <w:rPr>
          <w:rFonts w:hint="default" w:ascii="Times New Roman" w:hAnsi="Times New Roman" w:eastAsia="宋体" w:cs="Times New Roman"/>
          <w:sz w:val="28"/>
          <w:szCs w:val="28"/>
          <w:lang w:val="en-US" w:eastAsia="zh-CN"/>
        </w:rPr>
        <w:t>损毁程度严重</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en-US" w:eastAsia="zh-CN"/>
        </w:rPr>
        <w:t>未来</w:t>
      </w:r>
      <w:r>
        <w:rPr>
          <w:rFonts w:hint="default" w:ascii="Times New Roman" w:hAnsi="Times New Roman" w:eastAsia="宋体" w:cs="Times New Roman"/>
          <w:sz w:val="28"/>
          <w:szCs w:val="28"/>
        </w:rPr>
        <w:t>对矿山</w:t>
      </w:r>
      <w:r>
        <w:rPr>
          <w:rFonts w:hint="default" w:ascii="Times New Roman" w:hAnsi="Times New Roman" w:eastAsia="宋体" w:cs="Times New Roman"/>
          <w:sz w:val="28"/>
          <w:szCs w:val="28"/>
          <w:lang w:val="en-US" w:eastAsia="zh-CN"/>
        </w:rPr>
        <w:t>生态受损与退化影响严重</w:t>
      </w:r>
      <w:r>
        <w:rPr>
          <w:rFonts w:hint="default" w:ascii="Times New Roman" w:hAnsi="Times New Roman" w:eastAsia="宋体" w:cs="Times New Roman"/>
          <w:sz w:val="28"/>
          <w:szCs w:val="28"/>
        </w:rPr>
        <w:t>。</w:t>
      </w:r>
    </w:p>
    <w:p w14:paraId="2A8040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8"/>
          <w:szCs w:val="28"/>
          <w:vertAlign w:val="baseline"/>
          <w:lang w:val="en-US" w:eastAsia="zh-CN"/>
        </w:rPr>
      </w:pP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w:t>
      </w:r>
      <w:r>
        <w:rPr>
          <w:sz w:val="28"/>
          <w:szCs w:val="28"/>
        </w:rPr>
        <w:t>根据评估区区域内可能出现的地质环境问题</w:t>
      </w:r>
      <w:r>
        <w:rPr>
          <w:rFonts w:hint="eastAsia"/>
          <w:sz w:val="28"/>
          <w:szCs w:val="28"/>
          <w:lang w:eastAsia="zh-CN"/>
        </w:rPr>
        <w:t>、</w:t>
      </w:r>
      <w:r>
        <w:rPr>
          <w:rFonts w:hint="eastAsia"/>
          <w:sz w:val="28"/>
          <w:szCs w:val="28"/>
          <w:lang w:val="en-US" w:eastAsia="zh-CN"/>
        </w:rPr>
        <w:t>土地损毁问题、生态受损与退化问题</w:t>
      </w:r>
      <w:r>
        <w:rPr>
          <w:sz w:val="28"/>
          <w:szCs w:val="28"/>
        </w:rPr>
        <w:t>的种类、规模</w:t>
      </w:r>
      <w:r>
        <w:rPr>
          <w:rFonts w:hint="eastAsia"/>
          <w:sz w:val="28"/>
          <w:szCs w:val="28"/>
          <w:lang w:eastAsia="zh-CN"/>
        </w:rPr>
        <w:t>、</w:t>
      </w:r>
      <w:r>
        <w:rPr>
          <w:rFonts w:hint="eastAsia"/>
          <w:sz w:val="28"/>
          <w:szCs w:val="28"/>
          <w:lang w:val="en-US" w:eastAsia="zh-CN"/>
        </w:rPr>
        <w:t>时序，同时结合矿区地下水位</w:t>
      </w:r>
      <w:r>
        <w:rPr>
          <w:rFonts w:hint="eastAsia"/>
          <w:color w:val="000000"/>
          <w:sz w:val="28"/>
          <w:szCs w:val="28"/>
          <w:lang w:val="en-US" w:eastAsia="zh-CN"/>
        </w:rPr>
        <w:t>情况</w:t>
      </w:r>
      <w:r>
        <w:rPr>
          <w:color w:val="000000"/>
          <w:sz w:val="28"/>
          <w:szCs w:val="28"/>
        </w:rPr>
        <w:t>。</w:t>
      </w:r>
      <w:r>
        <w:rPr>
          <w:rFonts w:hint="eastAsia"/>
          <w:color w:val="000000"/>
          <w:sz w:val="28"/>
          <w:szCs w:val="28"/>
          <w:lang w:val="en-US" w:eastAsia="zh-CN"/>
        </w:rPr>
        <w:t>将评估区划分为重点防治区（A）、次重点防治区（B）和一般防治区（C）。</w:t>
      </w:r>
      <w:r>
        <w:rPr>
          <w:rFonts w:hint="eastAsia"/>
          <w:color w:val="000000"/>
          <w:sz w:val="28"/>
          <w:szCs w:val="28"/>
        </w:rPr>
        <w:t>重点防治区</w:t>
      </w:r>
      <w:r>
        <w:rPr>
          <w:rFonts w:hint="eastAsia"/>
          <w:color w:val="000000"/>
          <w:sz w:val="28"/>
          <w:szCs w:val="28"/>
          <w:lang w:val="en-US" w:eastAsia="zh-CN"/>
        </w:rPr>
        <w:t>面积</w:t>
      </w:r>
      <w:r>
        <w:rPr>
          <w:rFonts w:hint="eastAsia"/>
          <w:sz w:val="28"/>
          <w:szCs w:val="28"/>
          <w:lang w:val="en-US" w:eastAsia="zh-CN"/>
        </w:rPr>
        <w:t>12.8344hm</w:t>
      </w:r>
      <w:r>
        <w:rPr>
          <w:rFonts w:hint="eastAsia"/>
          <w:sz w:val="28"/>
          <w:szCs w:val="28"/>
          <w:vertAlign w:val="superscript"/>
          <w:lang w:val="en-US" w:eastAsia="zh-CN"/>
        </w:rPr>
        <w:t>2</w:t>
      </w:r>
      <w:r>
        <w:rPr>
          <w:rFonts w:hint="eastAsia"/>
          <w:sz w:val="28"/>
          <w:szCs w:val="28"/>
          <w:lang w:val="en-US" w:eastAsia="zh-CN"/>
        </w:rPr>
        <w:t>，占评估区面积的51.62%，</w:t>
      </w:r>
      <w:r>
        <w:rPr>
          <w:rFonts w:hint="eastAsia"/>
          <w:color w:val="000000"/>
          <w:sz w:val="28"/>
          <w:szCs w:val="28"/>
          <w:lang w:val="en-US" w:eastAsia="zh-CN"/>
        </w:rPr>
        <w:t>包含3个亚区，编号</w:t>
      </w:r>
      <w:r>
        <w:rPr>
          <w:rFonts w:hint="eastAsia"/>
          <w:color w:val="000000"/>
          <w:sz w:val="28"/>
          <w:szCs w:val="28"/>
        </w:rPr>
        <w:t>A</w:t>
      </w:r>
      <w:r>
        <w:rPr>
          <w:rFonts w:hint="eastAsia"/>
          <w:color w:val="000000"/>
          <w:sz w:val="28"/>
          <w:szCs w:val="28"/>
          <w:vertAlign w:val="subscript"/>
          <w:lang w:val="en-US" w:eastAsia="zh-CN"/>
        </w:rPr>
        <w:t>1</w:t>
      </w:r>
      <w:r>
        <w:rPr>
          <w:rFonts w:hint="eastAsia"/>
          <w:color w:val="000000"/>
          <w:sz w:val="28"/>
          <w:szCs w:val="28"/>
          <w:lang w:val="en-US" w:eastAsia="zh-CN"/>
        </w:rPr>
        <w:t>、A</w:t>
      </w:r>
      <w:r>
        <w:rPr>
          <w:rFonts w:hint="eastAsia"/>
          <w:color w:val="000000"/>
          <w:sz w:val="28"/>
          <w:szCs w:val="28"/>
          <w:vertAlign w:val="subscript"/>
          <w:lang w:val="en-US" w:eastAsia="zh-CN"/>
        </w:rPr>
        <w:t>2</w:t>
      </w:r>
      <w:r>
        <w:rPr>
          <w:rFonts w:hint="eastAsia"/>
          <w:color w:val="000000"/>
          <w:sz w:val="28"/>
          <w:szCs w:val="28"/>
          <w:lang w:val="en-US" w:eastAsia="zh-CN"/>
        </w:rPr>
        <w:t>、A</w:t>
      </w:r>
      <w:r>
        <w:rPr>
          <w:rFonts w:hint="eastAsia"/>
          <w:color w:val="000000"/>
          <w:sz w:val="28"/>
          <w:szCs w:val="28"/>
          <w:vertAlign w:val="subscript"/>
          <w:lang w:val="en-US" w:eastAsia="zh-CN"/>
        </w:rPr>
        <w:t>3</w:t>
      </w:r>
      <w:r>
        <w:rPr>
          <w:rFonts w:hint="eastAsia"/>
          <w:color w:val="000000"/>
          <w:sz w:val="28"/>
          <w:szCs w:val="28"/>
          <w:lang w:eastAsia="zh-CN"/>
        </w:rPr>
        <w:t>，</w:t>
      </w:r>
      <w:r>
        <w:rPr>
          <w:rFonts w:hint="eastAsia"/>
          <w:color w:val="000000"/>
          <w:sz w:val="28"/>
          <w:szCs w:val="28"/>
          <w:lang w:val="en-US" w:eastAsia="zh-CN"/>
        </w:rPr>
        <w:t>包含</w:t>
      </w:r>
      <w:r>
        <w:rPr>
          <w:rFonts w:hint="eastAsia"/>
          <w:sz w:val="28"/>
          <w:szCs w:val="28"/>
          <w:vertAlign w:val="baseline"/>
          <w:lang w:val="en-US" w:eastAsia="zh-CN"/>
        </w:rPr>
        <w:t>露天采场、历史采坑一和排土场区域。次</w:t>
      </w:r>
      <w:r>
        <w:rPr>
          <w:rFonts w:hint="eastAsia"/>
          <w:color w:val="000000"/>
          <w:sz w:val="28"/>
          <w:szCs w:val="28"/>
        </w:rPr>
        <w:t>重点防治区</w:t>
      </w:r>
      <w:r>
        <w:rPr>
          <w:rFonts w:hint="eastAsia"/>
          <w:color w:val="000000"/>
          <w:sz w:val="28"/>
          <w:szCs w:val="28"/>
          <w:lang w:val="en-US" w:eastAsia="zh-CN"/>
        </w:rPr>
        <w:t>面积</w:t>
      </w:r>
      <w:r>
        <w:rPr>
          <w:rFonts w:hint="eastAsia"/>
          <w:sz w:val="28"/>
          <w:szCs w:val="28"/>
          <w:lang w:val="en-US" w:eastAsia="zh-CN"/>
        </w:rPr>
        <w:t>5.1027hm</w:t>
      </w:r>
      <w:r>
        <w:rPr>
          <w:rFonts w:hint="eastAsia"/>
          <w:sz w:val="28"/>
          <w:szCs w:val="28"/>
          <w:vertAlign w:val="superscript"/>
          <w:lang w:val="en-US" w:eastAsia="zh-CN"/>
        </w:rPr>
        <w:t>2</w:t>
      </w:r>
      <w:r>
        <w:rPr>
          <w:rFonts w:hint="eastAsia"/>
          <w:sz w:val="28"/>
          <w:szCs w:val="28"/>
          <w:lang w:val="en-US" w:eastAsia="zh-CN"/>
        </w:rPr>
        <w:t>，占评估区总面积的20.52%，</w:t>
      </w:r>
      <w:r>
        <w:rPr>
          <w:rFonts w:hint="eastAsia"/>
          <w:color w:val="000000"/>
          <w:sz w:val="28"/>
          <w:szCs w:val="28"/>
          <w:lang w:val="en-US" w:eastAsia="zh-CN"/>
        </w:rPr>
        <w:t>包含5个亚区，编号</w:t>
      </w:r>
      <w:r>
        <w:rPr>
          <w:rFonts w:hint="eastAsia"/>
          <w:color w:val="000000"/>
          <w:sz w:val="28"/>
          <w:szCs w:val="28"/>
        </w:rPr>
        <w:t>B</w:t>
      </w:r>
      <w:r>
        <w:rPr>
          <w:rFonts w:hint="eastAsia"/>
          <w:color w:val="000000"/>
          <w:sz w:val="28"/>
          <w:szCs w:val="28"/>
          <w:vertAlign w:val="subscript"/>
          <w:lang w:val="en-US" w:eastAsia="zh-CN"/>
        </w:rPr>
        <w:t>1</w:t>
      </w:r>
      <w:r>
        <w:rPr>
          <w:rFonts w:hint="eastAsia"/>
          <w:color w:val="000000"/>
          <w:sz w:val="28"/>
          <w:szCs w:val="28"/>
          <w:lang w:val="en-US" w:eastAsia="zh-CN"/>
        </w:rPr>
        <w:t>、B</w:t>
      </w:r>
      <w:r>
        <w:rPr>
          <w:rFonts w:hint="eastAsia"/>
          <w:color w:val="000000"/>
          <w:sz w:val="28"/>
          <w:szCs w:val="28"/>
          <w:vertAlign w:val="subscript"/>
          <w:lang w:val="en-US" w:eastAsia="zh-CN"/>
        </w:rPr>
        <w:t>2</w:t>
      </w:r>
      <w:r>
        <w:rPr>
          <w:rFonts w:hint="eastAsia"/>
          <w:color w:val="000000"/>
          <w:sz w:val="28"/>
          <w:szCs w:val="28"/>
          <w:lang w:val="en-US" w:eastAsia="zh-CN"/>
        </w:rPr>
        <w:t>、B</w:t>
      </w:r>
      <w:r>
        <w:rPr>
          <w:rFonts w:hint="eastAsia"/>
          <w:color w:val="000000"/>
          <w:sz w:val="28"/>
          <w:szCs w:val="28"/>
          <w:vertAlign w:val="subscript"/>
          <w:lang w:val="en-US" w:eastAsia="zh-CN"/>
        </w:rPr>
        <w:t>3</w:t>
      </w:r>
      <w:r>
        <w:rPr>
          <w:rFonts w:hint="eastAsia"/>
          <w:color w:val="000000"/>
          <w:sz w:val="28"/>
          <w:szCs w:val="28"/>
          <w:lang w:val="en-US" w:eastAsia="zh-CN"/>
        </w:rPr>
        <w:t>、B</w:t>
      </w:r>
      <w:r>
        <w:rPr>
          <w:rFonts w:hint="eastAsia"/>
          <w:color w:val="000000"/>
          <w:sz w:val="28"/>
          <w:szCs w:val="28"/>
          <w:vertAlign w:val="subscript"/>
          <w:lang w:val="en-US" w:eastAsia="zh-CN"/>
        </w:rPr>
        <w:t>4</w:t>
      </w:r>
      <w:r>
        <w:rPr>
          <w:rFonts w:hint="eastAsia"/>
          <w:color w:val="000000"/>
          <w:sz w:val="28"/>
          <w:szCs w:val="28"/>
          <w:lang w:val="en-US" w:eastAsia="zh-CN"/>
        </w:rPr>
        <w:t>、B</w:t>
      </w:r>
      <w:r>
        <w:rPr>
          <w:rFonts w:hint="eastAsia"/>
          <w:color w:val="000000"/>
          <w:sz w:val="28"/>
          <w:szCs w:val="28"/>
          <w:vertAlign w:val="subscript"/>
          <w:lang w:val="en-US" w:eastAsia="zh-CN"/>
        </w:rPr>
        <w:t>5</w:t>
      </w:r>
      <w:r>
        <w:rPr>
          <w:rFonts w:hint="eastAsia"/>
          <w:color w:val="000000"/>
          <w:sz w:val="28"/>
          <w:szCs w:val="28"/>
          <w:lang w:eastAsia="zh-CN"/>
        </w:rPr>
        <w:t>，</w:t>
      </w:r>
      <w:r>
        <w:rPr>
          <w:rFonts w:hint="eastAsia"/>
          <w:color w:val="000000"/>
          <w:sz w:val="28"/>
          <w:szCs w:val="28"/>
          <w:lang w:val="en-US" w:eastAsia="zh-CN"/>
        </w:rPr>
        <w:t>包含</w:t>
      </w:r>
      <w:r>
        <w:rPr>
          <w:rFonts w:hint="eastAsia" w:cs="Times New Roman"/>
          <w:sz w:val="28"/>
          <w:szCs w:val="28"/>
          <w:highlight w:val="none"/>
          <w:lang w:val="en-US" w:eastAsia="zh-CN"/>
        </w:rPr>
        <w:t>包含复垦用土临时堆场、破碎站、原破碎站及废石堆场、办公生活区、原综合服务区区域。一般防治区面积6.9269</w:t>
      </w:r>
      <w:r>
        <w:rPr>
          <w:rFonts w:hint="eastAsia"/>
          <w:sz w:val="28"/>
          <w:szCs w:val="28"/>
          <w:lang w:val="en-US" w:eastAsia="zh-CN"/>
        </w:rPr>
        <w:t>hm</w:t>
      </w:r>
      <w:r>
        <w:rPr>
          <w:rFonts w:hint="eastAsia"/>
          <w:sz w:val="28"/>
          <w:szCs w:val="28"/>
          <w:vertAlign w:val="superscript"/>
          <w:lang w:val="en-US" w:eastAsia="zh-CN"/>
        </w:rPr>
        <w:t>2</w:t>
      </w:r>
      <w:r>
        <w:rPr>
          <w:rFonts w:hint="eastAsia"/>
          <w:sz w:val="28"/>
          <w:szCs w:val="28"/>
          <w:lang w:val="en-US" w:eastAsia="zh-CN"/>
        </w:rPr>
        <w:t>，为外围区域，占评估区总面积的27.86%。</w:t>
      </w:r>
    </w:p>
    <w:p w14:paraId="71217B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lang w:val="en-US" w:eastAsia="zh-CN"/>
        </w:rPr>
      </w:pPr>
      <w:r>
        <w:rPr>
          <w:rFonts w:hint="eastAsia" w:cs="Times New Roman"/>
          <w:sz w:val="28"/>
          <w:szCs w:val="28"/>
          <w:highlight w:val="none"/>
          <w:lang w:val="en-US" w:eastAsia="zh-CN"/>
        </w:rPr>
        <w:t>6.</w:t>
      </w:r>
      <w:r>
        <w:rPr>
          <w:rFonts w:hint="default" w:ascii="Times New Roman" w:hAnsi="Times New Roman" w:eastAsia="宋体" w:cs="Times New Roman"/>
          <w:sz w:val="28"/>
          <w:szCs w:val="28"/>
        </w:rPr>
        <w:t>根据矿山开采造成的</w:t>
      </w:r>
      <w:r>
        <w:rPr>
          <w:rFonts w:hint="default" w:ascii="Times New Roman" w:hAnsi="Times New Roman" w:eastAsia="宋体" w:cs="Times New Roman"/>
          <w:sz w:val="28"/>
          <w:szCs w:val="28"/>
          <w:lang w:val="en-US" w:eastAsia="zh-CN"/>
        </w:rPr>
        <w:t>生态</w:t>
      </w:r>
      <w:r>
        <w:rPr>
          <w:rFonts w:hint="default" w:ascii="Times New Roman" w:hAnsi="Times New Roman" w:eastAsia="宋体" w:cs="Times New Roman"/>
          <w:sz w:val="28"/>
          <w:szCs w:val="28"/>
        </w:rPr>
        <w:t>环境问题，结合《矿区生态修复方案编制指南（临时）》，</w:t>
      </w:r>
      <w:r>
        <w:rPr>
          <w:rFonts w:hint="default" w:ascii="Times New Roman" w:hAnsi="Times New Roman" w:eastAsia="宋体" w:cs="Times New Roman"/>
          <w:sz w:val="28"/>
          <w:szCs w:val="28"/>
          <w:lang w:val="en-US" w:eastAsia="zh-CN"/>
        </w:rPr>
        <w:t>拟对矿区开展地貌重塑、土壤重构、植被重建工程，并完善防护设施，进行监测与管护。</w:t>
      </w:r>
    </w:p>
    <w:p w14:paraId="209158B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000000"/>
          <w:sz w:val="28"/>
          <w:szCs w:val="28"/>
          <w:highlight w:val="none"/>
        </w:rPr>
      </w:pPr>
      <w:r>
        <w:rPr>
          <w:rFonts w:hint="eastAsia" w:cs="Times New Roman"/>
          <w:sz w:val="28"/>
          <w:szCs w:val="28"/>
          <w:lang w:val="en-US" w:eastAsia="zh-CN"/>
        </w:rPr>
        <w:t>7</w:t>
      </w:r>
      <w:r>
        <w:rPr>
          <w:rFonts w:hint="default" w:ascii="Times New Roman" w:hAnsi="Times New Roman" w:eastAsia="宋体" w:cs="Times New Roman"/>
          <w:sz w:val="28"/>
          <w:szCs w:val="28"/>
        </w:rPr>
        <w:t>．</w:t>
      </w:r>
      <w:r>
        <w:rPr>
          <w:rFonts w:hint="default" w:ascii="Times New Roman" w:hAnsi="Times New Roman" w:eastAsia="宋体" w:cs="Times New Roman"/>
          <w:b w:val="0"/>
          <w:bCs/>
          <w:sz w:val="28"/>
          <w:szCs w:val="28"/>
          <w:highlight w:val="none"/>
          <w:lang w:val="en-US" w:eastAsia="zh-CN"/>
        </w:rPr>
        <w:t>广东省徐闻县城北乡迈报（西山坑）矿区建筑用玄武岩矿</w:t>
      </w:r>
      <w:r>
        <w:rPr>
          <w:rFonts w:hint="default" w:ascii="Times New Roman" w:hAnsi="Times New Roman" w:eastAsia="宋体" w:cs="Times New Roman"/>
          <w:sz w:val="28"/>
          <w:szCs w:val="28"/>
        </w:rPr>
        <w:t>复垦责任区</w:t>
      </w:r>
      <w:r>
        <w:rPr>
          <w:rFonts w:hint="default" w:ascii="Times New Roman" w:hAnsi="Times New Roman" w:eastAsia="宋体" w:cs="Times New Roman"/>
          <w:sz w:val="28"/>
          <w:szCs w:val="28"/>
          <w:highlight w:val="none"/>
        </w:rPr>
        <w:t>为</w:t>
      </w:r>
      <w:r>
        <w:rPr>
          <w:rFonts w:hint="default" w:ascii="Times New Roman" w:hAnsi="Times New Roman" w:eastAsia="宋体" w:cs="Times New Roman"/>
          <w:sz w:val="28"/>
          <w:szCs w:val="28"/>
          <w:highlight w:val="none"/>
          <w:lang w:val="en-US" w:eastAsia="zh-CN"/>
        </w:rPr>
        <w:t>露天采场</w:t>
      </w:r>
      <w:r>
        <w:rPr>
          <w:rFonts w:hint="default"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lang w:val="en-US" w:eastAsia="zh-CN"/>
        </w:rPr>
        <w:t>排土场、复垦用土临时堆场、破碎站、</w:t>
      </w:r>
      <w:r>
        <w:rPr>
          <w:rFonts w:hint="default" w:ascii="Times New Roman" w:hAnsi="Times New Roman" w:eastAsia="宋体" w:cs="Times New Roman"/>
          <w:sz w:val="28"/>
          <w:szCs w:val="28"/>
          <w:highlight w:val="none"/>
        </w:rPr>
        <w:t>办公生活区</w:t>
      </w:r>
      <w:r>
        <w:rPr>
          <w:rFonts w:hint="default" w:ascii="Times New Roman" w:hAnsi="Times New Roman" w:eastAsia="宋体" w:cs="Times New Roman"/>
          <w:sz w:val="28"/>
          <w:szCs w:val="28"/>
          <w:highlight w:val="none"/>
          <w:lang w:val="en-US" w:eastAsia="zh-CN"/>
        </w:rPr>
        <w:t>等已损毁和拟损毁区域</w:t>
      </w:r>
      <w:r>
        <w:rPr>
          <w:rFonts w:hint="default" w:ascii="Times New Roman" w:hAnsi="Times New Roman" w:eastAsia="宋体" w:cs="Times New Roman"/>
          <w:sz w:val="28"/>
          <w:szCs w:val="28"/>
          <w:highlight w:val="none"/>
        </w:rPr>
        <w:t>，</w:t>
      </w:r>
      <w:r>
        <w:rPr>
          <w:rFonts w:hint="default" w:ascii="Times New Roman" w:hAnsi="Times New Roman" w:eastAsia="宋体" w:cs="Times New Roman"/>
          <w:sz w:val="28"/>
          <w:szCs w:val="28"/>
          <w:highlight w:val="none"/>
          <w:lang w:val="en-US" w:eastAsia="zh-CN"/>
        </w:rPr>
        <w:t>损毁土地为果园、乔木林地、灌木林地、其他草地、商业服务业设施用地、采矿用地、农村宅基地、农村道路、坑塘水面、沟渠等</w:t>
      </w:r>
      <w:r>
        <w:rPr>
          <w:rFonts w:hint="default" w:ascii="Times New Roman" w:hAnsi="Times New Roman" w:cs="Times New Roman"/>
          <w:sz w:val="28"/>
          <w:szCs w:val="28"/>
          <w:highlight w:val="none"/>
          <w:lang w:val="en-US" w:eastAsia="zh-CN"/>
        </w:rPr>
        <w:t>，</w:t>
      </w:r>
      <w:r>
        <w:rPr>
          <w:rFonts w:hint="default" w:ascii="Times New Roman" w:hAnsi="Times New Roman" w:eastAsia="宋体" w:cs="Times New Roman"/>
          <w:sz w:val="28"/>
          <w:szCs w:val="28"/>
          <w:highlight w:val="none"/>
          <w:lang w:val="en-US" w:eastAsia="zh-CN"/>
        </w:rPr>
        <w:t>复垦责任</w:t>
      </w:r>
      <w:r>
        <w:rPr>
          <w:rFonts w:hint="default" w:ascii="Times New Roman" w:hAnsi="Times New Roman" w:eastAsia="宋体" w:cs="Times New Roman"/>
          <w:sz w:val="28"/>
          <w:szCs w:val="28"/>
          <w:highlight w:val="none"/>
        </w:rPr>
        <w:t>总面积17.</w:t>
      </w:r>
      <w:r>
        <w:rPr>
          <w:rFonts w:hint="default" w:ascii="Times New Roman" w:hAnsi="Times New Roman" w:cs="Times New Roman"/>
          <w:sz w:val="28"/>
          <w:szCs w:val="28"/>
          <w:highlight w:val="none"/>
          <w:lang w:val="en-US" w:eastAsia="zh-CN"/>
        </w:rPr>
        <w:t>9371</w:t>
      </w:r>
      <w:r>
        <w:rPr>
          <w:rFonts w:hint="default" w:ascii="Times New Roman" w:hAnsi="Times New Roman" w:eastAsia="宋体" w:cs="Times New Roman"/>
          <w:sz w:val="28"/>
          <w:szCs w:val="28"/>
          <w:highlight w:val="none"/>
        </w:rPr>
        <w:t>hm²</w:t>
      </w:r>
      <w:r>
        <w:rPr>
          <w:rFonts w:hint="default" w:ascii="Times New Roman" w:hAnsi="Times New Roman" w:cs="Times New Roman"/>
          <w:sz w:val="28"/>
          <w:szCs w:val="28"/>
          <w:highlight w:val="none"/>
          <w:lang w:eastAsia="zh-CN"/>
        </w:rPr>
        <w:t>。</w:t>
      </w:r>
      <w:r>
        <w:rPr>
          <w:rFonts w:hint="eastAsia"/>
          <w:sz w:val="28"/>
          <w:szCs w:val="28"/>
          <w:vertAlign w:val="baseline"/>
          <w:lang w:val="en-US" w:eastAsia="zh-CN"/>
        </w:rPr>
        <w:t>其中露天采场</w:t>
      </w:r>
      <w:r>
        <w:rPr>
          <w:rFonts w:hint="default" w:ascii="Times New Roman" w:hAnsi="Times New Roman" w:cs="Times New Roman"/>
          <w:sz w:val="28"/>
          <w:szCs w:val="28"/>
          <w:highlight w:val="none"/>
          <w:lang w:val="en-US" w:eastAsia="zh-CN"/>
        </w:rPr>
        <w:t>+5</w:t>
      </w:r>
      <w:r>
        <w:rPr>
          <w:rFonts w:hint="eastAsia" w:cs="Times New Roman"/>
          <w:sz w:val="28"/>
          <w:szCs w:val="28"/>
          <w:highlight w:val="none"/>
          <w:lang w:val="en-US" w:eastAsia="zh-CN"/>
        </w:rPr>
        <w:t>5</w:t>
      </w:r>
      <w:r>
        <w:rPr>
          <w:rFonts w:hint="default" w:ascii="Times New Roman" w:hAnsi="Times New Roman" w:cs="Times New Roman"/>
          <w:sz w:val="28"/>
          <w:szCs w:val="28"/>
          <w:highlight w:val="none"/>
          <w:lang w:val="en-US" w:eastAsia="zh-CN"/>
        </w:rPr>
        <w:t>m标高平台以下区域8.9467</w:t>
      </w:r>
      <w:r>
        <w:rPr>
          <w:rFonts w:hint="default" w:ascii="Times New Roman" w:hAnsi="Times New Roman" w:cs="Times New Roman"/>
          <w:sz w:val="28"/>
          <w:szCs w:val="28"/>
          <w:highlight w:val="none"/>
        </w:rPr>
        <w:t>hm</w:t>
      </w:r>
      <w:r>
        <w:rPr>
          <w:rFonts w:hint="default" w:ascii="Times New Roman" w:hAnsi="Times New Roman" w:cs="Times New Roman"/>
          <w:sz w:val="28"/>
          <w:szCs w:val="28"/>
          <w:highlight w:val="none"/>
          <w:vertAlign w:val="superscript"/>
        </w:rPr>
        <w:t>2</w:t>
      </w:r>
      <w:r>
        <w:rPr>
          <w:rFonts w:hint="default" w:ascii="Times New Roman" w:hAnsi="Times New Roman" w:cs="Times New Roman"/>
          <w:sz w:val="28"/>
          <w:szCs w:val="28"/>
          <w:highlight w:val="none"/>
        </w:rPr>
        <w:t>，</w:t>
      </w:r>
      <w:r>
        <w:rPr>
          <w:rFonts w:hint="eastAsia" w:cs="Times New Roman"/>
          <w:sz w:val="28"/>
          <w:szCs w:val="28"/>
          <w:highlight w:val="none"/>
          <w:lang w:val="en-US" w:eastAsia="zh-CN"/>
        </w:rPr>
        <w:t>复垦为坑塘水面。其他区域8.9904</w:t>
      </w:r>
      <w:r>
        <w:rPr>
          <w:rFonts w:hint="default" w:ascii="Times New Roman" w:hAnsi="Times New Roman" w:cs="Times New Roman"/>
          <w:sz w:val="28"/>
          <w:szCs w:val="28"/>
          <w:highlight w:val="none"/>
        </w:rPr>
        <w:t>hm</w:t>
      </w:r>
      <w:r>
        <w:rPr>
          <w:rFonts w:hint="default" w:ascii="Times New Roman" w:hAnsi="Times New Roman" w:cs="Times New Roman"/>
          <w:sz w:val="28"/>
          <w:szCs w:val="28"/>
          <w:highlight w:val="none"/>
          <w:vertAlign w:val="superscript"/>
        </w:rPr>
        <w:t>2</w:t>
      </w:r>
      <w:r>
        <w:rPr>
          <w:rFonts w:hint="default" w:ascii="Times New Roman" w:hAnsi="Times New Roman" w:cs="Times New Roman"/>
          <w:sz w:val="28"/>
          <w:szCs w:val="28"/>
          <w:highlight w:val="none"/>
        </w:rPr>
        <w:t>，</w:t>
      </w:r>
      <w:r>
        <w:rPr>
          <w:rFonts w:hint="eastAsia" w:cs="Times New Roman"/>
          <w:sz w:val="28"/>
          <w:szCs w:val="28"/>
          <w:highlight w:val="none"/>
          <w:lang w:val="en-US" w:eastAsia="zh-CN"/>
        </w:rPr>
        <w:t>复垦为乔木林地。</w:t>
      </w:r>
    </w:p>
    <w:p w14:paraId="0B474E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8"/>
          <w:szCs w:val="28"/>
          <w:highlight w:val="none"/>
          <w:lang w:val="en-US" w:eastAsia="zh-CN"/>
        </w:rPr>
      </w:pPr>
      <w:r>
        <w:rPr>
          <w:rFonts w:hint="default" w:ascii="Times New Roman" w:hAnsi="Times New Roman" w:eastAsia="宋体" w:cs="Times New Roman"/>
          <w:sz w:val="28"/>
          <w:szCs w:val="28"/>
          <w:highlight w:val="none"/>
          <w:lang w:val="en-US" w:eastAsia="zh-CN"/>
        </w:rPr>
        <w:t>7．经估算，</w:t>
      </w:r>
      <w:r>
        <w:rPr>
          <w:rFonts w:hint="default" w:ascii="Times New Roman" w:hAnsi="Times New Roman" w:eastAsia="宋体" w:cs="Times New Roman"/>
          <w:b w:val="0"/>
          <w:bCs/>
          <w:sz w:val="28"/>
          <w:szCs w:val="28"/>
          <w:highlight w:val="none"/>
          <w:lang w:val="en-US" w:eastAsia="zh-CN"/>
        </w:rPr>
        <w:t>广东省徐闻县城北乡迈报（西山坑）矿区建筑用玄武岩矿</w:t>
      </w:r>
      <w:r>
        <w:rPr>
          <w:rFonts w:hint="eastAsia" w:cs="Times New Roman"/>
          <w:b w:val="0"/>
          <w:bCs/>
          <w:sz w:val="28"/>
          <w:szCs w:val="28"/>
          <w:highlight w:val="none"/>
          <w:lang w:val="en-US" w:eastAsia="zh-CN"/>
        </w:rPr>
        <w:t>矿区</w:t>
      </w:r>
      <w:r>
        <w:rPr>
          <w:rFonts w:hint="default" w:ascii="Times New Roman" w:hAnsi="Times New Roman" w:eastAsia="宋体" w:cs="Times New Roman"/>
          <w:sz w:val="28"/>
          <w:szCs w:val="28"/>
          <w:highlight w:val="none"/>
          <w:lang w:val="en-US" w:eastAsia="zh-CN"/>
        </w:rPr>
        <w:t>生态修复</w:t>
      </w:r>
      <w:r>
        <w:rPr>
          <w:rFonts w:hint="eastAsia" w:cs="Times New Roman"/>
          <w:sz w:val="28"/>
          <w:szCs w:val="28"/>
          <w:highlight w:val="none"/>
          <w:lang w:val="en-US" w:eastAsia="zh-CN"/>
        </w:rPr>
        <w:t>静态总投资为130.32万元，动态总投资</w:t>
      </w:r>
      <w:r>
        <w:rPr>
          <w:rFonts w:hint="default" w:ascii="Times New Roman" w:hAnsi="Times New Roman" w:eastAsia="宋体" w:cs="Times New Roman"/>
          <w:sz w:val="28"/>
          <w:szCs w:val="28"/>
          <w:highlight w:val="none"/>
          <w:lang w:val="en-US" w:eastAsia="zh-CN"/>
        </w:rPr>
        <w:t>费用为15</w:t>
      </w:r>
      <w:r>
        <w:rPr>
          <w:rFonts w:hint="eastAsia" w:cs="Times New Roman"/>
          <w:sz w:val="28"/>
          <w:szCs w:val="28"/>
          <w:highlight w:val="none"/>
          <w:lang w:val="en-US" w:eastAsia="zh-CN"/>
        </w:rPr>
        <w:t>3.25</w:t>
      </w:r>
      <w:r>
        <w:rPr>
          <w:rFonts w:hint="default" w:ascii="Times New Roman" w:hAnsi="Times New Roman" w:eastAsia="宋体" w:cs="Times New Roman"/>
          <w:sz w:val="28"/>
          <w:szCs w:val="28"/>
          <w:highlight w:val="none"/>
          <w:lang w:val="en-US" w:eastAsia="zh-CN"/>
        </w:rPr>
        <w:t>万元。</w:t>
      </w:r>
      <w:bookmarkEnd w:id="1"/>
    </w:p>
    <w:p w14:paraId="7939F6FC">
      <w:pPr>
        <w:ind w:left="0" w:leftChars="0" w:firstLine="0" w:firstLineChars="0"/>
        <w:rPr>
          <w:rFonts w:hint="default" w:cs="Times New Roman"/>
          <w:b/>
          <w:bCs/>
          <w:sz w:val="28"/>
          <w:szCs w:val="28"/>
          <w:highlight w:val="none"/>
          <w:lang w:val="en-US" w:eastAsia="zh-CN"/>
        </w:rPr>
      </w:pPr>
    </w:p>
    <w:p w14:paraId="78E45342">
      <w:pPr>
        <w:pStyle w:val="2"/>
        <w:rPr>
          <w:rFonts w:hint="default"/>
          <w:lang w:val="en-US" w:eastAsia="zh-CN"/>
        </w:rPr>
      </w:pPr>
      <w:r>
        <w:rPr>
          <w:rFonts w:hint="default"/>
          <w:lang w:val="en-US" w:eastAsia="zh-CN"/>
        </w:rPr>
        <w:drawing>
          <wp:inline distT="0" distB="0" distL="114300" distR="114300">
            <wp:extent cx="4629150" cy="8703310"/>
            <wp:effectExtent l="0" t="0" r="0" b="2540"/>
            <wp:docPr id="3" name="图片 3" descr="6矿区生态修复工程部署图_1(835x1570_MM)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矿区生态修复工程部署图_1(835x1570_MM)_01"/>
                    <pic:cNvPicPr>
                      <a:picLocks noChangeAspect="1"/>
                    </pic:cNvPicPr>
                  </pic:nvPicPr>
                  <pic:blipFill>
                    <a:blip r:embed="rId27"/>
                    <a:stretch>
                      <a:fillRect/>
                    </a:stretch>
                  </pic:blipFill>
                  <pic:spPr>
                    <a:xfrm>
                      <a:off x="0" y="0"/>
                      <a:ext cx="4629150" cy="8703310"/>
                    </a:xfrm>
                    <a:prstGeom prst="rect">
                      <a:avLst/>
                    </a:prstGeom>
                  </pic:spPr>
                </pic:pic>
              </a:graphicData>
            </a:graphic>
          </wp:inline>
        </w:drawing>
      </w:r>
    </w:p>
    <w:sectPr>
      <w:headerReference r:id="rId17" w:type="default"/>
      <w:footerReference r:id="rId18" w:type="default"/>
      <w:pgSz w:w="11906" w:h="16838"/>
      <w:pgMar w:top="1701" w:right="1417" w:bottom="1417" w:left="1701" w:header="1134" w:footer="992" w:gutter="0"/>
      <w:pgBorders>
        <w:top w:val="none" w:sz="0" w:space="0"/>
        <w:left w:val="none" w:sz="0" w:space="0"/>
        <w:bottom w:val="none" w:sz="0" w:space="0"/>
        <w:right w:val="none" w:sz="0" w:space="0"/>
      </w:pgBorders>
      <w:pgNumType w:fmt="decimal"/>
      <w:cols w:space="0" w:num="1"/>
      <w:rtlGutter w:val="0"/>
      <w:docGrid w:type="lines" w:linePitch="4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7A96B3-18A1-497D-B3DB-F67DD17A822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Cambria Math">
    <w:panose1 w:val="02040503050406030204"/>
    <w:charset w:val="00"/>
    <w:family w:val="auto"/>
    <w:pitch w:val="default"/>
    <w:sig w:usb0="E00002FF" w:usb1="420024FF" w:usb2="00000000" w:usb3="00000000" w:csb0="2000019F" w:csb1="00000000"/>
    <w:embedRegular r:id="rId2" w:fontKey="{7881FA0A-03C7-439C-964B-D56ABC50E5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13E4C">
    <w:pPr>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3ADD5">
    <w:r>
      <w:fldChar w:fldCharType="begin"/>
    </w:r>
    <w:r>
      <w:instrText xml:space="preserve">PAGE   \* MERGEFORMAT</w:instrText>
    </w:r>
    <w:r>
      <w:fldChar w:fldCharType="separate"/>
    </w:r>
    <w:r>
      <w:rPr>
        <w:lang w:val="zh-CN"/>
      </w:rPr>
      <w:t>38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7BB2">
    <w:pPr>
      <w:pStyle w:val="23"/>
      <w:ind w:firstLine="360"/>
    </w:pPr>
  </w:p>
  <w:p w14:paraId="78B3E4B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02AB5">
    <w:pPr>
      <w:pStyle w:val="2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374A9C">
                          <w:pPr>
                            <w:pStyle w:val="2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qJmyskBAACa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hx3OLAL9+/XX78uvz8Spav&#10;sz59gBrT7gImpuGtH3BrZj+gM9MeVLT5i4QIxlHd81VdOSQi8qP1ar2uMCQwNl8Qnz08DxHSO+kt&#10;yUZDI46vqMpPHyCNqXNKrub8rTamjNC4vxyImT0s9z72mK007IeJ0N63Z+TT4+Qb6nDRKTHvHQqb&#10;l2Q24mzsZ+MYoj50ZYtyPQhvjgmbKL3lCiPsVBhHVthN65V34s97yXr4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ombKyQEAAJoDAAAOAAAAAAAAAAEAIAAAAB4BAABkcnMvZTJvRG9j&#10;LnhtbFBLBQYAAAAABgAGAFkBAABZBQAAAAA=&#10;">
              <v:fill on="f" focussize="0,0"/>
              <v:stroke on="f"/>
              <v:imagedata o:title=""/>
              <o:lock v:ext="edit" aspectratio="f"/>
              <v:textbox inset="0mm,0mm,0mm,0mm" style="mso-fit-shape-to-text:t;">
                <w:txbxContent>
                  <w:p w14:paraId="54374A9C">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A49F3">
    <w:pPr>
      <w:spacing w:line="184" w:lineRule="auto"/>
      <w:rPr>
        <w:rFonts w:ascii="Times New Roman" w:hAnsi="Times New Roman" w:eastAsia="Times New Roman" w:cs="Times New Roman"/>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FF72">
                          <w:pPr>
                            <w:pStyle w:val="23"/>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qEMcBAACb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hCUljluc+OXH98vP35df38iq&#10;CNQHqDHvIWBmGt76AZOzcNkP6My8BxVt/iIjgnGU93yVVw6JiPxovVqvKwwJjM0XxGG35yFCeie9&#10;JdloaMT5FVn56QOkMXVOydWcv9fGlBka95cDMbOH3XrMVhr2w9T43rdn5NPj6BvqcNMpMe8dKpu3&#10;ZDbibOxn4xiiPnRljXI9CG+OCZsoveUKI+xUGGdW2E37lZfi8b1k3f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mqEMcBAACbAwAADgAAAAAAAAABACAAAAAeAQAAZHJzL2Uyb0RvYy54&#10;bWxQSwUGAAAAAAYABgBZAQAAVwUAAAAA&#10;">
              <v:fill on="f" focussize="0,0"/>
              <v:stroke on="f"/>
              <v:imagedata o:title=""/>
              <o:lock v:ext="edit" aspectratio="f"/>
              <v:textbox inset="0mm,0mm,0mm,0mm" style="mso-fit-shape-to-text:t;">
                <w:txbxContent>
                  <w:p w14:paraId="5A12FF72">
                    <w:pPr>
                      <w:pStyle w:val="23"/>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0F05">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D8486B">
                          <w:pPr>
                            <w:pStyle w:val="23"/>
                          </w:pPr>
                          <w:r>
                            <w:fldChar w:fldCharType="begin"/>
                          </w:r>
                          <w:r>
                            <w:instrText xml:space="preserve"> PAGE  \* MERGEFORMAT </w:instrText>
                          </w:r>
                          <w:r>
                            <w:fldChar w:fldCharType="separate"/>
                          </w:r>
                          <w:r>
                            <w:t>123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FD8486B">
                    <w:pPr>
                      <w:pStyle w:val="23"/>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45731">
    <w:pPr>
      <w:pStyle w:val="2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C2E34">
    <w:pPr>
      <w:pStyle w:val="2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44F38">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0F4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D5BD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D486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E2B3E">
    <w:pPr>
      <w:pStyle w:val="24"/>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368A7">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6EE22"/>
    <w:multiLevelType w:val="singleLevel"/>
    <w:tmpl w:val="9416EE22"/>
    <w:lvl w:ilvl="0" w:tentative="0">
      <w:start w:val="3"/>
      <w:numFmt w:val="chineseCounting"/>
      <w:suff w:val="nothing"/>
      <w:lvlText w:val="（%1）"/>
      <w:lvlJc w:val="left"/>
      <w:rPr>
        <w:rFonts w:hint="eastAsia"/>
      </w:rPr>
    </w:lvl>
  </w:abstractNum>
  <w:abstractNum w:abstractNumId="1">
    <w:nsid w:val="94EFF360"/>
    <w:multiLevelType w:val="singleLevel"/>
    <w:tmpl w:val="94EFF360"/>
    <w:lvl w:ilvl="0" w:tentative="0">
      <w:start w:val="1"/>
      <w:numFmt w:val="decimal"/>
      <w:suff w:val="nothing"/>
      <w:lvlText w:val="%1、"/>
      <w:lvlJc w:val="left"/>
    </w:lvl>
  </w:abstractNum>
  <w:abstractNum w:abstractNumId="2">
    <w:nsid w:val="A3B2A3CF"/>
    <w:multiLevelType w:val="singleLevel"/>
    <w:tmpl w:val="A3B2A3CF"/>
    <w:lvl w:ilvl="0" w:tentative="0">
      <w:start w:val="3"/>
      <w:numFmt w:val="decimal"/>
      <w:suff w:val="nothing"/>
      <w:lvlText w:val="%1、"/>
      <w:lvlJc w:val="left"/>
    </w:lvl>
  </w:abstractNum>
  <w:abstractNum w:abstractNumId="3">
    <w:nsid w:val="E7069F4C"/>
    <w:multiLevelType w:val="singleLevel"/>
    <w:tmpl w:val="E7069F4C"/>
    <w:lvl w:ilvl="0" w:tentative="0">
      <w:start w:val="1"/>
      <w:numFmt w:val="lowerLetter"/>
      <w:lvlText w:val="%1."/>
      <w:lvlJc w:val="left"/>
      <w:pPr>
        <w:ind w:left="425" w:hanging="425"/>
      </w:pPr>
      <w:rPr>
        <w:rFonts w:hint="default"/>
      </w:rPr>
    </w:lvl>
  </w:abstractNum>
  <w:abstractNum w:abstractNumId="4">
    <w:nsid w:val="147F954C"/>
    <w:multiLevelType w:val="singleLevel"/>
    <w:tmpl w:val="147F954C"/>
    <w:lvl w:ilvl="0" w:tentative="0">
      <w:start w:val="1"/>
      <w:numFmt w:val="decimal"/>
      <w:suff w:val="nothing"/>
      <w:lvlText w:val="（%1）"/>
      <w:lvlJc w:val="left"/>
    </w:lvl>
  </w:abstractNum>
  <w:abstractNum w:abstractNumId="5">
    <w:nsid w:val="3FFDD59B"/>
    <w:multiLevelType w:val="singleLevel"/>
    <w:tmpl w:val="3FFDD59B"/>
    <w:lvl w:ilvl="0" w:tentative="0">
      <w:start w:val="5"/>
      <w:numFmt w:val="decimal"/>
      <w:suff w:val="nothing"/>
      <w:lvlText w:val="（%1）"/>
      <w:lvlJc w:val="left"/>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hideSpellingErrors/>
  <w:documentProtection w:enforcement="0"/>
  <w:defaultTabStop w:val="420"/>
  <w:drawingGridHorizontalSpacing w:val="273"/>
  <w:drawingGridVerticalSpacing w:val="209"/>
  <w:displayHorizontalDrawingGridEvery w:val="1"/>
  <w:displayVerticalDrawingGridEvery w:val="1"/>
  <w:noPunctuationKerning w:val="1"/>
  <w:characterSpacingControl w:val="doNotCompress"/>
  <w:hdrShapeDefaults>
    <o:shapelayout v:ext="edit">
      <o:idmap v:ext="edit" data="1"/>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NGIxZTVmNmRiODc1NDk2Zjk3ZTJhZjE1M2JjZDkifQ=="/>
  </w:docVars>
  <w:rsids>
    <w:rsidRoot w:val="001E18C5"/>
    <w:rsid w:val="00002315"/>
    <w:rsid w:val="00005AF8"/>
    <w:rsid w:val="00013782"/>
    <w:rsid w:val="00013E46"/>
    <w:rsid w:val="00015A9C"/>
    <w:rsid w:val="0001633B"/>
    <w:rsid w:val="000202EA"/>
    <w:rsid w:val="00027E71"/>
    <w:rsid w:val="0003153C"/>
    <w:rsid w:val="000355C9"/>
    <w:rsid w:val="00035CAF"/>
    <w:rsid w:val="00037152"/>
    <w:rsid w:val="0004042C"/>
    <w:rsid w:val="00040CEC"/>
    <w:rsid w:val="00045D1D"/>
    <w:rsid w:val="000504C9"/>
    <w:rsid w:val="000516F9"/>
    <w:rsid w:val="00055A89"/>
    <w:rsid w:val="0006227D"/>
    <w:rsid w:val="000646D5"/>
    <w:rsid w:val="0006732A"/>
    <w:rsid w:val="0006799F"/>
    <w:rsid w:val="000703D3"/>
    <w:rsid w:val="000706DC"/>
    <w:rsid w:val="00075F05"/>
    <w:rsid w:val="000761E5"/>
    <w:rsid w:val="00076A38"/>
    <w:rsid w:val="00080695"/>
    <w:rsid w:val="00080FF3"/>
    <w:rsid w:val="0008443C"/>
    <w:rsid w:val="00085295"/>
    <w:rsid w:val="00086CCF"/>
    <w:rsid w:val="000873FE"/>
    <w:rsid w:val="00090AE5"/>
    <w:rsid w:val="00092A8D"/>
    <w:rsid w:val="000946C5"/>
    <w:rsid w:val="00096BB5"/>
    <w:rsid w:val="0009786C"/>
    <w:rsid w:val="000A16C0"/>
    <w:rsid w:val="000A3734"/>
    <w:rsid w:val="000A44C6"/>
    <w:rsid w:val="000B1020"/>
    <w:rsid w:val="000B1CE6"/>
    <w:rsid w:val="000B508B"/>
    <w:rsid w:val="000B565B"/>
    <w:rsid w:val="000C38E8"/>
    <w:rsid w:val="000C3A0E"/>
    <w:rsid w:val="000C4028"/>
    <w:rsid w:val="000C5C71"/>
    <w:rsid w:val="000D4951"/>
    <w:rsid w:val="000D5F7C"/>
    <w:rsid w:val="000D6E48"/>
    <w:rsid w:val="000D72D1"/>
    <w:rsid w:val="000E1612"/>
    <w:rsid w:val="000E1BBA"/>
    <w:rsid w:val="000E2809"/>
    <w:rsid w:val="000E41AE"/>
    <w:rsid w:val="000E5029"/>
    <w:rsid w:val="000F0BBA"/>
    <w:rsid w:val="000F0CA6"/>
    <w:rsid w:val="000F110A"/>
    <w:rsid w:val="000F15C7"/>
    <w:rsid w:val="000F4874"/>
    <w:rsid w:val="000F5267"/>
    <w:rsid w:val="000F5B0F"/>
    <w:rsid w:val="000F64DF"/>
    <w:rsid w:val="000F66AB"/>
    <w:rsid w:val="00100151"/>
    <w:rsid w:val="00101193"/>
    <w:rsid w:val="00107FAF"/>
    <w:rsid w:val="00110258"/>
    <w:rsid w:val="00110674"/>
    <w:rsid w:val="00110C83"/>
    <w:rsid w:val="001114DC"/>
    <w:rsid w:val="00114FE9"/>
    <w:rsid w:val="001163E9"/>
    <w:rsid w:val="001229CB"/>
    <w:rsid w:val="0012644D"/>
    <w:rsid w:val="00132106"/>
    <w:rsid w:val="00132193"/>
    <w:rsid w:val="00132537"/>
    <w:rsid w:val="001327E8"/>
    <w:rsid w:val="001346BC"/>
    <w:rsid w:val="0013544E"/>
    <w:rsid w:val="001365F3"/>
    <w:rsid w:val="001379F7"/>
    <w:rsid w:val="00140EF4"/>
    <w:rsid w:val="00142F21"/>
    <w:rsid w:val="00146768"/>
    <w:rsid w:val="001477DE"/>
    <w:rsid w:val="001515A2"/>
    <w:rsid w:val="001528CE"/>
    <w:rsid w:val="00153871"/>
    <w:rsid w:val="001621DE"/>
    <w:rsid w:val="00164297"/>
    <w:rsid w:val="00164488"/>
    <w:rsid w:val="001667CE"/>
    <w:rsid w:val="00166C69"/>
    <w:rsid w:val="00167016"/>
    <w:rsid w:val="00167123"/>
    <w:rsid w:val="00170D8F"/>
    <w:rsid w:val="001777BF"/>
    <w:rsid w:val="001809EA"/>
    <w:rsid w:val="00181567"/>
    <w:rsid w:val="0018331B"/>
    <w:rsid w:val="001835AD"/>
    <w:rsid w:val="00184630"/>
    <w:rsid w:val="0018463F"/>
    <w:rsid w:val="00185B5B"/>
    <w:rsid w:val="00186803"/>
    <w:rsid w:val="00187C37"/>
    <w:rsid w:val="00190833"/>
    <w:rsid w:val="001927EB"/>
    <w:rsid w:val="00192F00"/>
    <w:rsid w:val="001969D8"/>
    <w:rsid w:val="00196A7B"/>
    <w:rsid w:val="001A0B4D"/>
    <w:rsid w:val="001A1BB3"/>
    <w:rsid w:val="001A243E"/>
    <w:rsid w:val="001A373C"/>
    <w:rsid w:val="001B3B4E"/>
    <w:rsid w:val="001B4C2E"/>
    <w:rsid w:val="001B5005"/>
    <w:rsid w:val="001B7BCC"/>
    <w:rsid w:val="001C0F4F"/>
    <w:rsid w:val="001C1443"/>
    <w:rsid w:val="001C66CA"/>
    <w:rsid w:val="001C79EA"/>
    <w:rsid w:val="001D22DF"/>
    <w:rsid w:val="001D3DBD"/>
    <w:rsid w:val="001E18C5"/>
    <w:rsid w:val="001E1C36"/>
    <w:rsid w:val="001E1CDF"/>
    <w:rsid w:val="001E2FB8"/>
    <w:rsid w:val="001E32AF"/>
    <w:rsid w:val="001E5467"/>
    <w:rsid w:val="001E61E0"/>
    <w:rsid w:val="001E6BFC"/>
    <w:rsid w:val="001E7308"/>
    <w:rsid w:val="001F0AD3"/>
    <w:rsid w:val="001F34EC"/>
    <w:rsid w:val="001F3D12"/>
    <w:rsid w:val="001F6070"/>
    <w:rsid w:val="001F7231"/>
    <w:rsid w:val="001F7738"/>
    <w:rsid w:val="0020060A"/>
    <w:rsid w:val="00201FFD"/>
    <w:rsid w:val="00203CF6"/>
    <w:rsid w:val="00207339"/>
    <w:rsid w:val="00211EF4"/>
    <w:rsid w:val="0021297D"/>
    <w:rsid w:val="00212D55"/>
    <w:rsid w:val="00212D80"/>
    <w:rsid w:val="00213A32"/>
    <w:rsid w:val="0021606B"/>
    <w:rsid w:val="002214A8"/>
    <w:rsid w:val="00222CDF"/>
    <w:rsid w:val="00225FD2"/>
    <w:rsid w:val="0022731A"/>
    <w:rsid w:val="002278EC"/>
    <w:rsid w:val="002304EE"/>
    <w:rsid w:val="00231364"/>
    <w:rsid w:val="002321BA"/>
    <w:rsid w:val="0023404E"/>
    <w:rsid w:val="00234D88"/>
    <w:rsid w:val="00235126"/>
    <w:rsid w:val="002354A5"/>
    <w:rsid w:val="0023698E"/>
    <w:rsid w:val="00236B12"/>
    <w:rsid w:val="002371C0"/>
    <w:rsid w:val="00243592"/>
    <w:rsid w:val="00246EBA"/>
    <w:rsid w:val="00250ACB"/>
    <w:rsid w:val="00250DC8"/>
    <w:rsid w:val="00251780"/>
    <w:rsid w:val="002559B4"/>
    <w:rsid w:val="00261C97"/>
    <w:rsid w:val="00264D3B"/>
    <w:rsid w:val="00265129"/>
    <w:rsid w:val="002656FF"/>
    <w:rsid w:val="00265B9F"/>
    <w:rsid w:val="00270DEF"/>
    <w:rsid w:val="00271D43"/>
    <w:rsid w:val="002722B9"/>
    <w:rsid w:val="002740F4"/>
    <w:rsid w:val="0027451E"/>
    <w:rsid w:val="00274EB9"/>
    <w:rsid w:val="00275981"/>
    <w:rsid w:val="00277C73"/>
    <w:rsid w:val="00277ED0"/>
    <w:rsid w:val="0028008B"/>
    <w:rsid w:val="00280BA2"/>
    <w:rsid w:val="002876CC"/>
    <w:rsid w:val="002907DD"/>
    <w:rsid w:val="00292F4F"/>
    <w:rsid w:val="002954B8"/>
    <w:rsid w:val="002A06F2"/>
    <w:rsid w:val="002A2254"/>
    <w:rsid w:val="002A2D66"/>
    <w:rsid w:val="002A38EA"/>
    <w:rsid w:val="002A4B78"/>
    <w:rsid w:val="002A517B"/>
    <w:rsid w:val="002A65A3"/>
    <w:rsid w:val="002A675F"/>
    <w:rsid w:val="002B0305"/>
    <w:rsid w:val="002B04E6"/>
    <w:rsid w:val="002B25D1"/>
    <w:rsid w:val="002B298F"/>
    <w:rsid w:val="002B35B9"/>
    <w:rsid w:val="002B4BF3"/>
    <w:rsid w:val="002B6C85"/>
    <w:rsid w:val="002C2CE2"/>
    <w:rsid w:val="002C5CA1"/>
    <w:rsid w:val="002C61CD"/>
    <w:rsid w:val="002C78EA"/>
    <w:rsid w:val="002D12AD"/>
    <w:rsid w:val="002D540E"/>
    <w:rsid w:val="002E078F"/>
    <w:rsid w:val="002E7570"/>
    <w:rsid w:val="002F04CF"/>
    <w:rsid w:val="002F58C3"/>
    <w:rsid w:val="0030081A"/>
    <w:rsid w:val="003013D5"/>
    <w:rsid w:val="003050D2"/>
    <w:rsid w:val="003064BF"/>
    <w:rsid w:val="00307A49"/>
    <w:rsid w:val="00312E55"/>
    <w:rsid w:val="003132FE"/>
    <w:rsid w:val="00315AAE"/>
    <w:rsid w:val="00316690"/>
    <w:rsid w:val="00316990"/>
    <w:rsid w:val="00316E69"/>
    <w:rsid w:val="00321F5C"/>
    <w:rsid w:val="0032215F"/>
    <w:rsid w:val="00322BAA"/>
    <w:rsid w:val="003241E1"/>
    <w:rsid w:val="00326810"/>
    <w:rsid w:val="00326AAB"/>
    <w:rsid w:val="003275F6"/>
    <w:rsid w:val="00330758"/>
    <w:rsid w:val="00330F38"/>
    <w:rsid w:val="0033181F"/>
    <w:rsid w:val="00333286"/>
    <w:rsid w:val="00334E65"/>
    <w:rsid w:val="003404B7"/>
    <w:rsid w:val="00340649"/>
    <w:rsid w:val="00342002"/>
    <w:rsid w:val="0035041A"/>
    <w:rsid w:val="0035237B"/>
    <w:rsid w:val="0035262C"/>
    <w:rsid w:val="003535FB"/>
    <w:rsid w:val="00353EFB"/>
    <w:rsid w:val="00355E29"/>
    <w:rsid w:val="00355FAC"/>
    <w:rsid w:val="00356087"/>
    <w:rsid w:val="00360061"/>
    <w:rsid w:val="00361B2B"/>
    <w:rsid w:val="00362BF8"/>
    <w:rsid w:val="00362F02"/>
    <w:rsid w:val="00363215"/>
    <w:rsid w:val="0036390C"/>
    <w:rsid w:val="00370546"/>
    <w:rsid w:val="003730DD"/>
    <w:rsid w:val="0037372F"/>
    <w:rsid w:val="003755DA"/>
    <w:rsid w:val="00376DFC"/>
    <w:rsid w:val="0037749B"/>
    <w:rsid w:val="00380E90"/>
    <w:rsid w:val="0038269F"/>
    <w:rsid w:val="00382A65"/>
    <w:rsid w:val="003851A5"/>
    <w:rsid w:val="003912FD"/>
    <w:rsid w:val="0039186E"/>
    <w:rsid w:val="003923B3"/>
    <w:rsid w:val="0039341D"/>
    <w:rsid w:val="00393EFB"/>
    <w:rsid w:val="003A0D8E"/>
    <w:rsid w:val="003A2465"/>
    <w:rsid w:val="003A3B00"/>
    <w:rsid w:val="003A44E0"/>
    <w:rsid w:val="003A50F8"/>
    <w:rsid w:val="003A5F3F"/>
    <w:rsid w:val="003A6566"/>
    <w:rsid w:val="003A7951"/>
    <w:rsid w:val="003B0713"/>
    <w:rsid w:val="003B2409"/>
    <w:rsid w:val="003B4003"/>
    <w:rsid w:val="003B4D9B"/>
    <w:rsid w:val="003B5456"/>
    <w:rsid w:val="003B5B59"/>
    <w:rsid w:val="003B6B0C"/>
    <w:rsid w:val="003B74EE"/>
    <w:rsid w:val="003B790E"/>
    <w:rsid w:val="003C07B7"/>
    <w:rsid w:val="003C11C0"/>
    <w:rsid w:val="003C1811"/>
    <w:rsid w:val="003C32F1"/>
    <w:rsid w:val="003C4FE0"/>
    <w:rsid w:val="003C6BF2"/>
    <w:rsid w:val="003C75AB"/>
    <w:rsid w:val="003C7CFB"/>
    <w:rsid w:val="003C7FFD"/>
    <w:rsid w:val="003D02E3"/>
    <w:rsid w:val="003D1A56"/>
    <w:rsid w:val="003D334B"/>
    <w:rsid w:val="003D5CD8"/>
    <w:rsid w:val="003E1776"/>
    <w:rsid w:val="003E2DCC"/>
    <w:rsid w:val="003E48DC"/>
    <w:rsid w:val="003E5EDF"/>
    <w:rsid w:val="003E616E"/>
    <w:rsid w:val="003E6A76"/>
    <w:rsid w:val="003F5D21"/>
    <w:rsid w:val="00400681"/>
    <w:rsid w:val="00401EB9"/>
    <w:rsid w:val="0040309B"/>
    <w:rsid w:val="00407C6A"/>
    <w:rsid w:val="00411ECC"/>
    <w:rsid w:val="00413C30"/>
    <w:rsid w:val="00415790"/>
    <w:rsid w:val="004159F8"/>
    <w:rsid w:val="004160D3"/>
    <w:rsid w:val="00416706"/>
    <w:rsid w:val="0041697F"/>
    <w:rsid w:val="00417A05"/>
    <w:rsid w:val="0042420E"/>
    <w:rsid w:val="0042583D"/>
    <w:rsid w:val="004261DA"/>
    <w:rsid w:val="00430797"/>
    <w:rsid w:val="00436FC6"/>
    <w:rsid w:val="00437854"/>
    <w:rsid w:val="00442037"/>
    <w:rsid w:val="00443121"/>
    <w:rsid w:val="00443CB3"/>
    <w:rsid w:val="004440D3"/>
    <w:rsid w:val="004508E3"/>
    <w:rsid w:val="00456042"/>
    <w:rsid w:val="00456494"/>
    <w:rsid w:val="004571A2"/>
    <w:rsid w:val="004616C3"/>
    <w:rsid w:val="004652DF"/>
    <w:rsid w:val="004727AC"/>
    <w:rsid w:val="00483406"/>
    <w:rsid w:val="00483C54"/>
    <w:rsid w:val="0048514A"/>
    <w:rsid w:val="004871F5"/>
    <w:rsid w:val="00487550"/>
    <w:rsid w:val="004943C7"/>
    <w:rsid w:val="00494991"/>
    <w:rsid w:val="00495963"/>
    <w:rsid w:val="004A0804"/>
    <w:rsid w:val="004A1368"/>
    <w:rsid w:val="004A19F5"/>
    <w:rsid w:val="004A287B"/>
    <w:rsid w:val="004A3825"/>
    <w:rsid w:val="004A4CA6"/>
    <w:rsid w:val="004A63C8"/>
    <w:rsid w:val="004A7346"/>
    <w:rsid w:val="004A7B9E"/>
    <w:rsid w:val="004B0AFE"/>
    <w:rsid w:val="004B0FDD"/>
    <w:rsid w:val="004B187A"/>
    <w:rsid w:val="004B7160"/>
    <w:rsid w:val="004B7E18"/>
    <w:rsid w:val="004C5ABF"/>
    <w:rsid w:val="004D0084"/>
    <w:rsid w:val="004D43CC"/>
    <w:rsid w:val="004D7BAD"/>
    <w:rsid w:val="004E1508"/>
    <w:rsid w:val="004E381A"/>
    <w:rsid w:val="004F35A3"/>
    <w:rsid w:val="004F4A9F"/>
    <w:rsid w:val="004F4D13"/>
    <w:rsid w:val="004F613A"/>
    <w:rsid w:val="004F6F1F"/>
    <w:rsid w:val="0050011B"/>
    <w:rsid w:val="00500989"/>
    <w:rsid w:val="005028D3"/>
    <w:rsid w:val="0050607F"/>
    <w:rsid w:val="005066E6"/>
    <w:rsid w:val="00506A58"/>
    <w:rsid w:val="00506AB0"/>
    <w:rsid w:val="0051299F"/>
    <w:rsid w:val="005168FE"/>
    <w:rsid w:val="005169F4"/>
    <w:rsid w:val="00516C82"/>
    <w:rsid w:val="00520AFB"/>
    <w:rsid w:val="00520E62"/>
    <w:rsid w:val="00525246"/>
    <w:rsid w:val="005316D7"/>
    <w:rsid w:val="00533479"/>
    <w:rsid w:val="005336FB"/>
    <w:rsid w:val="0053421E"/>
    <w:rsid w:val="00535794"/>
    <w:rsid w:val="00535BD3"/>
    <w:rsid w:val="005366BF"/>
    <w:rsid w:val="00536870"/>
    <w:rsid w:val="00537400"/>
    <w:rsid w:val="00537DF5"/>
    <w:rsid w:val="00542476"/>
    <w:rsid w:val="005456CF"/>
    <w:rsid w:val="00545826"/>
    <w:rsid w:val="00546CA2"/>
    <w:rsid w:val="0054758E"/>
    <w:rsid w:val="00550651"/>
    <w:rsid w:val="00550920"/>
    <w:rsid w:val="00552FDB"/>
    <w:rsid w:val="0055355D"/>
    <w:rsid w:val="005545D5"/>
    <w:rsid w:val="0055469B"/>
    <w:rsid w:val="00554CAD"/>
    <w:rsid w:val="00554D67"/>
    <w:rsid w:val="005563DF"/>
    <w:rsid w:val="005573BE"/>
    <w:rsid w:val="0056061C"/>
    <w:rsid w:val="00560FE5"/>
    <w:rsid w:val="00561959"/>
    <w:rsid w:val="00562F25"/>
    <w:rsid w:val="00563B31"/>
    <w:rsid w:val="00564641"/>
    <w:rsid w:val="00564C4B"/>
    <w:rsid w:val="00566ADE"/>
    <w:rsid w:val="005671ED"/>
    <w:rsid w:val="0057012D"/>
    <w:rsid w:val="005734E8"/>
    <w:rsid w:val="00573874"/>
    <w:rsid w:val="0057448C"/>
    <w:rsid w:val="00575066"/>
    <w:rsid w:val="005755AE"/>
    <w:rsid w:val="00576561"/>
    <w:rsid w:val="00580E10"/>
    <w:rsid w:val="005815B4"/>
    <w:rsid w:val="00583773"/>
    <w:rsid w:val="0058442B"/>
    <w:rsid w:val="005855D9"/>
    <w:rsid w:val="005867E8"/>
    <w:rsid w:val="00590E25"/>
    <w:rsid w:val="00591F1B"/>
    <w:rsid w:val="0059380D"/>
    <w:rsid w:val="00596D4C"/>
    <w:rsid w:val="005A0B62"/>
    <w:rsid w:val="005A102B"/>
    <w:rsid w:val="005A2DC6"/>
    <w:rsid w:val="005A3035"/>
    <w:rsid w:val="005A46FF"/>
    <w:rsid w:val="005A4FDF"/>
    <w:rsid w:val="005A6915"/>
    <w:rsid w:val="005A7561"/>
    <w:rsid w:val="005B0480"/>
    <w:rsid w:val="005B0C18"/>
    <w:rsid w:val="005B11C1"/>
    <w:rsid w:val="005B41C4"/>
    <w:rsid w:val="005B5910"/>
    <w:rsid w:val="005B59E3"/>
    <w:rsid w:val="005B71E7"/>
    <w:rsid w:val="005C066A"/>
    <w:rsid w:val="005C15FD"/>
    <w:rsid w:val="005C4379"/>
    <w:rsid w:val="005C4B7F"/>
    <w:rsid w:val="005C4BA7"/>
    <w:rsid w:val="005C5CAC"/>
    <w:rsid w:val="005C6832"/>
    <w:rsid w:val="005C765E"/>
    <w:rsid w:val="005D1BF7"/>
    <w:rsid w:val="005D4E50"/>
    <w:rsid w:val="005D50F8"/>
    <w:rsid w:val="005D779C"/>
    <w:rsid w:val="005D77C7"/>
    <w:rsid w:val="005E0623"/>
    <w:rsid w:val="005E22BB"/>
    <w:rsid w:val="005E33C6"/>
    <w:rsid w:val="005E341C"/>
    <w:rsid w:val="005E53FB"/>
    <w:rsid w:val="005E5E18"/>
    <w:rsid w:val="005E62E8"/>
    <w:rsid w:val="005E6A87"/>
    <w:rsid w:val="005E7084"/>
    <w:rsid w:val="005E7EAA"/>
    <w:rsid w:val="005F07FE"/>
    <w:rsid w:val="005F2B68"/>
    <w:rsid w:val="005F2DE4"/>
    <w:rsid w:val="005F3FD5"/>
    <w:rsid w:val="005F4385"/>
    <w:rsid w:val="00602E4E"/>
    <w:rsid w:val="00603A8B"/>
    <w:rsid w:val="00604472"/>
    <w:rsid w:val="006044DD"/>
    <w:rsid w:val="00605FAD"/>
    <w:rsid w:val="006063C1"/>
    <w:rsid w:val="0061142D"/>
    <w:rsid w:val="006119CF"/>
    <w:rsid w:val="00614D31"/>
    <w:rsid w:val="006208EA"/>
    <w:rsid w:val="0062462F"/>
    <w:rsid w:val="0062477F"/>
    <w:rsid w:val="00624C3C"/>
    <w:rsid w:val="00625ACA"/>
    <w:rsid w:val="00632633"/>
    <w:rsid w:val="00636B45"/>
    <w:rsid w:val="006373F4"/>
    <w:rsid w:val="006376F4"/>
    <w:rsid w:val="00643921"/>
    <w:rsid w:val="00646573"/>
    <w:rsid w:val="00646D43"/>
    <w:rsid w:val="0065176A"/>
    <w:rsid w:val="006518D5"/>
    <w:rsid w:val="00656EE2"/>
    <w:rsid w:val="0065771B"/>
    <w:rsid w:val="00657A3D"/>
    <w:rsid w:val="00660A52"/>
    <w:rsid w:val="00660BBB"/>
    <w:rsid w:val="00664409"/>
    <w:rsid w:val="00666832"/>
    <w:rsid w:val="0066776D"/>
    <w:rsid w:val="006706F7"/>
    <w:rsid w:val="00671FC5"/>
    <w:rsid w:val="00672553"/>
    <w:rsid w:val="00673DB5"/>
    <w:rsid w:val="0067502D"/>
    <w:rsid w:val="00676697"/>
    <w:rsid w:val="00677D09"/>
    <w:rsid w:val="00682441"/>
    <w:rsid w:val="00682A3F"/>
    <w:rsid w:val="00684926"/>
    <w:rsid w:val="00684B50"/>
    <w:rsid w:val="00692498"/>
    <w:rsid w:val="00692E8C"/>
    <w:rsid w:val="00695CF3"/>
    <w:rsid w:val="006970AC"/>
    <w:rsid w:val="006A0279"/>
    <w:rsid w:val="006A2553"/>
    <w:rsid w:val="006A571A"/>
    <w:rsid w:val="006A6247"/>
    <w:rsid w:val="006A734F"/>
    <w:rsid w:val="006B04A2"/>
    <w:rsid w:val="006B2700"/>
    <w:rsid w:val="006B2BF6"/>
    <w:rsid w:val="006B66B8"/>
    <w:rsid w:val="006C0222"/>
    <w:rsid w:val="006C0471"/>
    <w:rsid w:val="006C10C0"/>
    <w:rsid w:val="006C1286"/>
    <w:rsid w:val="006C2CDB"/>
    <w:rsid w:val="006C4FFA"/>
    <w:rsid w:val="006C5012"/>
    <w:rsid w:val="006C67F4"/>
    <w:rsid w:val="006C6FCE"/>
    <w:rsid w:val="006D037E"/>
    <w:rsid w:val="006D2B01"/>
    <w:rsid w:val="006D6C4B"/>
    <w:rsid w:val="006D795D"/>
    <w:rsid w:val="006E0682"/>
    <w:rsid w:val="006E2D2A"/>
    <w:rsid w:val="006F06E3"/>
    <w:rsid w:val="006F22B1"/>
    <w:rsid w:val="006F7209"/>
    <w:rsid w:val="007000CF"/>
    <w:rsid w:val="0070063A"/>
    <w:rsid w:val="0070079D"/>
    <w:rsid w:val="0070289C"/>
    <w:rsid w:val="00704195"/>
    <w:rsid w:val="007058C1"/>
    <w:rsid w:val="00705D95"/>
    <w:rsid w:val="00706459"/>
    <w:rsid w:val="00706E01"/>
    <w:rsid w:val="00711487"/>
    <w:rsid w:val="00712729"/>
    <w:rsid w:val="00713E32"/>
    <w:rsid w:val="0071456B"/>
    <w:rsid w:val="0071793F"/>
    <w:rsid w:val="00724D0E"/>
    <w:rsid w:val="0073460F"/>
    <w:rsid w:val="00734E1B"/>
    <w:rsid w:val="00737C6B"/>
    <w:rsid w:val="007422E0"/>
    <w:rsid w:val="007435C8"/>
    <w:rsid w:val="00744273"/>
    <w:rsid w:val="00751378"/>
    <w:rsid w:val="007539ED"/>
    <w:rsid w:val="007579A0"/>
    <w:rsid w:val="0076170A"/>
    <w:rsid w:val="00763D3F"/>
    <w:rsid w:val="00766735"/>
    <w:rsid w:val="007667C3"/>
    <w:rsid w:val="007703B6"/>
    <w:rsid w:val="007727E3"/>
    <w:rsid w:val="00772B5D"/>
    <w:rsid w:val="0077403B"/>
    <w:rsid w:val="007746B3"/>
    <w:rsid w:val="00775329"/>
    <w:rsid w:val="00775EF6"/>
    <w:rsid w:val="00777517"/>
    <w:rsid w:val="007779F8"/>
    <w:rsid w:val="00780377"/>
    <w:rsid w:val="007828A2"/>
    <w:rsid w:val="00786709"/>
    <w:rsid w:val="00793300"/>
    <w:rsid w:val="00793372"/>
    <w:rsid w:val="007949D1"/>
    <w:rsid w:val="007955EC"/>
    <w:rsid w:val="0079636D"/>
    <w:rsid w:val="007972E3"/>
    <w:rsid w:val="0079798F"/>
    <w:rsid w:val="007A52FC"/>
    <w:rsid w:val="007A58A2"/>
    <w:rsid w:val="007B10E1"/>
    <w:rsid w:val="007B11B9"/>
    <w:rsid w:val="007B2B83"/>
    <w:rsid w:val="007B2C8B"/>
    <w:rsid w:val="007B2E6F"/>
    <w:rsid w:val="007B33A3"/>
    <w:rsid w:val="007B4D48"/>
    <w:rsid w:val="007B5854"/>
    <w:rsid w:val="007B74BF"/>
    <w:rsid w:val="007B7990"/>
    <w:rsid w:val="007C21E2"/>
    <w:rsid w:val="007C2BDB"/>
    <w:rsid w:val="007C41B2"/>
    <w:rsid w:val="007C5865"/>
    <w:rsid w:val="007C5D94"/>
    <w:rsid w:val="007C65BE"/>
    <w:rsid w:val="007C6878"/>
    <w:rsid w:val="007C7C8F"/>
    <w:rsid w:val="007D1B83"/>
    <w:rsid w:val="007D21AC"/>
    <w:rsid w:val="007D2905"/>
    <w:rsid w:val="007D2DDB"/>
    <w:rsid w:val="007D30BA"/>
    <w:rsid w:val="007D3621"/>
    <w:rsid w:val="007D7912"/>
    <w:rsid w:val="007D7AE8"/>
    <w:rsid w:val="007E128F"/>
    <w:rsid w:val="007E564D"/>
    <w:rsid w:val="007F26AC"/>
    <w:rsid w:val="007F29AB"/>
    <w:rsid w:val="007F39A1"/>
    <w:rsid w:val="007F69FE"/>
    <w:rsid w:val="0080060F"/>
    <w:rsid w:val="00800AA4"/>
    <w:rsid w:val="00800AD2"/>
    <w:rsid w:val="00800D3D"/>
    <w:rsid w:val="008022C3"/>
    <w:rsid w:val="00804FA8"/>
    <w:rsid w:val="00810D15"/>
    <w:rsid w:val="008129DD"/>
    <w:rsid w:val="00814690"/>
    <w:rsid w:val="00815410"/>
    <w:rsid w:val="008156C8"/>
    <w:rsid w:val="00816693"/>
    <w:rsid w:val="00817E0F"/>
    <w:rsid w:val="0082388E"/>
    <w:rsid w:val="00824697"/>
    <w:rsid w:val="00825651"/>
    <w:rsid w:val="008335FB"/>
    <w:rsid w:val="008419DA"/>
    <w:rsid w:val="008432CF"/>
    <w:rsid w:val="00843599"/>
    <w:rsid w:val="0084470B"/>
    <w:rsid w:val="00846097"/>
    <w:rsid w:val="008503D0"/>
    <w:rsid w:val="00850695"/>
    <w:rsid w:val="008506C6"/>
    <w:rsid w:val="00851DE8"/>
    <w:rsid w:val="008529C5"/>
    <w:rsid w:val="0085453E"/>
    <w:rsid w:val="008574FC"/>
    <w:rsid w:val="00857CBE"/>
    <w:rsid w:val="00863141"/>
    <w:rsid w:val="008664AD"/>
    <w:rsid w:val="00867480"/>
    <w:rsid w:val="008702B4"/>
    <w:rsid w:val="008723DD"/>
    <w:rsid w:val="008723EB"/>
    <w:rsid w:val="00872AB2"/>
    <w:rsid w:val="00873A83"/>
    <w:rsid w:val="00873C62"/>
    <w:rsid w:val="0087499D"/>
    <w:rsid w:val="00880129"/>
    <w:rsid w:val="0088046E"/>
    <w:rsid w:val="00883F5C"/>
    <w:rsid w:val="00885EEE"/>
    <w:rsid w:val="00886470"/>
    <w:rsid w:val="008874F5"/>
    <w:rsid w:val="0089250C"/>
    <w:rsid w:val="00893946"/>
    <w:rsid w:val="0089589C"/>
    <w:rsid w:val="008971B4"/>
    <w:rsid w:val="00897C21"/>
    <w:rsid w:val="008A0E42"/>
    <w:rsid w:val="008A2956"/>
    <w:rsid w:val="008A3A29"/>
    <w:rsid w:val="008A3A31"/>
    <w:rsid w:val="008A4BBD"/>
    <w:rsid w:val="008A50A2"/>
    <w:rsid w:val="008A77E6"/>
    <w:rsid w:val="008B01C3"/>
    <w:rsid w:val="008B0482"/>
    <w:rsid w:val="008B07C7"/>
    <w:rsid w:val="008B1A1E"/>
    <w:rsid w:val="008B27E2"/>
    <w:rsid w:val="008B4047"/>
    <w:rsid w:val="008B4206"/>
    <w:rsid w:val="008B5373"/>
    <w:rsid w:val="008B59FE"/>
    <w:rsid w:val="008B7358"/>
    <w:rsid w:val="008C141E"/>
    <w:rsid w:val="008C34CB"/>
    <w:rsid w:val="008C3583"/>
    <w:rsid w:val="008C63EA"/>
    <w:rsid w:val="008D2D1E"/>
    <w:rsid w:val="008D6509"/>
    <w:rsid w:val="008D68F1"/>
    <w:rsid w:val="008D6EC2"/>
    <w:rsid w:val="008D77A4"/>
    <w:rsid w:val="008D7FBC"/>
    <w:rsid w:val="008E0057"/>
    <w:rsid w:val="008E0F27"/>
    <w:rsid w:val="008E3AB9"/>
    <w:rsid w:val="008E3B4F"/>
    <w:rsid w:val="008F01F1"/>
    <w:rsid w:val="008F05B2"/>
    <w:rsid w:val="008F3745"/>
    <w:rsid w:val="008F374C"/>
    <w:rsid w:val="008F47C3"/>
    <w:rsid w:val="008F49E0"/>
    <w:rsid w:val="008F4FC5"/>
    <w:rsid w:val="008F50D8"/>
    <w:rsid w:val="008F6E79"/>
    <w:rsid w:val="00901D25"/>
    <w:rsid w:val="0090595C"/>
    <w:rsid w:val="00905BEC"/>
    <w:rsid w:val="00906891"/>
    <w:rsid w:val="00912161"/>
    <w:rsid w:val="009130B2"/>
    <w:rsid w:val="00914AD0"/>
    <w:rsid w:val="00915AE8"/>
    <w:rsid w:val="009165ED"/>
    <w:rsid w:val="0091675A"/>
    <w:rsid w:val="00916FEE"/>
    <w:rsid w:val="00920954"/>
    <w:rsid w:val="00923E7E"/>
    <w:rsid w:val="00924307"/>
    <w:rsid w:val="00926BAC"/>
    <w:rsid w:val="00927123"/>
    <w:rsid w:val="00927FBB"/>
    <w:rsid w:val="009341EE"/>
    <w:rsid w:val="009359A0"/>
    <w:rsid w:val="0093697F"/>
    <w:rsid w:val="00937431"/>
    <w:rsid w:val="009416D1"/>
    <w:rsid w:val="0095124B"/>
    <w:rsid w:val="00951F60"/>
    <w:rsid w:val="0095290F"/>
    <w:rsid w:val="009531F6"/>
    <w:rsid w:val="00956B46"/>
    <w:rsid w:val="00960D0C"/>
    <w:rsid w:val="0096247B"/>
    <w:rsid w:val="00963888"/>
    <w:rsid w:val="00964428"/>
    <w:rsid w:val="009645BB"/>
    <w:rsid w:val="009661BD"/>
    <w:rsid w:val="00967762"/>
    <w:rsid w:val="0096788C"/>
    <w:rsid w:val="009744DB"/>
    <w:rsid w:val="00981A3B"/>
    <w:rsid w:val="00982B9B"/>
    <w:rsid w:val="00983891"/>
    <w:rsid w:val="009914CF"/>
    <w:rsid w:val="009943ED"/>
    <w:rsid w:val="009970B5"/>
    <w:rsid w:val="009975D7"/>
    <w:rsid w:val="00997A3B"/>
    <w:rsid w:val="009A0713"/>
    <w:rsid w:val="009A1F37"/>
    <w:rsid w:val="009A210F"/>
    <w:rsid w:val="009A260E"/>
    <w:rsid w:val="009A3E35"/>
    <w:rsid w:val="009A4F8B"/>
    <w:rsid w:val="009A5948"/>
    <w:rsid w:val="009A770F"/>
    <w:rsid w:val="009B071F"/>
    <w:rsid w:val="009B717C"/>
    <w:rsid w:val="009C0BA7"/>
    <w:rsid w:val="009C0CA1"/>
    <w:rsid w:val="009C3FF6"/>
    <w:rsid w:val="009C5182"/>
    <w:rsid w:val="009C5C88"/>
    <w:rsid w:val="009C5E6A"/>
    <w:rsid w:val="009C6F4E"/>
    <w:rsid w:val="009D00B0"/>
    <w:rsid w:val="009D323F"/>
    <w:rsid w:val="009D4898"/>
    <w:rsid w:val="009D55E2"/>
    <w:rsid w:val="009D6983"/>
    <w:rsid w:val="009E0847"/>
    <w:rsid w:val="009E1818"/>
    <w:rsid w:val="009E4E4E"/>
    <w:rsid w:val="009E58FF"/>
    <w:rsid w:val="009F2AEA"/>
    <w:rsid w:val="009F52BD"/>
    <w:rsid w:val="009F5C14"/>
    <w:rsid w:val="00A0100B"/>
    <w:rsid w:val="00A01755"/>
    <w:rsid w:val="00A0182E"/>
    <w:rsid w:val="00A02CB8"/>
    <w:rsid w:val="00A03990"/>
    <w:rsid w:val="00A044CD"/>
    <w:rsid w:val="00A04F4C"/>
    <w:rsid w:val="00A058B4"/>
    <w:rsid w:val="00A066BD"/>
    <w:rsid w:val="00A07A9D"/>
    <w:rsid w:val="00A10F10"/>
    <w:rsid w:val="00A12564"/>
    <w:rsid w:val="00A13F6C"/>
    <w:rsid w:val="00A14B13"/>
    <w:rsid w:val="00A2361E"/>
    <w:rsid w:val="00A34414"/>
    <w:rsid w:val="00A37BCE"/>
    <w:rsid w:val="00A42391"/>
    <w:rsid w:val="00A43BB2"/>
    <w:rsid w:val="00A43E1D"/>
    <w:rsid w:val="00A443C1"/>
    <w:rsid w:val="00A4517D"/>
    <w:rsid w:val="00A46CB1"/>
    <w:rsid w:val="00A47184"/>
    <w:rsid w:val="00A47BF7"/>
    <w:rsid w:val="00A52D97"/>
    <w:rsid w:val="00A61691"/>
    <w:rsid w:val="00A62F2D"/>
    <w:rsid w:val="00A64BA9"/>
    <w:rsid w:val="00A65401"/>
    <w:rsid w:val="00A664CD"/>
    <w:rsid w:val="00A6769E"/>
    <w:rsid w:val="00A67A84"/>
    <w:rsid w:val="00A73082"/>
    <w:rsid w:val="00A730AD"/>
    <w:rsid w:val="00A737F5"/>
    <w:rsid w:val="00A759B4"/>
    <w:rsid w:val="00A75B24"/>
    <w:rsid w:val="00A76076"/>
    <w:rsid w:val="00A770B2"/>
    <w:rsid w:val="00A80C97"/>
    <w:rsid w:val="00A858D8"/>
    <w:rsid w:val="00A85A10"/>
    <w:rsid w:val="00A953F1"/>
    <w:rsid w:val="00A95578"/>
    <w:rsid w:val="00AA1E05"/>
    <w:rsid w:val="00AA1EF0"/>
    <w:rsid w:val="00AA497F"/>
    <w:rsid w:val="00AA511A"/>
    <w:rsid w:val="00AA5324"/>
    <w:rsid w:val="00AA657B"/>
    <w:rsid w:val="00AB0D2B"/>
    <w:rsid w:val="00AB161D"/>
    <w:rsid w:val="00AB2107"/>
    <w:rsid w:val="00AB3008"/>
    <w:rsid w:val="00AB3637"/>
    <w:rsid w:val="00AB4A55"/>
    <w:rsid w:val="00AC3004"/>
    <w:rsid w:val="00AC484C"/>
    <w:rsid w:val="00AC4B02"/>
    <w:rsid w:val="00AC4DF0"/>
    <w:rsid w:val="00AC56E8"/>
    <w:rsid w:val="00AC6D06"/>
    <w:rsid w:val="00AC7EA8"/>
    <w:rsid w:val="00AD10DE"/>
    <w:rsid w:val="00AD2BC2"/>
    <w:rsid w:val="00AD2F85"/>
    <w:rsid w:val="00AD4E72"/>
    <w:rsid w:val="00AD5EAB"/>
    <w:rsid w:val="00AE2CF1"/>
    <w:rsid w:val="00AE37F3"/>
    <w:rsid w:val="00AE4515"/>
    <w:rsid w:val="00AE7543"/>
    <w:rsid w:val="00AF1607"/>
    <w:rsid w:val="00AF46B7"/>
    <w:rsid w:val="00AF62FA"/>
    <w:rsid w:val="00AF6A2F"/>
    <w:rsid w:val="00AF7EC0"/>
    <w:rsid w:val="00B032D5"/>
    <w:rsid w:val="00B0772D"/>
    <w:rsid w:val="00B10C6A"/>
    <w:rsid w:val="00B10D53"/>
    <w:rsid w:val="00B12801"/>
    <w:rsid w:val="00B1584A"/>
    <w:rsid w:val="00B2252C"/>
    <w:rsid w:val="00B24FF6"/>
    <w:rsid w:val="00B25FE7"/>
    <w:rsid w:val="00B27753"/>
    <w:rsid w:val="00B27840"/>
    <w:rsid w:val="00B32721"/>
    <w:rsid w:val="00B37152"/>
    <w:rsid w:val="00B460B5"/>
    <w:rsid w:val="00B469D8"/>
    <w:rsid w:val="00B47C15"/>
    <w:rsid w:val="00B50A7D"/>
    <w:rsid w:val="00B53F06"/>
    <w:rsid w:val="00B5746D"/>
    <w:rsid w:val="00B61FDD"/>
    <w:rsid w:val="00B65123"/>
    <w:rsid w:val="00B66A10"/>
    <w:rsid w:val="00B66E84"/>
    <w:rsid w:val="00B67AC4"/>
    <w:rsid w:val="00B7098E"/>
    <w:rsid w:val="00B7473E"/>
    <w:rsid w:val="00B76659"/>
    <w:rsid w:val="00B7741C"/>
    <w:rsid w:val="00B8089A"/>
    <w:rsid w:val="00B81AB6"/>
    <w:rsid w:val="00B822ED"/>
    <w:rsid w:val="00B85231"/>
    <w:rsid w:val="00B8663A"/>
    <w:rsid w:val="00B86EE4"/>
    <w:rsid w:val="00B873A4"/>
    <w:rsid w:val="00B90AA9"/>
    <w:rsid w:val="00B90F8A"/>
    <w:rsid w:val="00B91170"/>
    <w:rsid w:val="00B9154C"/>
    <w:rsid w:val="00B93971"/>
    <w:rsid w:val="00B955F2"/>
    <w:rsid w:val="00B95822"/>
    <w:rsid w:val="00B964EE"/>
    <w:rsid w:val="00BA0B1C"/>
    <w:rsid w:val="00BA261A"/>
    <w:rsid w:val="00BA265F"/>
    <w:rsid w:val="00BA316E"/>
    <w:rsid w:val="00BA5042"/>
    <w:rsid w:val="00BA61F0"/>
    <w:rsid w:val="00BA72B6"/>
    <w:rsid w:val="00BB4891"/>
    <w:rsid w:val="00BB4957"/>
    <w:rsid w:val="00BB4D3E"/>
    <w:rsid w:val="00BC2886"/>
    <w:rsid w:val="00BC377A"/>
    <w:rsid w:val="00BC4A28"/>
    <w:rsid w:val="00BC7006"/>
    <w:rsid w:val="00BD0970"/>
    <w:rsid w:val="00BD20A5"/>
    <w:rsid w:val="00BD28A8"/>
    <w:rsid w:val="00BE1E10"/>
    <w:rsid w:val="00BE5A61"/>
    <w:rsid w:val="00BE5FA2"/>
    <w:rsid w:val="00BE6962"/>
    <w:rsid w:val="00BE7035"/>
    <w:rsid w:val="00BE70D7"/>
    <w:rsid w:val="00BF0044"/>
    <w:rsid w:val="00BF0DE0"/>
    <w:rsid w:val="00BF11E4"/>
    <w:rsid w:val="00BF1E23"/>
    <w:rsid w:val="00BF34A1"/>
    <w:rsid w:val="00BF378F"/>
    <w:rsid w:val="00BF37BD"/>
    <w:rsid w:val="00C01AC0"/>
    <w:rsid w:val="00C035B6"/>
    <w:rsid w:val="00C04615"/>
    <w:rsid w:val="00C060CD"/>
    <w:rsid w:val="00C119A7"/>
    <w:rsid w:val="00C11B92"/>
    <w:rsid w:val="00C136D1"/>
    <w:rsid w:val="00C13EFB"/>
    <w:rsid w:val="00C1493B"/>
    <w:rsid w:val="00C14D79"/>
    <w:rsid w:val="00C16794"/>
    <w:rsid w:val="00C2576C"/>
    <w:rsid w:val="00C262AF"/>
    <w:rsid w:val="00C2692C"/>
    <w:rsid w:val="00C26A58"/>
    <w:rsid w:val="00C306FA"/>
    <w:rsid w:val="00C31603"/>
    <w:rsid w:val="00C35777"/>
    <w:rsid w:val="00C3658F"/>
    <w:rsid w:val="00C374D5"/>
    <w:rsid w:val="00C37BF3"/>
    <w:rsid w:val="00C418EC"/>
    <w:rsid w:val="00C44158"/>
    <w:rsid w:val="00C442EB"/>
    <w:rsid w:val="00C4623D"/>
    <w:rsid w:val="00C5012C"/>
    <w:rsid w:val="00C5182B"/>
    <w:rsid w:val="00C52166"/>
    <w:rsid w:val="00C541C7"/>
    <w:rsid w:val="00C548C1"/>
    <w:rsid w:val="00C56567"/>
    <w:rsid w:val="00C57129"/>
    <w:rsid w:val="00C57C5B"/>
    <w:rsid w:val="00C60AD5"/>
    <w:rsid w:val="00C620BA"/>
    <w:rsid w:val="00C634AD"/>
    <w:rsid w:val="00C64DEF"/>
    <w:rsid w:val="00C658EB"/>
    <w:rsid w:val="00C7258B"/>
    <w:rsid w:val="00C73238"/>
    <w:rsid w:val="00C73B87"/>
    <w:rsid w:val="00C758FB"/>
    <w:rsid w:val="00C75B91"/>
    <w:rsid w:val="00C7671C"/>
    <w:rsid w:val="00C770C6"/>
    <w:rsid w:val="00C80116"/>
    <w:rsid w:val="00C81946"/>
    <w:rsid w:val="00C82304"/>
    <w:rsid w:val="00C82D7C"/>
    <w:rsid w:val="00C86371"/>
    <w:rsid w:val="00C9038F"/>
    <w:rsid w:val="00C913BF"/>
    <w:rsid w:val="00C96AFB"/>
    <w:rsid w:val="00CA147A"/>
    <w:rsid w:val="00CA15F5"/>
    <w:rsid w:val="00CA587B"/>
    <w:rsid w:val="00CB025D"/>
    <w:rsid w:val="00CB0339"/>
    <w:rsid w:val="00CB2CC9"/>
    <w:rsid w:val="00CB415E"/>
    <w:rsid w:val="00CB460D"/>
    <w:rsid w:val="00CB5165"/>
    <w:rsid w:val="00CB53B3"/>
    <w:rsid w:val="00CB54FA"/>
    <w:rsid w:val="00CB5CF1"/>
    <w:rsid w:val="00CB6A6B"/>
    <w:rsid w:val="00CB6E6D"/>
    <w:rsid w:val="00CC046F"/>
    <w:rsid w:val="00CC1E80"/>
    <w:rsid w:val="00CC3038"/>
    <w:rsid w:val="00CC3FEF"/>
    <w:rsid w:val="00CC5864"/>
    <w:rsid w:val="00CC6101"/>
    <w:rsid w:val="00CC62F3"/>
    <w:rsid w:val="00CC72C3"/>
    <w:rsid w:val="00CD0D0B"/>
    <w:rsid w:val="00CD104A"/>
    <w:rsid w:val="00CD24D6"/>
    <w:rsid w:val="00CD2F8A"/>
    <w:rsid w:val="00CD32B3"/>
    <w:rsid w:val="00CD36B4"/>
    <w:rsid w:val="00CD58C1"/>
    <w:rsid w:val="00CD63DB"/>
    <w:rsid w:val="00CE0FC6"/>
    <w:rsid w:val="00CE1647"/>
    <w:rsid w:val="00CE2CB6"/>
    <w:rsid w:val="00CE2EFE"/>
    <w:rsid w:val="00CF1961"/>
    <w:rsid w:val="00CF1C32"/>
    <w:rsid w:val="00CF2649"/>
    <w:rsid w:val="00CF2766"/>
    <w:rsid w:val="00CF31F5"/>
    <w:rsid w:val="00CF3405"/>
    <w:rsid w:val="00CF4083"/>
    <w:rsid w:val="00CF4572"/>
    <w:rsid w:val="00CF5354"/>
    <w:rsid w:val="00CF5C7F"/>
    <w:rsid w:val="00CF65EB"/>
    <w:rsid w:val="00D003E6"/>
    <w:rsid w:val="00D00FCD"/>
    <w:rsid w:val="00D01013"/>
    <w:rsid w:val="00D03205"/>
    <w:rsid w:val="00D05CC2"/>
    <w:rsid w:val="00D1191A"/>
    <w:rsid w:val="00D129E0"/>
    <w:rsid w:val="00D13F51"/>
    <w:rsid w:val="00D14363"/>
    <w:rsid w:val="00D152E9"/>
    <w:rsid w:val="00D17124"/>
    <w:rsid w:val="00D211B3"/>
    <w:rsid w:val="00D21441"/>
    <w:rsid w:val="00D23360"/>
    <w:rsid w:val="00D305AB"/>
    <w:rsid w:val="00D30855"/>
    <w:rsid w:val="00D330E7"/>
    <w:rsid w:val="00D3411E"/>
    <w:rsid w:val="00D35A32"/>
    <w:rsid w:val="00D37B3A"/>
    <w:rsid w:val="00D37C0E"/>
    <w:rsid w:val="00D40B36"/>
    <w:rsid w:val="00D44853"/>
    <w:rsid w:val="00D46AE2"/>
    <w:rsid w:val="00D473F7"/>
    <w:rsid w:val="00D47E24"/>
    <w:rsid w:val="00D47F1B"/>
    <w:rsid w:val="00D602F2"/>
    <w:rsid w:val="00D60727"/>
    <w:rsid w:val="00D6154A"/>
    <w:rsid w:val="00D61758"/>
    <w:rsid w:val="00D621B3"/>
    <w:rsid w:val="00D63B8A"/>
    <w:rsid w:val="00D63BBC"/>
    <w:rsid w:val="00D63C92"/>
    <w:rsid w:val="00D67951"/>
    <w:rsid w:val="00D67E0B"/>
    <w:rsid w:val="00D70C8D"/>
    <w:rsid w:val="00D72535"/>
    <w:rsid w:val="00D755F9"/>
    <w:rsid w:val="00D758B7"/>
    <w:rsid w:val="00D75E62"/>
    <w:rsid w:val="00D76EDA"/>
    <w:rsid w:val="00D77D09"/>
    <w:rsid w:val="00D807BA"/>
    <w:rsid w:val="00D87EB0"/>
    <w:rsid w:val="00D9100D"/>
    <w:rsid w:val="00D93249"/>
    <w:rsid w:val="00D95435"/>
    <w:rsid w:val="00D97AF7"/>
    <w:rsid w:val="00DA0FD6"/>
    <w:rsid w:val="00DB7C1C"/>
    <w:rsid w:val="00DC04FD"/>
    <w:rsid w:val="00DC118A"/>
    <w:rsid w:val="00DC3CEE"/>
    <w:rsid w:val="00DC70CE"/>
    <w:rsid w:val="00DD1F1C"/>
    <w:rsid w:val="00DD2185"/>
    <w:rsid w:val="00DD2B50"/>
    <w:rsid w:val="00DD2B68"/>
    <w:rsid w:val="00DD2DBF"/>
    <w:rsid w:val="00DD3597"/>
    <w:rsid w:val="00DD3A19"/>
    <w:rsid w:val="00DD78AC"/>
    <w:rsid w:val="00DE190D"/>
    <w:rsid w:val="00DE51D6"/>
    <w:rsid w:val="00DE5459"/>
    <w:rsid w:val="00DF1477"/>
    <w:rsid w:val="00DF21B2"/>
    <w:rsid w:val="00DF44B3"/>
    <w:rsid w:val="00DF500A"/>
    <w:rsid w:val="00DF5122"/>
    <w:rsid w:val="00DF52C9"/>
    <w:rsid w:val="00DF7282"/>
    <w:rsid w:val="00DF7D93"/>
    <w:rsid w:val="00E0037B"/>
    <w:rsid w:val="00E05D00"/>
    <w:rsid w:val="00E067EC"/>
    <w:rsid w:val="00E11694"/>
    <w:rsid w:val="00E156BC"/>
    <w:rsid w:val="00E15C8C"/>
    <w:rsid w:val="00E167BC"/>
    <w:rsid w:val="00E169B0"/>
    <w:rsid w:val="00E208FC"/>
    <w:rsid w:val="00E2292D"/>
    <w:rsid w:val="00E3348D"/>
    <w:rsid w:val="00E33A7A"/>
    <w:rsid w:val="00E402A9"/>
    <w:rsid w:val="00E42AA4"/>
    <w:rsid w:val="00E439E7"/>
    <w:rsid w:val="00E53C19"/>
    <w:rsid w:val="00E53DE7"/>
    <w:rsid w:val="00E56FEB"/>
    <w:rsid w:val="00E574AA"/>
    <w:rsid w:val="00E62841"/>
    <w:rsid w:val="00E635A7"/>
    <w:rsid w:val="00E6688F"/>
    <w:rsid w:val="00E72489"/>
    <w:rsid w:val="00E728D2"/>
    <w:rsid w:val="00E73D26"/>
    <w:rsid w:val="00E748DA"/>
    <w:rsid w:val="00E74B25"/>
    <w:rsid w:val="00E74C12"/>
    <w:rsid w:val="00E75240"/>
    <w:rsid w:val="00E769E0"/>
    <w:rsid w:val="00E81C61"/>
    <w:rsid w:val="00E8242C"/>
    <w:rsid w:val="00E8254C"/>
    <w:rsid w:val="00E826B6"/>
    <w:rsid w:val="00E82B42"/>
    <w:rsid w:val="00E82DA4"/>
    <w:rsid w:val="00E86DE8"/>
    <w:rsid w:val="00E87466"/>
    <w:rsid w:val="00E902BF"/>
    <w:rsid w:val="00E907EA"/>
    <w:rsid w:val="00E908F1"/>
    <w:rsid w:val="00E9118B"/>
    <w:rsid w:val="00E92B0A"/>
    <w:rsid w:val="00E940DB"/>
    <w:rsid w:val="00E9552E"/>
    <w:rsid w:val="00E96412"/>
    <w:rsid w:val="00E97738"/>
    <w:rsid w:val="00E97BBE"/>
    <w:rsid w:val="00EA00E5"/>
    <w:rsid w:val="00EA1B41"/>
    <w:rsid w:val="00EA3BEA"/>
    <w:rsid w:val="00EA3C44"/>
    <w:rsid w:val="00EA4904"/>
    <w:rsid w:val="00EA50B9"/>
    <w:rsid w:val="00EA7895"/>
    <w:rsid w:val="00EB14F3"/>
    <w:rsid w:val="00EB3ACE"/>
    <w:rsid w:val="00EB3CB5"/>
    <w:rsid w:val="00EB6BD4"/>
    <w:rsid w:val="00EC1432"/>
    <w:rsid w:val="00EC16B3"/>
    <w:rsid w:val="00EC1AFB"/>
    <w:rsid w:val="00EC36CA"/>
    <w:rsid w:val="00EC5DD8"/>
    <w:rsid w:val="00EC61B8"/>
    <w:rsid w:val="00ED062D"/>
    <w:rsid w:val="00ED0C38"/>
    <w:rsid w:val="00ED1B01"/>
    <w:rsid w:val="00ED6149"/>
    <w:rsid w:val="00ED6EA5"/>
    <w:rsid w:val="00EE0439"/>
    <w:rsid w:val="00EE3B56"/>
    <w:rsid w:val="00EE6458"/>
    <w:rsid w:val="00EE68E4"/>
    <w:rsid w:val="00EF23E1"/>
    <w:rsid w:val="00EF67A7"/>
    <w:rsid w:val="00F03FDD"/>
    <w:rsid w:val="00F058E7"/>
    <w:rsid w:val="00F12032"/>
    <w:rsid w:val="00F130AE"/>
    <w:rsid w:val="00F13A05"/>
    <w:rsid w:val="00F14215"/>
    <w:rsid w:val="00F1673D"/>
    <w:rsid w:val="00F21C59"/>
    <w:rsid w:val="00F243F1"/>
    <w:rsid w:val="00F2451D"/>
    <w:rsid w:val="00F31CF7"/>
    <w:rsid w:val="00F3607B"/>
    <w:rsid w:val="00F37516"/>
    <w:rsid w:val="00F37A14"/>
    <w:rsid w:val="00F41571"/>
    <w:rsid w:val="00F41BAE"/>
    <w:rsid w:val="00F4677C"/>
    <w:rsid w:val="00F46A52"/>
    <w:rsid w:val="00F46A7A"/>
    <w:rsid w:val="00F527E1"/>
    <w:rsid w:val="00F532E5"/>
    <w:rsid w:val="00F54DD2"/>
    <w:rsid w:val="00F55B61"/>
    <w:rsid w:val="00F561B6"/>
    <w:rsid w:val="00F5751F"/>
    <w:rsid w:val="00F60A9C"/>
    <w:rsid w:val="00F60D54"/>
    <w:rsid w:val="00F61D22"/>
    <w:rsid w:val="00F628C8"/>
    <w:rsid w:val="00F63C8C"/>
    <w:rsid w:val="00F66AFF"/>
    <w:rsid w:val="00F71C51"/>
    <w:rsid w:val="00F752E5"/>
    <w:rsid w:val="00F754C4"/>
    <w:rsid w:val="00F802BC"/>
    <w:rsid w:val="00F80E6B"/>
    <w:rsid w:val="00F8150F"/>
    <w:rsid w:val="00F81B09"/>
    <w:rsid w:val="00F81D62"/>
    <w:rsid w:val="00F83084"/>
    <w:rsid w:val="00F83D0D"/>
    <w:rsid w:val="00F84F1F"/>
    <w:rsid w:val="00F86AE4"/>
    <w:rsid w:val="00F914DD"/>
    <w:rsid w:val="00F916CB"/>
    <w:rsid w:val="00F9256D"/>
    <w:rsid w:val="00F92EB5"/>
    <w:rsid w:val="00F93B5D"/>
    <w:rsid w:val="00F93EBC"/>
    <w:rsid w:val="00F9482A"/>
    <w:rsid w:val="00F95646"/>
    <w:rsid w:val="00F97CB2"/>
    <w:rsid w:val="00FA177B"/>
    <w:rsid w:val="00FA6E0B"/>
    <w:rsid w:val="00FB1EB7"/>
    <w:rsid w:val="00FB27A4"/>
    <w:rsid w:val="00FB6430"/>
    <w:rsid w:val="00FC1EC5"/>
    <w:rsid w:val="00FC2B5D"/>
    <w:rsid w:val="00FC52FB"/>
    <w:rsid w:val="00FC568D"/>
    <w:rsid w:val="00FC7F5E"/>
    <w:rsid w:val="00FD0813"/>
    <w:rsid w:val="00FD09DF"/>
    <w:rsid w:val="00FD1FE9"/>
    <w:rsid w:val="00FD7D0B"/>
    <w:rsid w:val="00FE2672"/>
    <w:rsid w:val="00FE7771"/>
    <w:rsid w:val="00FF48F3"/>
    <w:rsid w:val="00FF4C5B"/>
    <w:rsid w:val="00FF4E24"/>
    <w:rsid w:val="00FF66E4"/>
    <w:rsid w:val="00FF7F75"/>
    <w:rsid w:val="010A478A"/>
    <w:rsid w:val="016E4D66"/>
    <w:rsid w:val="017A53E0"/>
    <w:rsid w:val="020E3702"/>
    <w:rsid w:val="02157554"/>
    <w:rsid w:val="025C6C43"/>
    <w:rsid w:val="026F572D"/>
    <w:rsid w:val="02854E70"/>
    <w:rsid w:val="02C65267"/>
    <w:rsid w:val="02F70D3E"/>
    <w:rsid w:val="039939FE"/>
    <w:rsid w:val="03AC3CAA"/>
    <w:rsid w:val="03D90605"/>
    <w:rsid w:val="03E6245D"/>
    <w:rsid w:val="04287999"/>
    <w:rsid w:val="046E3282"/>
    <w:rsid w:val="04717F2B"/>
    <w:rsid w:val="04B81C1B"/>
    <w:rsid w:val="053973EC"/>
    <w:rsid w:val="05670D8F"/>
    <w:rsid w:val="0571425F"/>
    <w:rsid w:val="059451B2"/>
    <w:rsid w:val="05F91E7B"/>
    <w:rsid w:val="061472AC"/>
    <w:rsid w:val="06197A31"/>
    <w:rsid w:val="063F5A4B"/>
    <w:rsid w:val="064A4023"/>
    <w:rsid w:val="06A40B47"/>
    <w:rsid w:val="07033C13"/>
    <w:rsid w:val="074C35FF"/>
    <w:rsid w:val="07684137"/>
    <w:rsid w:val="08477CEA"/>
    <w:rsid w:val="08500BB1"/>
    <w:rsid w:val="088A0592"/>
    <w:rsid w:val="08F854CE"/>
    <w:rsid w:val="08FA7C2A"/>
    <w:rsid w:val="09110EF9"/>
    <w:rsid w:val="09734FB4"/>
    <w:rsid w:val="097761E0"/>
    <w:rsid w:val="09C11F2C"/>
    <w:rsid w:val="0A03126D"/>
    <w:rsid w:val="0A1D1456"/>
    <w:rsid w:val="0A8F2F04"/>
    <w:rsid w:val="0A9B3F90"/>
    <w:rsid w:val="0AE90281"/>
    <w:rsid w:val="0B0659EF"/>
    <w:rsid w:val="0B576C09"/>
    <w:rsid w:val="0B815AD3"/>
    <w:rsid w:val="0BA64BBB"/>
    <w:rsid w:val="0BB27EF8"/>
    <w:rsid w:val="0BC6523F"/>
    <w:rsid w:val="0BE34556"/>
    <w:rsid w:val="0BFB189F"/>
    <w:rsid w:val="0C292279"/>
    <w:rsid w:val="0C655404"/>
    <w:rsid w:val="0C6B182F"/>
    <w:rsid w:val="0C806AF5"/>
    <w:rsid w:val="0CF208CB"/>
    <w:rsid w:val="0CFF53BF"/>
    <w:rsid w:val="0D327407"/>
    <w:rsid w:val="0D4F5FDD"/>
    <w:rsid w:val="0D4F6A20"/>
    <w:rsid w:val="0D542EEE"/>
    <w:rsid w:val="0E807E3A"/>
    <w:rsid w:val="0EC2068D"/>
    <w:rsid w:val="0EF3685E"/>
    <w:rsid w:val="0F376CE6"/>
    <w:rsid w:val="0F4C0664"/>
    <w:rsid w:val="0F96443F"/>
    <w:rsid w:val="0FE52C42"/>
    <w:rsid w:val="0FF02D9D"/>
    <w:rsid w:val="102A30DA"/>
    <w:rsid w:val="103C0993"/>
    <w:rsid w:val="104F70F7"/>
    <w:rsid w:val="108813DB"/>
    <w:rsid w:val="11347067"/>
    <w:rsid w:val="1136738F"/>
    <w:rsid w:val="11BE33D3"/>
    <w:rsid w:val="11E04CE1"/>
    <w:rsid w:val="11EB27E6"/>
    <w:rsid w:val="11F91AB1"/>
    <w:rsid w:val="12354852"/>
    <w:rsid w:val="124E2AD9"/>
    <w:rsid w:val="12692EF2"/>
    <w:rsid w:val="132F62D2"/>
    <w:rsid w:val="13912AE9"/>
    <w:rsid w:val="13981A7A"/>
    <w:rsid w:val="13CA1653"/>
    <w:rsid w:val="14186C0A"/>
    <w:rsid w:val="1433594E"/>
    <w:rsid w:val="14496F20"/>
    <w:rsid w:val="14536505"/>
    <w:rsid w:val="14927FCC"/>
    <w:rsid w:val="14BA0434"/>
    <w:rsid w:val="14C063AE"/>
    <w:rsid w:val="14EB7FD7"/>
    <w:rsid w:val="153D68A0"/>
    <w:rsid w:val="15701F06"/>
    <w:rsid w:val="15E34199"/>
    <w:rsid w:val="16235735"/>
    <w:rsid w:val="162503E3"/>
    <w:rsid w:val="1674297A"/>
    <w:rsid w:val="16C61199"/>
    <w:rsid w:val="16EA144D"/>
    <w:rsid w:val="17141161"/>
    <w:rsid w:val="173C0FBE"/>
    <w:rsid w:val="17582776"/>
    <w:rsid w:val="175D1C2A"/>
    <w:rsid w:val="1760579D"/>
    <w:rsid w:val="17792229"/>
    <w:rsid w:val="18510A99"/>
    <w:rsid w:val="18511E06"/>
    <w:rsid w:val="18732F0A"/>
    <w:rsid w:val="191044B0"/>
    <w:rsid w:val="19F83A7F"/>
    <w:rsid w:val="1A2A3350"/>
    <w:rsid w:val="1B506803"/>
    <w:rsid w:val="1B7E6534"/>
    <w:rsid w:val="1B7F1B9B"/>
    <w:rsid w:val="1C66287A"/>
    <w:rsid w:val="1C6F14EE"/>
    <w:rsid w:val="1C8D1BD0"/>
    <w:rsid w:val="1CAA66FE"/>
    <w:rsid w:val="1CD35460"/>
    <w:rsid w:val="1D167BBB"/>
    <w:rsid w:val="1D5F29CE"/>
    <w:rsid w:val="1D616247"/>
    <w:rsid w:val="1DAF620F"/>
    <w:rsid w:val="1DCE1FDD"/>
    <w:rsid w:val="1DD769C3"/>
    <w:rsid w:val="1E5507DD"/>
    <w:rsid w:val="1E604D83"/>
    <w:rsid w:val="1ECE5A25"/>
    <w:rsid w:val="1EE3488D"/>
    <w:rsid w:val="1EF13D13"/>
    <w:rsid w:val="1EFA43DE"/>
    <w:rsid w:val="1F1347E7"/>
    <w:rsid w:val="1F343F5B"/>
    <w:rsid w:val="1F884C89"/>
    <w:rsid w:val="1FB01D1B"/>
    <w:rsid w:val="1FF86989"/>
    <w:rsid w:val="203C623A"/>
    <w:rsid w:val="20484321"/>
    <w:rsid w:val="206C3758"/>
    <w:rsid w:val="206D1F51"/>
    <w:rsid w:val="20885132"/>
    <w:rsid w:val="20D17AE7"/>
    <w:rsid w:val="20DB1848"/>
    <w:rsid w:val="20FD356C"/>
    <w:rsid w:val="21906CA5"/>
    <w:rsid w:val="22313E7A"/>
    <w:rsid w:val="2255089D"/>
    <w:rsid w:val="22933A69"/>
    <w:rsid w:val="23A86C31"/>
    <w:rsid w:val="24151E43"/>
    <w:rsid w:val="243D2C12"/>
    <w:rsid w:val="24486F64"/>
    <w:rsid w:val="247F00B7"/>
    <w:rsid w:val="24A7710A"/>
    <w:rsid w:val="24B710C0"/>
    <w:rsid w:val="24DC0D11"/>
    <w:rsid w:val="25A4573E"/>
    <w:rsid w:val="25AF4FBD"/>
    <w:rsid w:val="25DB549C"/>
    <w:rsid w:val="264B2BEB"/>
    <w:rsid w:val="26773DC1"/>
    <w:rsid w:val="26A12BEB"/>
    <w:rsid w:val="26A91002"/>
    <w:rsid w:val="27421CD9"/>
    <w:rsid w:val="27890B3D"/>
    <w:rsid w:val="27E806D5"/>
    <w:rsid w:val="27FA7058"/>
    <w:rsid w:val="285603C7"/>
    <w:rsid w:val="285D64A1"/>
    <w:rsid w:val="286D0FD7"/>
    <w:rsid w:val="28832FA1"/>
    <w:rsid w:val="29081F95"/>
    <w:rsid w:val="290B2ADF"/>
    <w:rsid w:val="29AE5219"/>
    <w:rsid w:val="29BD1AEA"/>
    <w:rsid w:val="29C73B59"/>
    <w:rsid w:val="29DF1ACE"/>
    <w:rsid w:val="2A2C4D44"/>
    <w:rsid w:val="2A9C48D8"/>
    <w:rsid w:val="2B4104F9"/>
    <w:rsid w:val="2B53368F"/>
    <w:rsid w:val="2B9753ED"/>
    <w:rsid w:val="2BAC2596"/>
    <w:rsid w:val="2BB821E9"/>
    <w:rsid w:val="2BBC3C8E"/>
    <w:rsid w:val="2BC70FD3"/>
    <w:rsid w:val="2BEC2EAF"/>
    <w:rsid w:val="2BF07ECA"/>
    <w:rsid w:val="2BF6650A"/>
    <w:rsid w:val="2C014F5B"/>
    <w:rsid w:val="2C132208"/>
    <w:rsid w:val="2C3B0F6B"/>
    <w:rsid w:val="2C4F28CA"/>
    <w:rsid w:val="2C7336BF"/>
    <w:rsid w:val="2C844B41"/>
    <w:rsid w:val="2CC23042"/>
    <w:rsid w:val="2D143A21"/>
    <w:rsid w:val="2D1468A1"/>
    <w:rsid w:val="2D182EF9"/>
    <w:rsid w:val="2D662499"/>
    <w:rsid w:val="2D6A01DB"/>
    <w:rsid w:val="2DA45B6E"/>
    <w:rsid w:val="2E020BB1"/>
    <w:rsid w:val="2E49565A"/>
    <w:rsid w:val="2F010B3A"/>
    <w:rsid w:val="2F4E3792"/>
    <w:rsid w:val="2FC50F0B"/>
    <w:rsid w:val="3089144C"/>
    <w:rsid w:val="30A1342B"/>
    <w:rsid w:val="30BA70DD"/>
    <w:rsid w:val="30C105DA"/>
    <w:rsid w:val="30FC55EE"/>
    <w:rsid w:val="31B5327F"/>
    <w:rsid w:val="31E840DA"/>
    <w:rsid w:val="32181796"/>
    <w:rsid w:val="334E12BB"/>
    <w:rsid w:val="33522495"/>
    <w:rsid w:val="3383373B"/>
    <w:rsid w:val="33B24B7E"/>
    <w:rsid w:val="342D24A4"/>
    <w:rsid w:val="344C76F7"/>
    <w:rsid w:val="345D5DD5"/>
    <w:rsid w:val="347D0374"/>
    <w:rsid w:val="34E07350"/>
    <w:rsid w:val="35154F59"/>
    <w:rsid w:val="35160837"/>
    <w:rsid w:val="351A6489"/>
    <w:rsid w:val="352E1DC3"/>
    <w:rsid w:val="355701AE"/>
    <w:rsid w:val="36016AA5"/>
    <w:rsid w:val="36097C93"/>
    <w:rsid w:val="36486409"/>
    <w:rsid w:val="36524345"/>
    <w:rsid w:val="36601438"/>
    <w:rsid w:val="36656DF1"/>
    <w:rsid w:val="37B069D3"/>
    <w:rsid w:val="37E12E39"/>
    <w:rsid w:val="37FE02EA"/>
    <w:rsid w:val="385351FE"/>
    <w:rsid w:val="38977B05"/>
    <w:rsid w:val="39012955"/>
    <w:rsid w:val="39335918"/>
    <w:rsid w:val="3954046E"/>
    <w:rsid w:val="395E7338"/>
    <w:rsid w:val="39706B79"/>
    <w:rsid w:val="39B34CEE"/>
    <w:rsid w:val="39BB7FD9"/>
    <w:rsid w:val="39EE5B4E"/>
    <w:rsid w:val="39F540DE"/>
    <w:rsid w:val="39FC665F"/>
    <w:rsid w:val="3A175700"/>
    <w:rsid w:val="3A5657B9"/>
    <w:rsid w:val="3A772DF9"/>
    <w:rsid w:val="3A995C5C"/>
    <w:rsid w:val="3A9C74FA"/>
    <w:rsid w:val="3AC5666D"/>
    <w:rsid w:val="3B3B0FFF"/>
    <w:rsid w:val="3B43325E"/>
    <w:rsid w:val="3C543F4E"/>
    <w:rsid w:val="3C69252A"/>
    <w:rsid w:val="3C8D1A3F"/>
    <w:rsid w:val="3CA85E5B"/>
    <w:rsid w:val="3CD3726E"/>
    <w:rsid w:val="3CE8383B"/>
    <w:rsid w:val="3CFB48A5"/>
    <w:rsid w:val="3D2272DC"/>
    <w:rsid w:val="3E706AA3"/>
    <w:rsid w:val="3E71395F"/>
    <w:rsid w:val="3ED45C36"/>
    <w:rsid w:val="3ED53549"/>
    <w:rsid w:val="3EF0404A"/>
    <w:rsid w:val="3EF12066"/>
    <w:rsid w:val="3F0C6DDD"/>
    <w:rsid w:val="3F760C61"/>
    <w:rsid w:val="3FB50A86"/>
    <w:rsid w:val="40050660"/>
    <w:rsid w:val="402A19FA"/>
    <w:rsid w:val="402C1320"/>
    <w:rsid w:val="4089733C"/>
    <w:rsid w:val="40B44171"/>
    <w:rsid w:val="40C1347D"/>
    <w:rsid w:val="410C3606"/>
    <w:rsid w:val="414F2F03"/>
    <w:rsid w:val="4181226A"/>
    <w:rsid w:val="41AF2209"/>
    <w:rsid w:val="41C67791"/>
    <w:rsid w:val="42503CC1"/>
    <w:rsid w:val="425A7060"/>
    <w:rsid w:val="428B762B"/>
    <w:rsid w:val="42D8613A"/>
    <w:rsid w:val="43075493"/>
    <w:rsid w:val="4334020E"/>
    <w:rsid w:val="437B5FEB"/>
    <w:rsid w:val="439240E9"/>
    <w:rsid w:val="4392593E"/>
    <w:rsid w:val="439F639C"/>
    <w:rsid w:val="43E828F9"/>
    <w:rsid w:val="43FA0A79"/>
    <w:rsid w:val="44123BA8"/>
    <w:rsid w:val="44570344"/>
    <w:rsid w:val="44615A3C"/>
    <w:rsid w:val="44805A7F"/>
    <w:rsid w:val="44AF2097"/>
    <w:rsid w:val="44C407A9"/>
    <w:rsid w:val="44D47136"/>
    <w:rsid w:val="45605EFD"/>
    <w:rsid w:val="458725CA"/>
    <w:rsid w:val="45E03B64"/>
    <w:rsid w:val="464400E4"/>
    <w:rsid w:val="46F52567"/>
    <w:rsid w:val="474675A0"/>
    <w:rsid w:val="47867568"/>
    <w:rsid w:val="478A44F1"/>
    <w:rsid w:val="47AE16A2"/>
    <w:rsid w:val="481D36B8"/>
    <w:rsid w:val="48246C01"/>
    <w:rsid w:val="48656B66"/>
    <w:rsid w:val="4885526C"/>
    <w:rsid w:val="489108BA"/>
    <w:rsid w:val="48935E8C"/>
    <w:rsid w:val="489B5C25"/>
    <w:rsid w:val="49034E0A"/>
    <w:rsid w:val="494A7F42"/>
    <w:rsid w:val="49776E73"/>
    <w:rsid w:val="4ACD78FC"/>
    <w:rsid w:val="4B1355B6"/>
    <w:rsid w:val="4B843A14"/>
    <w:rsid w:val="4BA36FBA"/>
    <w:rsid w:val="4BC74E9D"/>
    <w:rsid w:val="4BCA64F7"/>
    <w:rsid w:val="4BFA6AB7"/>
    <w:rsid w:val="4BFB74CB"/>
    <w:rsid w:val="4C071319"/>
    <w:rsid w:val="4C9C6883"/>
    <w:rsid w:val="4CD13297"/>
    <w:rsid w:val="4D3A3DAD"/>
    <w:rsid w:val="4D41465D"/>
    <w:rsid w:val="4D9152BE"/>
    <w:rsid w:val="4DD86643"/>
    <w:rsid w:val="4DDA5CC7"/>
    <w:rsid w:val="4DFB4A57"/>
    <w:rsid w:val="4DFB5BAA"/>
    <w:rsid w:val="4E374CFD"/>
    <w:rsid w:val="4E432212"/>
    <w:rsid w:val="4E48156B"/>
    <w:rsid w:val="4EC41D8A"/>
    <w:rsid w:val="4FC430D2"/>
    <w:rsid w:val="4FD00783"/>
    <w:rsid w:val="50045AFA"/>
    <w:rsid w:val="50753279"/>
    <w:rsid w:val="5151270B"/>
    <w:rsid w:val="51E51773"/>
    <w:rsid w:val="5213603D"/>
    <w:rsid w:val="52293911"/>
    <w:rsid w:val="523F3135"/>
    <w:rsid w:val="524601C7"/>
    <w:rsid w:val="525312F3"/>
    <w:rsid w:val="525B5927"/>
    <w:rsid w:val="52D55B64"/>
    <w:rsid w:val="52F3701E"/>
    <w:rsid w:val="53632EA5"/>
    <w:rsid w:val="53A0758D"/>
    <w:rsid w:val="53B009F1"/>
    <w:rsid w:val="53C668BD"/>
    <w:rsid w:val="542F51C3"/>
    <w:rsid w:val="548C4FDD"/>
    <w:rsid w:val="54ED7DF6"/>
    <w:rsid w:val="55256578"/>
    <w:rsid w:val="5563538C"/>
    <w:rsid w:val="55A67C83"/>
    <w:rsid w:val="56B320BA"/>
    <w:rsid w:val="56C360E3"/>
    <w:rsid w:val="56EE434B"/>
    <w:rsid w:val="56F66FA5"/>
    <w:rsid w:val="578C565B"/>
    <w:rsid w:val="57911D3D"/>
    <w:rsid w:val="5796393B"/>
    <w:rsid w:val="57CC2887"/>
    <w:rsid w:val="57D367F9"/>
    <w:rsid w:val="57D85BBE"/>
    <w:rsid w:val="57EE11F2"/>
    <w:rsid w:val="5831319A"/>
    <w:rsid w:val="58792303"/>
    <w:rsid w:val="58A837E2"/>
    <w:rsid w:val="58B84046"/>
    <w:rsid w:val="58F24A5D"/>
    <w:rsid w:val="59AB4E85"/>
    <w:rsid w:val="59C215C5"/>
    <w:rsid w:val="59C21E6E"/>
    <w:rsid w:val="59CF1242"/>
    <w:rsid w:val="59F73AE1"/>
    <w:rsid w:val="5A100BC0"/>
    <w:rsid w:val="5A3A490E"/>
    <w:rsid w:val="5A536F15"/>
    <w:rsid w:val="5AC05A36"/>
    <w:rsid w:val="5B036E3B"/>
    <w:rsid w:val="5B082265"/>
    <w:rsid w:val="5B9405AF"/>
    <w:rsid w:val="5B992EC5"/>
    <w:rsid w:val="5BB44AEE"/>
    <w:rsid w:val="5BC20DA2"/>
    <w:rsid w:val="5BF61311"/>
    <w:rsid w:val="5BF8112E"/>
    <w:rsid w:val="5BFD534F"/>
    <w:rsid w:val="5CD179ED"/>
    <w:rsid w:val="5CDA11F1"/>
    <w:rsid w:val="5D042F88"/>
    <w:rsid w:val="5D1458EA"/>
    <w:rsid w:val="5DA3254C"/>
    <w:rsid w:val="5E077988"/>
    <w:rsid w:val="5E984023"/>
    <w:rsid w:val="5ECB72F9"/>
    <w:rsid w:val="5ECD6163"/>
    <w:rsid w:val="5ECE104C"/>
    <w:rsid w:val="5EF05EE3"/>
    <w:rsid w:val="5EF8599A"/>
    <w:rsid w:val="5EFF1C82"/>
    <w:rsid w:val="5F2F06D2"/>
    <w:rsid w:val="5F9529EC"/>
    <w:rsid w:val="604700DE"/>
    <w:rsid w:val="606E58F0"/>
    <w:rsid w:val="60817E93"/>
    <w:rsid w:val="608508AD"/>
    <w:rsid w:val="609A22BE"/>
    <w:rsid w:val="60EB1AA6"/>
    <w:rsid w:val="610E30DE"/>
    <w:rsid w:val="611C29AC"/>
    <w:rsid w:val="61875396"/>
    <w:rsid w:val="618E629C"/>
    <w:rsid w:val="619F0D7F"/>
    <w:rsid w:val="61D04799"/>
    <w:rsid w:val="62274742"/>
    <w:rsid w:val="62420E66"/>
    <w:rsid w:val="62D504D3"/>
    <w:rsid w:val="631A26ED"/>
    <w:rsid w:val="632E1376"/>
    <w:rsid w:val="63780255"/>
    <w:rsid w:val="6379335D"/>
    <w:rsid w:val="64101D02"/>
    <w:rsid w:val="647629E6"/>
    <w:rsid w:val="647D6806"/>
    <w:rsid w:val="64B85A8B"/>
    <w:rsid w:val="64F06D56"/>
    <w:rsid w:val="64F8164D"/>
    <w:rsid w:val="65712549"/>
    <w:rsid w:val="65AD1598"/>
    <w:rsid w:val="66632476"/>
    <w:rsid w:val="66772BB8"/>
    <w:rsid w:val="66D90FDC"/>
    <w:rsid w:val="671E782B"/>
    <w:rsid w:val="67526141"/>
    <w:rsid w:val="678A0557"/>
    <w:rsid w:val="67977A3A"/>
    <w:rsid w:val="679A2E06"/>
    <w:rsid w:val="6844038C"/>
    <w:rsid w:val="6868535A"/>
    <w:rsid w:val="68904DD2"/>
    <w:rsid w:val="68953657"/>
    <w:rsid w:val="68E36906"/>
    <w:rsid w:val="698A5954"/>
    <w:rsid w:val="699D4E1A"/>
    <w:rsid w:val="69AE1981"/>
    <w:rsid w:val="69AE6D7B"/>
    <w:rsid w:val="69D40159"/>
    <w:rsid w:val="6AC15FAB"/>
    <w:rsid w:val="6ACF5489"/>
    <w:rsid w:val="6B0A032C"/>
    <w:rsid w:val="6B126D8C"/>
    <w:rsid w:val="6C2161F6"/>
    <w:rsid w:val="6CDC6F8F"/>
    <w:rsid w:val="6CE671B5"/>
    <w:rsid w:val="6D3253F8"/>
    <w:rsid w:val="6D373BD7"/>
    <w:rsid w:val="6D5545BC"/>
    <w:rsid w:val="6D876C38"/>
    <w:rsid w:val="6DA857AF"/>
    <w:rsid w:val="6DC70686"/>
    <w:rsid w:val="6DD41726"/>
    <w:rsid w:val="6DE34095"/>
    <w:rsid w:val="6E4E664F"/>
    <w:rsid w:val="6EBC36EB"/>
    <w:rsid w:val="6F290BD4"/>
    <w:rsid w:val="6F4F4AAA"/>
    <w:rsid w:val="6F770787"/>
    <w:rsid w:val="6F8312D2"/>
    <w:rsid w:val="6F8561D3"/>
    <w:rsid w:val="6F8B1BD8"/>
    <w:rsid w:val="6F8E0B0E"/>
    <w:rsid w:val="70097010"/>
    <w:rsid w:val="7016507D"/>
    <w:rsid w:val="707766BE"/>
    <w:rsid w:val="70B21C92"/>
    <w:rsid w:val="70D96DA8"/>
    <w:rsid w:val="70F20197"/>
    <w:rsid w:val="71B164CF"/>
    <w:rsid w:val="71CB475F"/>
    <w:rsid w:val="71E77636"/>
    <w:rsid w:val="72153C85"/>
    <w:rsid w:val="72247FF5"/>
    <w:rsid w:val="726E11A1"/>
    <w:rsid w:val="72DD3283"/>
    <w:rsid w:val="73376E6E"/>
    <w:rsid w:val="735D0D8C"/>
    <w:rsid w:val="73620AC3"/>
    <w:rsid w:val="736A78BD"/>
    <w:rsid w:val="73D634A1"/>
    <w:rsid w:val="740A4BB4"/>
    <w:rsid w:val="7435737E"/>
    <w:rsid w:val="74367123"/>
    <w:rsid w:val="75413F9C"/>
    <w:rsid w:val="75436DD3"/>
    <w:rsid w:val="75C85645"/>
    <w:rsid w:val="75D37C5C"/>
    <w:rsid w:val="75DE7B90"/>
    <w:rsid w:val="75E95222"/>
    <w:rsid w:val="75F16C54"/>
    <w:rsid w:val="76345A1E"/>
    <w:rsid w:val="76475651"/>
    <w:rsid w:val="764A78A0"/>
    <w:rsid w:val="766C3F7B"/>
    <w:rsid w:val="769D0ECC"/>
    <w:rsid w:val="76E2387A"/>
    <w:rsid w:val="772D6EF3"/>
    <w:rsid w:val="78091A67"/>
    <w:rsid w:val="78727E6D"/>
    <w:rsid w:val="789C705F"/>
    <w:rsid w:val="78A706E4"/>
    <w:rsid w:val="78D81E35"/>
    <w:rsid w:val="79142376"/>
    <w:rsid w:val="793B2B20"/>
    <w:rsid w:val="793F48A9"/>
    <w:rsid w:val="79595922"/>
    <w:rsid w:val="795D3E92"/>
    <w:rsid w:val="79BE0C60"/>
    <w:rsid w:val="7A365607"/>
    <w:rsid w:val="7A4B1DC7"/>
    <w:rsid w:val="7A6B09FD"/>
    <w:rsid w:val="7A8B4E52"/>
    <w:rsid w:val="7A9E345E"/>
    <w:rsid w:val="7AA8546C"/>
    <w:rsid w:val="7AE25EE5"/>
    <w:rsid w:val="7AEA3497"/>
    <w:rsid w:val="7B0C40B8"/>
    <w:rsid w:val="7B233BD9"/>
    <w:rsid w:val="7BB10350"/>
    <w:rsid w:val="7C1032C9"/>
    <w:rsid w:val="7C1A4147"/>
    <w:rsid w:val="7C1B2711"/>
    <w:rsid w:val="7C70148B"/>
    <w:rsid w:val="7C89768D"/>
    <w:rsid w:val="7C9732CD"/>
    <w:rsid w:val="7CB04D3B"/>
    <w:rsid w:val="7CB513DD"/>
    <w:rsid w:val="7CD158CD"/>
    <w:rsid w:val="7CD32459"/>
    <w:rsid w:val="7CDB7433"/>
    <w:rsid w:val="7D0E5A5A"/>
    <w:rsid w:val="7D250A0A"/>
    <w:rsid w:val="7D256900"/>
    <w:rsid w:val="7D3829AE"/>
    <w:rsid w:val="7D7A43AE"/>
    <w:rsid w:val="7DA94975"/>
    <w:rsid w:val="7DDA520A"/>
    <w:rsid w:val="7DE7001A"/>
    <w:rsid w:val="7DEF4BAB"/>
    <w:rsid w:val="7E091DB5"/>
    <w:rsid w:val="7E10480C"/>
    <w:rsid w:val="7E3643BE"/>
    <w:rsid w:val="7E664DEE"/>
    <w:rsid w:val="7EBB39C0"/>
    <w:rsid w:val="7EE12CFA"/>
    <w:rsid w:val="7F5314CC"/>
    <w:rsid w:val="7F623E3B"/>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80" w:firstLineChars="200"/>
      <w:jc w:val="both"/>
    </w:pPr>
    <w:rPr>
      <w:rFonts w:ascii="Times New Roman" w:hAnsi="Times New Roman" w:eastAsia="宋体" w:cs="Times New Roman"/>
      <w:sz w:val="24"/>
      <w:szCs w:val="24"/>
      <w:lang w:val="en-US" w:eastAsia="zh-CN" w:bidi="ar-SA"/>
    </w:rPr>
  </w:style>
  <w:style w:type="paragraph" w:styleId="4">
    <w:name w:val="heading 1"/>
    <w:basedOn w:val="1"/>
    <w:next w:val="1"/>
    <w:qFormat/>
    <w:uiPriority w:val="0"/>
    <w:pPr>
      <w:spacing w:before="50" w:beforeLines="50" w:after="50" w:afterLines="50"/>
      <w:ind w:firstLine="0" w:firstLineChars="0"/>
      <w:jc w:val="center"/>
      <w:outlineLvl w:val="0"/>
    </w:pPr>
    <w:rPr>
      <w:rFonts w:eastAsia="黑体"/>
      <w:bCs/>
      <w:sz w:val="32"/>
      <w:szCs w:val="32"/>
    </w:rPr>
  </w:style>
  <w:style w:type="paragraph" w:styleId="5">
    <w:name w:val="heading 2"/>
    <w:basedOn w:val="1"/>
    <w:next w:val="1"/>
    <w:link w:val="67"/>
    <w:qFormat/>
    <w:uiPriority w:val="0"/>
    <w:pPr>
      <w:spacing w:before="50" w:beforeLines="50" w:after="50" w:afterLines="50"/>
      <w:ind w:firstLine="0" w:firstLineChars="0"/>
      <w:jc w:val="left"/>
      <w:outlineLvl w:val="1"/>
    </w:pPr>
    <w:rPr>
      <w:rFonts w:ascii="黑体" w:hAnsi="黑体" w:eastAsia="黑体"/>
      <w:bCs/>
      <w:sz w:val="30"/>
      <w:szCs w:val="32"/>
    </w:rPr>
  </w:style>
  <w:style w:type="paragraph" w:styleId="6">
    <w:name w:val="heading 3"/>
    <w:basedOn w:val="1"/>
    <w:next w:val="1"/>
    <w:link w:val="53"/>
    <w:qFormat/>
    <w:uiPriority w:val="0"/>
    <w:pPr>
      <w:spacing w:beforeLines="25" w:afterLines="25"/>
      <w:ind w:firstLine="0" w:firstLineChars="0"/>
      <w:jc w:val="left"/>
      <w:outlineLvl w:val="2"/>
    </w:pPr>
    <w:rPr>
      <w:rFonts w:ascii="黑体" w:eastAsia="黑体"/>
      <w:sz w:val="28"/>
      <w:szCs w:val="28"/>
    </w:rPr>
  </w:style>
  <w:style w:type="paragraph" w:styleId="7">
    <w:name w:val="heading 4"/>
    <w:basedOn w:val="1"/>
    <w:next w:val="1"/>
    <w:link w:val="78"/>
    <w:qFormat/>
    <w:uiPriority w:val="0"/>
    <w:pPr>
      <w:ind w:firstLine="0" w:firstLineChars="0"/>
      <w:jc w:val="left"/>
      <w:outlineLvl w:val="3"/>
    </w:pPr>
    <w:rPr>
      <w:rFonts w:ascii="Times New Roman" w:hAnsi="Times New Roman" w:eastAsia="宋体"/>
      <w:b/>
    </w:rPr>
  </w:style>
  <w:style w:type="paragraph" w:styleId="8">
    <w:name w:val="heading 5"/>
    <w:basedOn w:val="1"/>
    <w:next w:val="1"/>
    <w:qFormat/>
    <w:uiPriority w:val="0"/>
    <w:pPr>
      <w:keepNext/>
      <w:keepLines/>
      <w:spacing w:before="263" w:beforeLines="50" w:after="263" w:afterLines="50"/>
      <w:ind w:firstLine="0" w:firstLineChars="0"/>
      <w:jc w:val="center"/>
      <w:outlineLvl w:val="4"/>
    </w:pPr>
    <w:rPr>
      <w:rFonts w:ascii="黑体" w:eastAsia="黑体"/>
      <w:bCs/>
      <w:sz w:val="32"/>
      <w:szCs w:val="28"/>
    </w:rPr>
  </w:style>
  <w:style w:type="paragraph" w:styleId="9">
    <w:name w:val="heading 6"/>
    <w:basedOn w:val="1"/>
    <w:next w:val="1"/>
    <w:autoRedefine/>
    <w:qFormat/>
    <w:uiPriority w:val="0"/>
    <w:pPr>
      <w:keepNext/>
      <w:keepLines/>
      <w:spacing w:before="131" w:beforeLines="25" w:after="131" w:afterLines="25"/>
      <w:ind w:firstLine="0" w:firstLineChars="0"/>
      <w:jc w:val="left"/>
      <w:outlineLvl w:val="5"/>
    </w:pPr>
    <w:rPr>
      <w:rFonts w:ascii="黑体" w:hAnsi="Cambria" w:eastAsia="黑体"/>
      <w:bCs/>
      <w:sz w:val="30"/>
    </w:rPr>
  </w:style>
  <w:style w:type="paragraph" w:styleId="10">
    <w:name w:val="heading 7"/>
    <w:basedOn w:val="1"/>
    <w:next w:val="1"/>
    <w:link w:val="51"/>
    <w:qFormat/>
    <w:uiPriority w:val="0"/>
    <w:pPr>
      <w:ind w:firstLine="0" w:firstLineChars="0"/>
      <w:outlineLvl w:val="6"/>
    </w:pPr>
    <w:rPr>
      <w:rFonts w:ascii="黑体" w:eastAsia="黑体"/>
      <w:bCs/>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1"/>
    <w:basedOn w:val="1"/>
    <w:next w:val="3"/>
    <w:qFormat/>
    <w:uiPriority w:val="0"/>
    <w:pPr>
      <w:adjustRightInd w:val="0"/>
      <w:spacing w:beforeLines="150" w:afterLines="100" w:line="360" w:lineRule="auto"/>
      <w:textAlignment w:val="baseline"/>
    </w:pPr>
    <w:rPr>
      <w:rFonts w:ascii="宋体" w:hAnsi="宋体" w:cs="宋体"/>
      <w:sz w:val="24"/>
    </w:rPr>
  </w:style>
  <w:style w:type="paragraph" w:styleId="3">
    <w:name w:val="Body Text Indent 2"/>
    <w:basedOn w:val="1"/>
    <w:qFormat/>
    <w:uiPriority w:val="99"/>
    <w:pPr>
      <w:spacing w:after="120" w:line="480" w:lineRule="auto"/>
      <w:ind w:left="420" w:leftChars="200" w:firstLine="0" w:firstLineChars="0"/>
    </w:pPr>
    <w:rPr>
      <w:sz w:val="21"/>
    </w:rPr>
  </w:style>
  <w:style w:type="paragraph" w:styleId="11">
    <w:name w:val="toc 7"/>
    <w:basedOn w:val="1"/>
    <w:next w:val="1"/>
    <w:autoRedefine/>
    <w:unhideWhenUsed/>
    <w:qFormat/>
    <w:uiPriority w:val="39"/>
    <w:pPr>
      <w:ind w:left="2520" w:leftChars="1200"/>
    </w:pPr>
    <w:rPr>
      <w:rFonts w:ascii="等线" w:hAnsi="等线" w:eastAsia="等线"/>
      <w:kern w:val="2"/>
      <w:sz w:val="21"/>
      <w:szCs w:val="22"/>
    </w:rPr>
  </w:style>
  <w:style w:type="paragraph" w:styleId="12">
    <w:name w:val="Normal Indent"/>
    <w:basedOn w:val="1"/>
    <w:qFormat/>
    <w:uiPriority w:val="99"/>
    <w:pPr>
      <w:spacing w:line="360" w:lineRule="auto"/>
      <w:ind w:firstLine="420" w:firstLineChars="200"/>
    </w:pPr>
    <w:rPr>
      <w:szCs w:val="28"/>
    </w:rPr>
  </w:style>
  <w:style w:type="paragraph" w:styleId="13">
    <w:name w:val="annotation text"/>
    <w:basedOn w:val="1"/>
    <w:qFormat/>
    <w:uiPriority w:val="0"/>
    <w:pPr>
      <w:jc w:val="left"/>
    </w:pPr>
    <w:rPr>
      <w:sz w:val="21"/>
    </w:rPr>
  </w:style>
  <w:style w:type="paragraph" w:styleId="14">
    <w:name w:val="Body Text"/>
    <w:basedOn w:val="1"/>
    <w:next w:val="15"/>
    <w:link w:val="58"/>
    <w:qFormat/>
    <w:uiPriority w:val="0"/>
    <w:pPr>
      <w:spacing w:after="120"/>
    </w:pPr>
    <w:rPr>
      <w:rFonts w:eastAsia="仿宋"/>
      <w:sz w:val="20"/>
    </w:rPr>
  </w:style>
  <w:style w:type="paragraph" w:styleId="15">
    <w:name w:val="Body Text 2"/>
    <w:basedOn w:val="1"/>
    <w:qFormat/>
    <w:uiPriority w:val="0"/>
    <w:pPr>
      <w:spacing w:line="360" w:lineRule="auto"/>
      <w:ind w:firstLine="200" w:firstLineChars="200"/>
    </w:pPr>
    <w:rPr>
      <w:rFonts w:ascii="Times New Roman" w:hAnsi="Times New Roman" w:cs="Times New Roman"/>
      <w:sz w:val="28"/>
      <w:szCs w:val="20"/>
    </w:rPr>
  </w:style>
  <w:style w:type="paragraph" w:styleId="16">
    <w:name w:val="Body Text Indent"/>
    <w:basedOn w:val="1"/>
    <w:link w:val="57"/>
    <w:qFormat/>
    <w:uiPriority w:val="0"/>
    <w:pPr>
      <w:ind w:firstLine="597"/>
    </w:pPr>
    <w:rPr>
      <w:rFonts w:eastAsia="仿宋"/>
      <w:sz w:val="28"/>
      <w:szCs w:val="20"/>
    </w:rPr>
  </w:style>
  <w:style w:type="paragraph" w:styleId="17">
    <w:name w:val="toc 5"/>
    <w:basedOn w:val="1"/>
    <w:next w:val="1"/>
    <w:autoRedefine/>
    <w:unhideWhenUsed/>
    <w:qFormat/>
    <w:uiPriority w:val="39"/>
    <w:pPr>
      <w:ind w:left="1680" w:leftChars="800"/>
    </w:pPr>
    <w:rPr>
      <w:rFonts w:ascii="等线" w:hAnsi="等线" w:eastAsia="等线"/>
      <w:kern w:val="2"/>
      <w:sz w:val="21"/>
      <w:szCs w:val="22"/>
    </w:rPr>
  </w:style>
  <w:style w:type="paragraph" w:styleId="18">
    <w:name w:val="toc 3"/>
    <w:basedOn w:val="1"/>
    <w:next w:val="1"/>
    <w:qFormat/>
    <w:uiPriority w:val="39"/>
    <w:pPr>
      <w:ind w:left="560"/>
      <w:jc w:val="left"/>
    </w:pPr>
    <w:rPr>
      <w:rFonts w:ascii="等线" w:eastAsia="等线"/>
      <w:i/>
      <w:iCs/>
      <w:sz w:val="20"/>
      <w:szCs w:val="20"/>
    </w:rPr>
  </w:style>
  <w:style w:type="paragraph" w:styleId="19">
    <w:name w:val="Plain Text"/>
    <w:basedOn w:val="1"/>
    <w:qFormat/>
    <w:uiPriority w:val="0"/>
    <w:rPr>
      <w:rFonts w:ascii="宋体" w:hAnsi="Courier New"/>
    </w:rPr>
  </w:style>
  <w:style w:type="paragraph" w:styleId="20">
    <w:name w:val="toc 8"/>
    <w:basedOn w:val="1"/>
    <w:next w:val="1"/>
    <w:autoRedefine/>
    <w:unhideWhenUsed/>
    <w:qFormat/>
    <w:uiPriority w:val="39"/>
    <w:pPr>
      <w:ind w:left="2940" w:leftChars="1400"/>
    </w:pPr>
    <w:rPr>
      <w:rFonts w:ascii="等线" w:hAnsi="等线" w:eastAsia="等线"/>
      <w:kern w:val="2"/>
      <w:sz w:val="21"/>
      <w:szCs w:val="22"/>
    </w:rPr>
  </w:style>
  <w:style w:type="paragraph" w:styleId="21">
    <w:name w:val="Date"/>
    <w:basedOn w:val="1"/>
    <w:next w:val="1"/>
    <w:link w:val="66"/>
    <w:autoRedefine/>
    <w:qFormat/>
    <w:uiPriority w:val="0"/>
    <w:pPr>
      <w:ind w:left="100" w:leftChars="2500"/>
    </w:pPr>
  </w:style>
  <w:style w:type="paragraph" w:styleId="22">
    <w:name w:val="Balloon Text"/>
    <w:basedOn w:val="1"/>
    <w:link w:val="55"/>
    <w:autoRedefine/>
    <w:qFormat/>
    <w:uiPriority w:val="0"/>
    <w:rPr>
      <w:sz w:val="18"/>
      <w:szCs w:val="18"/>
    </w:rPr>
  </w:style>
  <w:style w:type="paragraph" w:styleId="23">
    <w:name w:val="footer"/>
    <w:basedOn w:val="1"/>
    <w:link w:val="65"/>
    <w:unhideWhenUsed/>
    <w:qFormat/>
    <w:uiPriority w:val="99"/>
    <w:pPr>
      <w:tabs>
        <w:tab w:val="center" w:pos="4153"/>
        <w:tab w:val="right" w:pos="8306"/>
      </w:tabs>
      <w:snapToGrid w:val="0"/>
      <w:jc w:val="left"/>
    </w:pPr>
    <w:rPr>
      <w:sz w:val="18"/>
      <w:szCs w:val="18"/>
    </w:rPr>
  </w:style>
  <w:style w:type="paragraph" w:styleId="24">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pPr>
      <w:ind w:firstLine="0" w:firstLineChars="0"/>
      <w:jc w:val="left"/>
    </w:pPr>
    <w:rPr>
      <w:rFonts w:ascii="等线" w:hAnsi="等线"/>
      <w:b/>
      <w:bCs/>
      <w:caps/>
      <w:szCs w:val="20"/>
    </w:rPr>
  </w:style>
  <w:style w:type="paragraph" w:styleId="26">
    <w:name w:val="toc 4"/>
    <w:basedOn w:val="1"/>
    <w:next w:val="1"/>
    <w:autoRedefine/>
    <w:unhideWhenUsed/>
    <w:qFormat/>
    <w:uiPriority w:val="39"/>
    <w:pPr>
      <w:ind w:left="1260" w:leftChars="600"/>
    </w:pPr>
    <w:rPr>
      <w:rFonts w:ascii="等线" w:hAnsi="等线" w:eastAsia="等线"/>
      <w:kern w:val="2"/>
      <w:sz w:val="21"/>
      <w:szCs w:val="22"/>
    </w:rPr>
  </w:style>
  <w:style w:type="paragraph" w:styleId="27">
    <w:name w:val="toc 6"/>
    <w:basedOn w:val="1"/>
    <w:next w:val="1"/>
    <w:autoRedefine/>
    <w:unhideWhenUsed/>
    <w:qFormat/>
    <w:uiPriority w:val="39"/>
    <w:pPr>
      <w:ind w:left="2100" w:leftChars="1000"/>
    </w:pPr>
    <w:rPr>
      <w:rFonts w:ascii="等线" w:hAnsi="等线" w:eastAsia="等线"/>
      <w:kern w:val="2"/>
      <w:sz w:val="21"/>
      <w:szCs w:val="22"/>
    </w:rPr>
  </w:style>
  <w:style w:type="paragraph" w:styleId="28">
    <w:name w:val="toc 2"/>
    <w:basedOn w:val="1"/>
    <w:next w:val="1"/>
    <w:autoRedefine/>
    <w:qFormat/>
    <w:uiPriority w:val="39"/>
    <w:pPr>
      <w:ind w:left="280"/>
      <w:jc w:val="left"/>
    </w:pPr>
    <w:rPr>
      <w:rFonts w:ascii="等线" w:eastAsia="等线"/>
      <w:smallCaps/>
      <w:sz w:val="20"/>
      <w:szCs w:val="20"/>
    </w:rPr>
  </w:style>
  <w:style w:type="paragraph" w:styleId="29">
    <w:name w:val="toc 9"/>
    <w:basedOn w:val="1"/>
    <w:next w:val="1"/>
    <w:autoRedefine/>
    <w:unhideWhenUsed/>
    <w:qFormat/>
    <w:uiPriority w:val="39"/>
    <w:pPr>
      <w:ind w:left="3360" w:leftChars="1600"/>
    </w:pPr>
    <w:rPr>
      <w:rFonts w:ascii="等线" w:hAnsi="等线" w:eastAsia="等线"/>
      <w:kern w:val="2"/>
      <w:sz w:val="21"/>
      <w:szCs w:val="22"/>
    </w:rPr>
  </w:style>
  <w:style w:type="paragraph" w:styleId="30">
    <w:name w:val="List Continue 2"/>
    <w:basedOn w:val="1"/>
    <w:qFormat/>
    <w:uiPriority w:val="0"/>
    <w:pPr>
      <w:spacing w:after="120"/>
      <w:ind w:left="400" w:leftChars="400"/>
    </w:pPr>
    <w:rPr>
      <w:rFonts w:ascii="Times New Roman" w:hAnsi="Times New Roman" w:eastAsia="宋体" w:cs="Times New Roman"/>
      <w:sz w:val="28"/>
      <w:szCs w:val="24"/>
    </w:rPr>
  </w:style>
  <w:style w:type="paragraph" w:styleId="31">
    <w:name w:val="Normal (Web)"/>
    <w:basedOn w:val="1"/>
    <w:autoRedefine/>
    <w:qFormat/>
    <w:uiPriority w:val="0"/>
    <w:rPr>
      <w:rFonts w:eastAsia="仿宋"/>
      <w:kern w:val="2"/>
    </w:rPr>
  </w:style>
  <w:style w:type="paragraph" w:styleId="32">
    <w:name w:val="Title"/>
    <w:basedOn w:val="1"/>
    <w:next w:val="1"/>
    <w:link w:val="64"/>
    <w:autoRedefine/>
    <w:qFormat/>
    <w:uiPriority w:val="0"/>
    <w:pPr>
      <w:spacing w:before="240" w:after="60"/>
      <w:jc w:val="center"/>
      <w:outlineLvl w:val="0"/>
    </w:pPr>
    <w:rPr>
      <w:rFonts w:ascii="等线 Light" w:hAnsi="等线 Light"/>
      <w:b/>
      <w:bCs/>
      <w:sz w:val="32"/>
      <w:szCs w:val="32"/>
    </w:rPr>
  </w:style>
  <w:style w:type="table" w:styleId="34">
    <w:name w:val="Table Grid"/>
    <w:basedOn w:val="3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autoRedefine/>
    <w:qFormat/>
    <w:uiPriority w:val="0"/>
  </w:style>
  <w:style w:type="character" w:styleId="38">
    <w:name w:val="Emphasis"/>
    <w:basedOn w:val="35"/>
    <w:qFormat/>
    <w:uiPriority w:val="0"/>
    <w:rPr>
      <w:i/>
    </w:rPr>
  </w:style>
  <w:style w:type="character" w:styleId="39">
    <w:name w:val="Hyperlink"/>
    <w:autoRedefine/>
    <w:qFormat/>
    <w:uiPriority w:val="99"/>
    <w:rPr>
      <w:color w:val="0000FF"/>
      <w:u w:val="single"/>
    </w:rPr>
  </w:style>
  <w:style w:type="character" w:styleId="40">
    <w:name w:val="annotation reference"/>
    <w:autoRedefine/>
    <w:qFormat/>
    <w:uiPriority w:val="0"/>
    <w:rPr>
      <w:sz w:val="21"/>
      <w:szCs w:val="21"/>
    </w:rPr>
  </w:style>
  <w:style w:type="paragraph" w:customStyle="1" w:styleId="41">
    <w:name w:val="2-正文"/>
    <w:basedOn w:val="1"/>
    <w:link w:val="42"/>
    <w:autoRedefine/>
    <w:qFormat/>
    <w:uiPriority w:val="0"/>
    <w:pPr>
      <w:spacing w:line="480" w:lineRule="exact"/>
    </w:pPr>
    <w:rPr>
      <w:rFonts w:ascii="宋体" w:hAnsi="宋体"/>
    </w:rPr>
  </w:style>
  <w:style w:type="character" w:customStyle="1" w:styleId="42">
    <w:name w:val="2-正文 Char"/>
    <w:link w:val="41"/>
    <w:autoRedefine/>
    <w:qFormat/>
    <w:uiPriority w:val="0"/>
    <w:rPr>
      <w:rFonts w:ascii="宋体" w:hAnsi="宋体" w:eastAsia="宋体" w:cs="Times New Roman"/>
      <w:szCs w:val="24"/>
    </w:rPr>
  </w:style>
  <w:style w:type="paragraph" w:customStyle="1" w:styleId="43">
    <w:name w:val="表内容"/>
    <w:basedOn w:val="1"/>
    <w:autoRedefine/>
    <w:qFormat/>
    <w:uiPriority w:val="0"/>
    <w:pPr>
      <w:ind w:firstLine="0" w:firstLineChars="0"/>
      <w:jc w:val="center"/>
    </w:pPr>
    <w:rPr>
      <w:sz w:val="21"/>
      <w:lang w:val="zh-CN"/>
    </w:rPr>
  </w:style>
  <w:style w:type="paragraph" w:customStyle="1" w:styleId="44">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5">
    <w:name w:val="表名"/>
    <w:basedOn w:val="1"/>
    <w:link w:val="77"/>
    <w:autoRedefine/>
    <w:qFormat/>
    <w:uiPriority w:val="0"/>
    <w:pPr>
      <w:overflowPunct w:val="0"/>
      <w:jc w:val="left"/>
      <w:textAlignment w:val="baseline"/>
    </w:pPr>
    <w:rPr>
      <w:rFonts w:ascii="黑体" w:hAnsi="黑体" w:eastAsia="黑体"/>
      <w:szCs w:val="20"/>
    </w:rPr>
  </w:style>
  <w:style w:type="paragraph" w:customStyle="1" w:styleId="46">
    <w:name w:val="正文格式"/>
    <w:basedOn w:val="1"/>
    <w:autoRedefine/>
    <w:qFormat/>
    <w:uiPriority w:val="0"/>
    <w:pPr>
      <w:spacing w:line="560" w:lineRule="exact"/>
    </w:pPr>
    <w:rPr>
      <w:lang w:val="zh-CN"/>
    </w:rPr>
  </w:style>
  <w:style w:type="paragraph" w:customStyle="1" w:styleId="47">
    <w:name w:val="表格文字"/>
    <w:basedOn w:val="1"/>
    <w:link w:val="52"/>
    <w:autoRedefine/>
    <w:qFormat/>
    <w:uiPriority w:val="99"/>
    <w:pPr>
      <w:spacing w:line="400" w:lineRule="exact"/>
      <w:ind w:firstLine="0" w:firstLineChars="0"/>
      <w:jc w:val="center"/>
    </w:pPr>
    <w:rPr>
      <w:rFonts w:ascii="Calibri" w:hAnsi="Calibri"/>
      <w:sz w:val="21"/>
      <w:szCs w:val="22"/>
    </w:rPr>
  </w:style>
  <w:style w:type="paragraph" w:customStyle="1" w:styleId="48">
    <w:name w:val="WPSOffice手动目录 1"/>
    <w:autoRedefine/>
    <w:qFormat/>
    <w:uiPriority w:val="0"/>
    <w:rPr>
      <w:rFonts w:ascii="Times New Roman" w:hAnsi="Times New Roman" w:eastAsia="宋体" w:cs="Times New Roman"/>
      <w:lang w:val="en-US" w:eastAsia="zh-CN" w:bidi="ar-SA"/>
    </w:rPr>
  </w:style>
  <w:style w:type="paragraph" w:customStyle="1" w:styleId="49">
    <w:name w:val="表格（小五）"/>
    <w:basedOn w:val="1"/>
    <w:autoRedefine/>
    <w:qFormat/>
    <w:uiPriority w:val="0"/>
    <w:pPr>
      <w:framePr w:hSpace="180" w:wrap="around" w:vAnchor="text" w:hAnchor="margin" w:y="241"/>
      <w:spacing w:line="440" w:lineRule="exact"/>
      <w:ind w:firstLine="0" w:firstLineChars="0"/>
      <w:jc w:val="center"/>
    </w:pPr>
    <w:rPr>
      <w:color w:val="000000"/>
      <w:sz w:val="21"/>
      <w:szCs w:val="18"/>
    </w:rPr>
  </w:style>
  <w:style w:type="paragraph" w:customStyle="1" w:styleId="50">
    <w:name w:val="图名"/>
    <w:basedOn w:val="1"/>
    <w:link w:val="73"/>
    <w:autoRedefine/>
    <w:qFormat/>
    <w:uiPriority w:val="0"/>
    <w:pPr>
      <w:autoSpaceDE w:val="0"/>
      <w:autoSpaceDN w:val="0"/>
      <w:adjustRightInd w:val="0"/>
      <w:ind w:firstLine="0" w:firstLineChars="0"/>
      <w:jc w:val="center"/>
    </w:pPr>
    <w:rPr>
      <w:rFonts w:ascii="黑体" w:hAnsi="黑体" w:eastAsia="黑体"/>
      <w:color w:val="000000"/>
    </w:rPr>
  </w:style>
  <w:style w:type="character" w:customStyle="1" w:styleId="51">
    <w:name w:val="标题 7 字符"/>
    <w:link w:val="10"/>
    <w:autoRedefine/>
    <w:qFormat/>
    <w:uiPriority w:val="0"/>
    <w:rPr>
      <w:rFonts w:ascii="黑体" w:eastAsia="黑体"/>
      <w:bCs/>
      <w:kern w:val="2"/>
      <w:sz w:val="24"/>
      <w:szCs w:val="24"/>
    </w:rPr>
  </w:style>
  <w:style w:type="character" w:customStyle="1" w:styleId="52">
    <w:name w:val="表格文字 Char"/>
    <w:link w:val="47"/>
    <w:autoRedefine/>
    <w:qFormat/>
    <w:uiPriority w:val="99"/>
    <w:rPr>
      <w:rFonts w:ascii="Calibri" w:hAnsi="Calibri"/>
      <w:kern w:val="2"/>
      <w:sz w:val="21"/>
      <w:szCs w:val="22"/>
    </w:rPr>
  </w:style>
  <w:style w:type="character" w:customStyle="1" w:styleId="53">
    <w:name w:val="标题 3 字符"/>
    <w:link w:val="6"/>
    <w:autoRedefine/>
    <w:qFormat/>
    <w:uiPriority w:val="0"/>
    <w:rPr>
      <w:rFonts w:ascii="黑体" w:eastAsia="黑体" w:cs="宋体"/>
      <w:sz w:val="28"/>
      <w:szCs w:val="28"/>
    </w:rPr>
  </w:style>
  <w:style w:type="character" w:customStyle="1" w:styleId="54">
    <w:name w:val="表格文字 Char Char"/>
    <w:autoRedefine/>
    <w:qFormat/>
    <w:uiPriority w:val="0"/>
    <w:rPr>
      <w:rFonts w:eastAsia="方正仿宋_GB2312"/>
      <w:sz w:val="18"/>
      <w:lang w:eastAsia="en-US"/>
    </w:rPr>
  </w:style>
  <w:style w:type="character" w:customStyle="1" w:styleId="55">
    <w:name w:val="批注框文本 字符"/>
    <w:link w:val="22"/>
    <w:autoRedefine/>
    <w:qFormat/>
    <w:uiPriority w:val="0"/>
    <w:rPr>
      <w:rFonts w:ascii="宋体" w:hAnsi="宋体" w:cs="宋体"/>
      <w:sz w:val="18"/>
      <w:szCs w:val="18"/>
    </w:rPr>
  </w:style>
  <w:style w:type="character" w:customStyle="1" w:styleId="56">
    <w:name w:val="t_tag"/>
    <w:basedOn w:val="35"/>
    <w:autoRedefine/>
    <w:qFormat/>
    <w:uiPriority w:val="0"/>
  </w:style>
  <w:style w:type="character" w:customStyle="1" w:styleId="57">
    <w:name w:val="正文文本缩进 字符"/>
    <w:link w:val="16"/>
    <w:autoRedefine/>
    <w:qFormat/>
    <w:uiPriority w:val="0"/>
    <w:rPr>
      <w:rFonts w:ascii="宋体" w:eastAsia="仿宋"/>
      <w:sz w:val="28"/>
    </w:rPr>
  </w:style>
  <w:style w:type="character" w:customStyle="1" w:styleId="58">
    <w:name w:val="正文文本 字符"/>
    <w:link w:val="14"/>
    <w:autoRedefine/>
    <w:qFormat/>
    <w:uiPriority w:val="0"/>
    <w:rPr>
      <w:rFonts w:eastAsia="仿宋"/>
      <w:szCs w:val="24"/>
    </w:rPr>
  </w:style>
  <w:style w:type="paragraph" w:customStyle="1" w:styleId="59">
    <w:name w:val="A-表格"/>
    <w:basedOn w:val="60"/>
    <w:autoRedefine/>
    <w:qFormat/>
    <w:uiPriority w:val="0"/>
    <w:pPr>
      <w:spacing w:line="280" w:lineRule="exact"/>
    </w:pPr>
    <w:rPr>
      <w:rFonts w:eastAsia="宋体"/>
      <w:sz w:val="21"/>
    </w:rPr>
  </w:style>
  <w:style w:type="paragraph" w:customStyle="1" w:styleId="60">
    <w:name w:val="表格（小五）11"/>
    <w:basedOn w:val="49"/>
    <w:autoRedefine/>
    <w:qFormat/>
    <w:uiPriority w:val="0"/>
    <w:pPr>
      <w:framePr w:hSpace="0" w:wrap="auto" w:vAnchor="margin" w:hAnchor="text" w:yAlign="inline"/>
      <w:spacing w:line="220" w:lineRule="exact"/>
    </w:pPr>
    <w:rPr>
      <w:rFonts w:eastAsia="仿宋"/>
      <w:color w:val="auto"/>
      <w:sz w:val="18"/>
      <w:lang w:val="zh-CN"/>
    </w:rPr>
  </w:style>
  <w:style w:type="paragraph" w:customStyle="1" w:styleId="61">
    <w:name w:val="表格（小五12）"/>
    <w:basedOn w:val="1"/>
    <w:autoRedefine/>
    <w:qFormat/>
    <w:uiPriority w:val="0"/>
    <w:pPr>
      <w:spacing w:line="220" w:lineRule="exact"/>
      <w:jc w:val="center"/>
    </w:pPr>
    <w:rPr>
      <w:rFonts w:eastAsia="仿宋"/>
      <w:sz w:val="18"/>
      <w:szCs w:val="21"/>
    </w:rPr>
  </w:style>
  <w:style w:type="paragraph" w:customStyle="1" w:styleId="62">
    <w:name w:val="报告正文"/>
    <w:basedOn w:val="16"/>
    <w:autoRedefine/>
    <w:qFormat/>
    <w:uiPriority w:val="0"/>
    <w:pPr>
      <w:spacing w:line="540" w:lineRule="exact"/>
      <w:ind w:firstLine="525"/>
    </w:pPr>
    <w:rPr>
      <w:sz w:val="24"/>
    </w:rPr>
  </w:style>
  <w:style w:type="paragraph" w:customStyle="1" w:styleId="63">
    <w:name w:val="表格"/>
    <w:basedOn w:val="1"/>
    <w:autoRedefine/>
    <w:qFormat/>
    <w:uiPriority w:val="0"/>
    <w:pPr>
      <w:spacing w:line="320" w:lineRule="atLeast"/>
      <w:jc w:val="center"/>
    </w:pPr>
    <w:rPr>
      <w:kern w:val="2"/>
      <w:szCs w:val="21"/>
    </w:rPr>
  </w:style>
  <w:style w:type="character" w:customStyle="1" w:styleId="64">
    <w:name w:val="标题 字符"/>
    <w:link w:val="32"/>
    <w:autoRedefine/>
    <w:qFormat/>
    <w:uiPriority w:val="0"/>
    <w:rPr>
      <w:rFonts w:ascii="等线 Light" w:hAnsi="等线 Light" w:cs="Times New Roman"/>
      <w:b/>
      <w:bCs/>
      <w:sz w:val="32"/>
      <w:szCs w:val="32"/>
    </w:rPr>
  </w:style>
  <w:style w:type="character" w:customStyle="1" w:styleId="65">
    <w:name w:val="页脚 字符"/>
    <w:link w:val="23"/>
    <w:autoRedefine/>
    <w:qFormat/>
    <w:uiPriority w:val="99"/>
    <w:rPr>
      <w:rFonts w:ascii="宋体" w:hAnsi="宋体" w:cs="宋体"/>
      <w:sz w:val="18"/>
      <w:szCs w:val="18"/>
    </w:rPr>
  </w:style>
  <w:style w:type="character" w:customStyle="1" w:styleId="66">
    <w:name w:val="日期 字符"/>
    <w:link w:val="21"/>
    <w:autoRedefine/>
    <w:qFormat/>
    <w:uiPriority w:val="0"/>
    <w:rPr>
      <w:rFonts w:ascii="宋体" w:hAnsi="宋体" w:cs="宋体"/>
      <w:sz w:val="24"/>
      <w:szCs w:val="24"/>
    </w:rPr>
  </w:style>
  <w:style w:type="character" w:customStyle="1" w:styleId="67">
    <w:name w:val="标题 2 字符"/>
    <w:basedOn w:val="35"/>
    <w:link w:val="5"/>
    <w:autoRedefine/>
    <w:qFormat/>
    <w:uiPriority w:val="0"/>
    <w:rPr>
      <w:rFonts w:ascii="黑体" w:hAnsi="黑体" w:eastAsia="黑体"/>
      <w:bCs/>
      <w:sz w:val="30"/>
      <w:szCs w:val="32"/>
    </w:rPr>
  </w:style>
  <w:style w:type="character" w:customStyle="1" w:styleId="68">
    <w:name w:val="font21"/>
    <w:basedOn w:val="35"/>
    <w:autoRedefine/>
    <w:qFormat/>
    <w:uiPriority w:val="0"/>
    <w:rPr>
      <w:rFonts w:hint="default" w:ascii="Times New Roman" w:hAnsi="Times New Roman" w:cs="Times New Roman"/>
      <w:color w:val="000000"/>
      <w:sz w:val="20"/>
      <w:szCs w:val="20"/>
      <w:u w:val="none"/>
    </w:rPr>
  </w:style>
  <w:style w:type="character" w:customStyle="1" w:styleId="69">
    <w:name w:val="font41"/>
    <w:basedOn w:val="35"/>
    <w:autoRedefine/>
    <w:qFormat/>
    <w:uiPriority w:val="0"/>
    <w:rPr>
      <w:rFonts w:hint="default" w:ascii="Times New Roman" w:hAnsi="Times New Roman" w:cs="Times New Roman"/>
      <w:color w:val="000000"/>
      <w:sz w:val="18"/>
      <w:szCs w:val="18"/>
      <w:u w:val="none"/>
    </w:rPr>
  </w:style>
  <w:style w:type="character" w:customStyle="1" w:styleId="70">
    <w:name w:val="font71"/>
    <w:basedOn w:val="35"/>
    <w:autoRedefine/>
    <w:qFormat/>
    <w:uiPriority w:val="0"/>
    <w:rPr>
      <w:rFonts w:hint="eastAsia" w:ascii="仿宋" w:hAnsi="仿宋" w:eastAsia="仿宋" w:cs="仿宋"/>
      <w:color w:val="000000"/>
      <w:sz w:val="18"/>
      <w:szCs w:val="18"/>
      <w:u w:val="none"/>
    </w:rPr>
  </w:style>
  <w:style w:type="character" w:customStyle="1" w:styleId="71">
    <w:name w:val="font31"/>
    <w:basedOn w:val="35"/>
    <w:autoRedefine/>
    <w:qFormat/>
    <w:uiPriority w:val="0"/>
    <w:rPr>
      <w:rFonts w:hint="eastAsia" w:ascii="宋体" w:hAnsi="宋体" w:eastAsia="宋体" w:cs="宋体"/>
      <w:color w:val="000000"/>
      <w:sz w:val="22"/>
      <w:szCs w:val="22"/>
      <w:u w:val="none"/>
    </w:rPr>
  </w:style>
  <w:style w:type="character" w:customStyle="1" w:styleId="72">
    <w:name w:val="font91"/>
    <w:basedOn w:val="35"/>
    <w:autoRedefine/>
    <w:qFormat/>
    <w:uiPriority w:val="0"/>
    <w:rPr>
      <w:rFonts w:hint="default" w:ascii="Times New Roman" w:hAnsi="Times New Roman" w:cs="Times New Roman"/>
      <w:color w:val="000000"/>
      <w:sz w:val="21"/>
      <w:szCs w:val="21"/>
      <w:u w:val="none"/>
      <w:vertAlign w:val="superscript"/>
    </w:rPr>
  </w:style>
  <w:style w:type="character" w:customStyle="1" w:styleId="73">
    <w:name w:val="图名 Char"/>
    <w:link w:val="50"/>
    <w:autoRedefine/>
    <w:qFormat/>
    <w:uiPriority w:val="0"/>
    <w:rPr>
      <w:rFonts w:ascii="黑体" w:hAnsi="黑体" w:eastAsia="黑体"/>
      <w:color w:val="000000"/>
      <w:sz w:val="24"/>
      <w:szCs w:val="24"/>
    </w:rPr>
  </w:style>
  <w:style w:type="paragraph" w:customStyle="1" w:styleId="74">
    <w:name w:val="插图名"/>
    <w:basedOn w:val="1"/>
    <w:next w:val="1"/>
    <w:link w:val="75"/>
    <w:autoRedefine/>
    <w:qFormat/>
    <w:uiPriority w:val="0"/>
    <w:pPr>
      <w:ind w:firstLine="0" w:firstLineChars="0"/>
      <w:jc w:val="center"/>
    </w:pPr>
    <w:rPr>
      <w:rFonts w:eastAsia="黑体" w:cstheme="minorBidi"/>
      <w:kern w:val="2"/>
    </w:rPr>
  </w:style>
  <w:style w:type="character" w:customStyle="1" w:styleId="75">
    <w:name w:val="插图名 字符"/>
    <w:basedOn w:val="35"/>
    <w:link w:val="74"/>
    <w:autoRedefine/>
    <w:qFormat/>
    <w:uiPriority w:val="0"/>
    <w:rPr>
      <w:rFonts w:eastAsia="黑体" w:cstheme="minorBidi"/>
      <w:kern w:val="2"/>
      <w:sz w:val="24"/>
      <w:szCs w:val="24"/>
    </w:rPr>
  </w:style>
  <w:style w:type="paragraph" w:customStyle="1" w:styleId="76">
    <w:name w:val="表格内容"/>
    <w:basedOn w:val="1"/>
    <w:autoRedefine/>
    <w:qFormat/>
    <w:uiPriority w:val="0"/>
    <w:pPr>
      <w:adjustRightInd w:val="0"/>
      <w:snapToGrid w:val="0"/>
      <w:spacing w:line="280" w:lineRule="exact"/>
      <w:ind w:firstLine="0" w:firstLineChars="0"/>
      <w:jc w:val="center"/>
    </w:pPr>
    <w:rPr>
      <w:kern w:val="2"/>
      <w:sz w:val="18"/>
      <w:szCs w:val="18"/>
    </w:rPr>
  </w:style>
  <w:style w:type="character" w:customStyle="1" w:styleId="77">
    <w:name w:val="表名 Char"/>
    <w:link w:val="45"/>
    <w:autoRedefine/>
    <w:qFormat/>
    <w:uiPriority w:val="0"/>
    <w:rPr>
      <w:rFonts w:ascii="黑体" w:hAnsi="黑体" w:eastAsia="黑体"/>
      <w:sz w:val="24"/>
    </w:rPr>
  </w:style>
  <w:style w:type="character" w:customStyle="1" w:styleId="78">
    <w:name w:val="标题 4 字符"/>
    <w:link w:val="7"/>
    <w:qFormat/>
    <w:uiPriority w:val="0"/>
    <w:rPr>
      <w:rFonts w:ascii="Times New Roman" w:hAnsi="Times New Roman" w:eastAsia="宋体"/>
      <w:b/>
    </w:rPr>
  </w:style>
  <w:style w:type="character" w:customStyle="1" w:styleId="79">
    <w:name w:val="font151"/>
    <w:basedOn w:val="35"/>
    <w:qFormat/>
    <w:uiPriority w:val="0"/>
    <w:rPr>
      <w:rFonts w:hint="eastAsia" w:ascii="宋体" w:hAnsi="宋体" w:eastAsia="宋体" w:cs="宋体"/>
      <w:b/>
      <w:bCs/>
      <w:color w:val="000000"/>
      <w:sz w:val="21"/>
      <w:szCs w:val="21"/>
      <w:u w:val="none"/>
    </w:rPr>
  </w:style>
  <w:style w:type="character" w:customStyle="1" w:styleId="80">
    <w:name w:val="font12"/>
    <w:basedOn w:val="35"/>
    <w:qFormat/>
    <w:uiPriority w:val="0"/>
    <w:rPr>
      <w:rFonts w:hint="default" w:ascii="Times New Roman" w:hAnsi="Times New Roman" w:cs="Times New Roman"/>
      <w:color w:val="000000"/>
      <w:sz w:val="20"/>
      <w:szCs w:val="20"/>
      <w:u w:val="none"/>
    </w:rPr>
  </w:style>
  <w:style w:type="character" w:customStyle="1" w:styleId="81">
    <w:name w:val="font111"/>
    <w:basedOn w:val="35"/>
    <w:qFormat/>
    <w:uiPriority w:val="0"/>
    <w:rPr>
      <w:rFonts w:hint="default" w:ascii="Times New Roman" w:hAnsi="Times New Roman" w:cs="Times New Roman"/>
      <w:color w:val="000000"/>
      <w:sz w:val="21"/>
      <w:szCs w:val="21"/>
      <w:u w:val="none"/>
    </w:rPr>
  </w:style>
  <w:style w:type="character" w:customStyle="1" w:styleId="82">
    <w:name w:val="font161"/>
    <w:basedOn w:val="35"/>
    <w:qFormat/>
    <w:uiPriority w:val="0"/>
    <w:rPr>
      <w:rFonts w:hint="eastAsia" w:ascii="宋体" w:hAnsi="宋体" w:eastAsia="宋体" w:cs="宋体"/>
      <w:color w:val="000000"/>
      <w:sz w:val="21"/>
      <w:szCs w:val="21"/>
      <w:u w:val="none"/>
    </w:rPr>
  </w:style>
  <w:style w:type="character" w:customStyle="1" w:styleId="83">
    <w:name w:val="font61"/>
    <w:basedOn w:val="35"/>
    <w:qFormat/>
    <w:uiPriority w:val="0"/>
    <w:rPr>
      <w:rFonts w:hint="default" w:ascii="Times New Roman" w:hAnsi="Times New Roman" w:cs="Times New Roman"/>
      <w:color w:val="000000"/>
      <w:sz w:val="21"/>
      <w:szCs w:val="21"/>
      <w:u w:val="none"/>
    </w:rPr>
  </w:style>
  <w:style w:type="character" w:customStyle="1" w:styleId="84">
    <w:name w:val="font81"/>
    <w:basedOn w:val="35"/>
    <w:qFormat/>
    <w:uiPriority w:val="0"/>
    <w:rPr>
      <w:rFonts w:hint="eastAsia" w:ascii="宋体" w:hAnsi="宋体" w:eastAsia="宋体" w:cs="宋体"/>
      <w:color w:val="000000"/>
      <w:sz w:val="21"/>
      <w:szCs w:val="21"/>
      <w:u w:val="none"/>
    </w:rPr>
  </w:style>
  <w:style w:type="character" w:customStyle="1" w:styleId="85">
    <w:name w:val="font171"/>
    <w:basedOn w:val="35"/>
    <w:qFormat/>
    <w:uiPriority w:val="0"/>
    <w:rPr>
      <w:rFonts w:hint="eastAsia" w:ascii="宋体" w:hAnsi="宋体" w:eastAsia="宋体" w:cs="宋体"/>
      <w:b/>
      <w:bCs/>
      <w:color w:val="000000"/>
      <w:sz w:val="22"/>
      <w:szCs w:val="22"/>
      <w:u w:val="none"/>
    </w:rPr>
  </w:style>
  <w:style w:type="character" w:customStyle="1" w:styleId="86">
    <w:name w:val="font181"/>
    <w:basedOn w:val="35"/>
    <w:qFormat/>
    <w:uiPriority w:val="0"/>
    <w:rPr>
      <w:rFonts w:hint="default" w:ascii="Times New Roman" w:hAnsi="Times New Roman" w:cs="Times New Roman"/>
      <w:b/>
      <w:bCs/>
      <w:color w:val="000000"/>
      <w:sz w:val="22"/>
      <w:szCs w:val="22"/>
      <w:u w:val="none"/>
    </w:rPr>
  </w:style>
  <w:style w:type="character" w:customStyle="1" w:styleId="87">
    <w:name w:val="font51"/>
    <w:basedOn w:val="35"/>
    <w:qFormat/>
    <w:uiPriority w:val="0"/>
    <w:rPr>
      <w:rFonts w:hint="default" w:ascii="Times New Roman" w:hAnsi="Times New Roman" w:cs="Times New Roman"/>
      <w:b/>
      <w:bCs/>
      <w:color w:val="000000"/>
      <w:sz w:val="21"/>
      <w:szCs w:val="21"/>
      <w:u w:val="none"/>
    </w:rPr>
  </w:style>
  <w:style w:type="character" w:customStyle="1" w:styleId="88">
    <w:name w:val="font11"/>
    <w:basedOn w:val="35"/>
    <w:qFormat/>
    <w:uiPriority w:val="0"/>
    <w:rPr>
      <w:rFonts w:hint="default" w:ascii="Times New Roman" w:hAnsi="Times New Roman" w:cs="Times New Roman"/>
      <w:color w:val="000000"/>
      <w:sz w:val="20"/>
      <w:szCs w:val="20"/>
      <w:u w:val="none"/>
    </w:rPr>
  </w:style>
  <w:style w:type="character" w:customStyle="1" w:styleId="89">
    <w:name w:val="font112"/>
    <w:basedOn w:val="35"/>
    <w:qFormat/>
    <w:uiPriority w:val="0"/>
    <w:rPr>
      <w:rFonts w:hint="default" w:ascii="Times New Roman" w:hAnsi="Times New Roman" w:cs="Times New Roman"/>
      <w:color w:val="000000"/>
      <w:sz w:val="21"/>
      <w:szCs w:val="21"/>
      <w:u w:val="none"/>
    </w:rPr>
  </w:style>
  <w:style w:type="paragraph" w:customStyle="1" w:styleId="90">
    <w:name w:val="Table Paragraph"/>
    <w:basedOn w:val="1"/>
    <w:qFormat/>
    <w:uiPriority w:val="1"/>
    <w:pPr>
      <w:autoSpaceDE w:val="0"/>
      <w:autoSpaceDN w:val="0"/>
      <w:jc w:val="center"/>
    </w:pPr>
    <w:rPr>
      <w:rFonts w:ascii="宋体" w:hAnsi="宋体" w:cs="宋体"/>
      <w:sz w:val="22"/>
      <w:szCs w:val="22"/>
    </w:rPr>
  </w:style>
  <w:style w:type="table" w:customStyle="1" w:styleId="91">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92">
    <w:name w:val="font01"/>
    <w:basedOn w:val="35"/>
    <w:qFormat/>
    <w:uiPriority w:val="0"/>
    <w:rPr>
      <w:rFonts w:hint="eastAsia" w:ascii="宋体" w:hAnsi="宋体" w:eastAsia="宋体" w:cs="宋体"/>
      <w:color w:val="000000"/>
      <w:sz w:val="22"/>
      <w:szCs w:val="22"/>
      <w:u w:val="none"/>
    </w:rPr>
  </w:style>
  <w:style w:type="character" w:customStyle="1" w:styleId="93">
    <w:name w:val="font101"/>
    <w:basedOn w:val="35"/>
    <w:qFormat/>
    <w:uiPriority w:val="0"/>
    <w:rPr>
      <w:rFonts w:hint="default" w:ascii="Times New Roman" w:hAnsi="Times New Roman" w:cs="Times New Roman"/>
      <w:b/>
      <w:bCs/>
      <w:color w:val="000000"/>
      <w:sz w:val="22"/>
      <w:szCs w:val="22"/>
      <w:u w:val="none"/>
    </w:rPr>
  </w:style>
  <w:style w:type="character" w:customStyle="1" w:styleId="94">
    <w:name w:val="font122"/>
    <w:basedOn w:val="35"/>
    <w:qFormat/>
    <w:uiPriority w:val="0"/>
    <w:rPr>
      <w:rFonts w:hint="default" w:ascii="Times New Roman" w:hAnsi="Times New Roman" w:cs="Times New Roman"/>
      <w:color w:val="000000"/>
      <w:sz w:val="22"/>
      <w:szCs w:val="22"/>
      <w:u w:val="none"/>
    </w:rPr>
  </w:style>
  <w:style w:type="character" w:customStyle="1" w:styleId="95">
    <w:name w:val="font121"/>
    <w:basedOn w:val="35"/>
    <w:qFormat/>
    <w:uiPriority w:val="0"/>
    <w:rPr>
      <w:rFonts w:hint="eastAsia" w:ascii="宋体" w:hAnsi="宋体" w:eastAsia="宋体" w:cs="宋体"/>
      <w:color w:val="000000"/>
      <w:sz w:val="18"/>
      <w:szCs w:val="18"/>
      <w:u w:val="none"/>
    </w:rPr>
  </w:style>
  <w:style w:type="paragraph" w:customStyle="1" w:styleId="96">
    <w:name w:val="图片"/>
    <w:basedOn w:val="1"/>
    <w:qFormat/>
    <w:uiPriority w:val="0"/>
    <w:pPr>
      <w:spacing w:line="360" w:lineRule="auto"/>
      <w:ind w:firstLine="0" w:firstLineChars="0"/>
      <w:jc w:val="center"/>
    </w:pPr>
    <w:rPr>
      <w:rFonts w:eastAsia="方正仿宋_GB2312"/>
      <w:szCs w:val="28"/>
    </w:rPr>
  </w:style>
  <w:style w:type="paragraph" w:customStyle="1" w:styleId="97">
    <w:name w:val="0.表格内文字"/>
    <w:basedOn w:val="1"/>
    <w:qFormat/>
    <w:uiPriority w:val="0"/>
    <w:pPr>
      <w:widowControl/>
      <w:adjustRightInd w:val="0"/>
      <w:snapToGrid w:val="0"/>
      <w:spacing w:beforeLines="20" w:afterLines="20"/>
      <w:ind w:firstLine="0" w:firstLineChars="0"/>
      <w:jc w:val="center"/>
    </w:pPr>
    <w:rPr>
      <w:kern w:val="0"/>
      <w:sz w:val="24"/>
    </w:rPr>
  </w:style>
  <w:style w:type="paragraph" w:customStyle="1" w:styleId="98">
    <w:name w:val="标题5"/>
    <w:basedOn w:val="1"/>
    <w:qFormat/>
    <w:uiPriority w:val="0"/>
    <w:pPr>
      <w:ind w:firstLine="560"/>
      <w:outlineLvl w:val="4"/>
    </w:pPr>
  </w:style>
  <w:style w:type="paragraph" w:customStyle="1" w:styleId="99">
    <w:name w:val="表标题"/>
    <w:basedOn w:val="1"/>
    <w:qFormat/>
    <w:uiPriority w:val="0"/>
    <w:pPr>
      <w:spacing w:line="360" w:lineRule="auto"/>
      <w:ind w:firstLine="0" w:firstLineChars="0"/>
      <w:jc w:val="center"/>
      <w:outlineLvl w:val="8"/>
    </w:pPr>
    <w:rPr>
      <w:rFonts w:ascii="宋体" w:hAnsi="宋体"/>
      <w:b/>
      <w:sz w:val="24"/>
      <w:szCs w:val="28"/>
    </w:rPr>
  </w:style>
  <w:style w:type="paragraph" w:customStyle="1" w:styleId="100">
    <w:name w:val="1.1.1.1 标题4"/>
    <w:basedOn w:val="101"/>
    <w:qFormat/>
    <w:uiPriority w:val="0"/>
    <w:pPr>
      <w:outlineLvl w:val="3"/>
    </w:pPr>
  </w:style>
  <w:style w:type="paragraph" w:customStyle="1" w:styleId="101">
    <w:name w:val="1.1.1 标题3"/>
    <w:basedOn w:val="1"/>
    <w:qFormat/>
    <w:uiPriority w:val="0"/>
    <w:pPr>
      <w:spacing w:line="360" w:lineRule="auto"/>
      <w:ind w:firstLine="0" w:firstLineChars="0"/>
      <w:jc w:val="left"/>
      <w:outlineLvl w:val="2"/>
    </w:pPr>
    <w:rPr>
      <w:b/>
      <w:szCs w:val="28"/>
    </w:rPr>
  </w:style>
  <w:style w:type="paragraph" w:customStyle="1" w:styleId="102">
    <w:name w:val="Table Text"/>
    <w:basedOn w:val="1"/>
    <w:semiHidden/>
    <w:qFormat/>
    <w:uiPriority w:val="0"/>
    <w:rPr>
      <w:rFonts w:ascii="Arial" w:hAnsi="Arial" w:eastAsia="Arial" w:cs="Arial"/>
      <w:sz w:val="21"/>
      <w:szCs w:val="21"/>
      <w:lang w:val="en-US" w:eastAsia="en-US" w:bidi="ar-SA"/>
    </w:rPr>
  </w:style>
  <w:style w:type="paragraph" w:customStyle="1" w:styleId="103">
    <w:name w:val="样式6"/>
    <w:basedOn w:val="1"/>
    <w:qFormat/>
    <w:uiPriority w:val="0"/>
    <w:pPr>
      <w:spacing w:line="360" w:lineRule="auto"/>
      <w:ind w:firstLine="480" w:firstLineChars="200"/>
    </w:pPr>
    <w:rPr>
      <w:rFonts w:ascii="Times New Roman" w:hAnsi="Times New Roman" w:eastAsia="仿宋" w:cs="Times New Roman"/>
      <w:kern w:val="0"/>
      <w:sz w:val="24"/>
      <w:szCs w:val="24"/>
    </w:rPr>
  </w:style>
  <w:style w:type="character" w:customStyle="1" w:styleId="104">
    <w:name w:val="font132"/>
    <w:basedOn w:val="35"/>
    <w:qFormat/>
    <w:uiPriority w:val="0"/>
    <w:rPr>
      <w:rFonts w:hint="default" w:ascii="Times New Roman" w:hAnsi="Times New Roman" w:cs="Times New Roman"/>
      <w:color w:val="000000"/>
      <w:sz w:val="28"/>
      <w:szCs w:val="28"/>
      <w:u w:val="none"/>
      <w:vertAlign w:val="superscript"/>
    </w:rPr>
  </w:style>
  <w:style w:type="character" w:customStyle="1" w:styleId="105">
    <w:name w:val="font131"/>
    <w:basedOn w:val="35"/>
    <w:qFormat/>
    <w:uiPriority w:val="0"/>
    <w:rPr>
      <w:rFonts w:hint="default" w:ascii="Times New Roman" w:hAnsi="Times New Roman" w:cs="Times New Roman"/>
      <w:color w:val="000000"/>
      <w:sz w:val="28"/>
      <w:szCs w:val="28"/>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8.png"/><Relationship Id="rId26" Type="http://schemas.openxmlformats.org/officeDocument/2006/relationships/image" Target="media/image7.jpeg"/><Relationship Id="rId25" Type="http://schemas.openxmlformats.org/officeDocument/2006/relationships/image" Target="media/image6.jpeg"/><Relationship Id="rId24" Type="http://schemas.openxmlformats.org/officeDocument/2006/relationships/image" Target="media/image5.jpeg"/><Relationship Id="rId23" Type="http://schemas.openxmlformats.org/officeDocument/2006/relationships/image" Target="media/image4.jpeg"/><Relationship Id="rId22" Type="http://schemas.openxmlformats.org/officeDocument/2006/relationships/image" Target="media/image3.png"/><Relationship Id="rId21" Type="http://schemas.openxmlformats.org/officeDocument/2006/relationships/image" Target="media/image2.jpe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2A3EC8-49BD-490E-BDD7-8C50C3F50AF5}">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14035</Words>
  <Characters>16439</Characters>
  <Lines>588</Lines>
  <Paragraphs>165</Paragraphs>
  <TotalTime>93</TotalTime>
  <ScaleCrop>false</ScaleCrop>
  <LinksUpToDate>false</LinksUpToDate>
  <CharactersWithSpaces>16561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2020-08-03T06:46:00Z</dcterms:created>
  <dc:creator>Administrator</dc:creator>
  <cp:lastModifiedBy>墨尽</cp:lastModifiedBy>
  <cp:lastPrinted>2026-05-17T10:17:00Z</cp:lastPrinted>
  <dcterms:modified xsi:type="dcterms:W3CDTF">2026-06-04T00:09:46Z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MTWinEqns">
    <vt:bool>true</vt:bool>
  </property>
  <property fmtid="{D5CDD505-2E9C-101B-9397-08002B2CF9AE}" pid="4" name="ICV">
    <vt:lpwstr>5FB430F8394A4BFD9A9516262FFB50E5_13</vt:lpwstr>
  </property>
  <property fmtid="{D5CDD505-2E9C-101B-9397-08002B2CF9AE}" pid="5" name="KSOTemplateDocerSaveRecord">
    <vt:lpwstr>eyJoZGlkIjoiOTdlMTVlOGVkODA3OGRhMjQ4MGQzMGRkOWFiZjk1OTgiLCJ1c2VySWQiOiI0MzAzOTE5NDAifQ==</vt:lpwstr>
  </property>
</Properties>
</file>