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CC070">
      <w:pPr>
        <w:adjustRightInd w:val="0"/>
        <w:snapToGrid w:val="0"/>
        <w:spacing w:line="560" w:lineRule="exact"/>
        <w:jc w:val="center"/>
        <w:rPr>
          <w:rFonts w:hint="default"/>
        </w:rPr>
      </w:pPr>
      <w:r>
        <w:t>徐闻县县级储备粮管理办法</w:t>
      </w:r>
    </w:p>
    <w:p w14:paraId="7F3F4D3E">
      <w:pPr>
        <w:adjustRightInd w:val="0"/>
        <w:snapToGrid w:val="0"/>
        <w:spacing w:line="560" w:lineRule="exact"/>
        <w:jc w:val="center"/>
        <w:rPr>
          <w:rFonts w:hint="default" w:ascii="仿宋_GB2312" w:eastAsia="仿宋_GB2312"/>
          <w:sz w:val="32"/>
          <w:szCs w:val="32"/>
        </w:rPr>
      </w:pPr>
      <w:r>
        <w:rPr>
          <w:rFonts w:ascii="仿宋_GB2312" w:eastAsia="仿宋_GB2312"/>
          <w:sz w:val="32"/>
          <w:szCs w:val="32"/>
        </w:rPr>
        <w:t>（征求意见稿）</w:t>
      </w:r>
    </w:p>
    <w:p w14:paraId="3A834B72">
      <w:pPr>
        <w:adjustRightInd w:val="0"/>
        <w:snapToGrid w:val="0"/>
        <w:spacing w:line="560" w:lineRule="exact"/>
        <w:jc w:val="center"/>
        <w:rPr>
          <w:rFonts w:hint="default"/>
        </w:rPr>
      </w:pPr>
    </w:p>
    <w:p w14:paraId="59F21B12">
      <w:pPr>
        <w:adjustRightInd w:val="0"/>
        <w:snapToGrid w:val="0"/>
        <w:spacing w:line="560" w:lineRule="exact"/>
        <w:jc w:val="center"/>
        <w:rPr>
          <w:rFonts w:hint="default"/>
        </w:rPr>
      </w:pPr>
      <w:r>
        <w:rPr>
          <w:rFonts w:ascii="黑体" w:hAnsi="宋体" w:eastAsia="黑体"/>
          <w:spacing w:val="-4"/>
          <w:sz w:val="32"/>
        </w:rPr>
        <w:t>第一章  总  则</w:t>
      </w:r>
    </w:p>
    <w:p w14:paraId="38056665">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第一条</w:t>
      </w:r>
      <w:r>
        <w:rPr>
          <w:rFonts w:ascii="仿宋_GB2312" w:hAnsi="Times New Roman" w:eastAsia="仿宋_GB2312"/>
          <w:spacing w:val="-4"/>
          <w:sz w:val="32"/>
        </w:rPr>
        <w:t xml:space="preserve">  为规范县级储备粮管理，保证县级储备粮数量真实、质量良好和储存安全，有效发挥县级储备粮在政府宏观调控中的作用，根据《粮食流通管理条例》、《中央储备粮管理条例》、《广东省粮食安全保障条例》等有关政策规定，参照《广东省省级储备粮管理办法》及《湛江市市级储备粮管理办法》等要求，结合本县实际，制定本办法。</w:t>
      </w:r>
    </w:p>
    <w:p w14:paraId="2B4DB6F7">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第二条</w:t>
      </w:r>
      <w:r>
        <w:rPr>
          <w:rFonts w:ascii="仿宋_GB2312" w:hAnsi="Times New Roman" w:eastAsia="仿宋_GB2312"/>
          <w:spacing w:val="-4"/>
          <w:sz w:val="32"/>
        </w:rPr>
        <w:t xml:space="preserve">  本县县级储备粮的收储、销售、轮换、动用、退出及相关监督管理活动，适用本办法。</w:t>
      </w:r>
    </w:p>
    <w:p w14:paraId="5F70DA4D">
      <w:pPr>
        <w:adjustRightInd w:val="0"/>
        <w:snapToGrid w:val="0"/>
        <w:spacing w:line="560" w:lineRule="exact"/>
        <w:ind w:firstLine="624" w:firstLineChars="200"/>
        <w:rPr>
          <w:rFonts w:hint="default" w:ascii="仿宋_GB2312" w:eastAsia="仿宋_GB2312"/>
          <w:spacing w:val="-4"/>
          <w:sz w:val="32"/>
        </w:rPr>
      </w:pPr>
      <w:r>
        <w:rPr>
          <w:rFonts w:ascii="仿宋_GB2312" w:hAnsi="Times New Roman" w:eastAsia="仿宋_GB2312"/>
          <w:spacing w:val="-4"/>
          <w:sz w:val="32"/>
        </w:rPr>
        <w:t>本办法所称县级储备粮是指县人民政府储备的用于调节全县粮食供求总量、稳定粮食市场以及应对重大自然灾害或者其他突发事件等情况的粮食和食用油。</w:t>
      </w:r>
    </w:p>
    <w:p w14:paraId="07739B23">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第三条</w:t>
      </w:r>
      <w:r>
        <w:rPr>
          <w:rFonts w:ascii="仿宋_GB2312" w:hAnsi="Times New Roman" w:eastAsia="仿宋_GB2312"/>
          <w:spacing w:val="-4"/>
          <w:sz w:val="32"/>
        </w:rPr>
        <w:t xml:space="preserve">  县级储备粮管理应当完善制度、严格管理、落实责任，确保储备粮数量真实、质量良好、储存安全和储得进、管得好、调得动、用得上，并节约成本和费用。</w:t>
      </w:r>
    </w:p>
    <w:p w14:paraId="7913350D">
      <w:pPr>
        <w:adjustRightInd w:val="0"/>
        <w:snapToGrid w:val="0"/>
        <w:spacing w:line="560" w:lineRule="exact"/>
        <w:ind w:firstLine="624" w:firstLineChars="200"/>
        <w:rPr>
          <w:rFonts w:hint="default" w:ascii="仿宋_GB2312" w:eastAsia="仿宋_GB2312"/>
          <w:spacing w:val="-4"/>
          <w:sz w:val="32"/>
        </w:rPr>
      </w:pPr>
      <w:r>
        <w:rPr>
          <w:rFonts w:ascii="仿宋_GB2312" w:hAnsi="Times New Roman" w:eastAsia="仿宋_GB2312"/>
          <w:spacing w:val="-4"/>
          <w:sz w:val="32"/>
        </w:rPr>
        <w:t>县级储备粮应当保持库存充足，除紧急动用等特殊情况外，实物库存量不得低于国家、省和湛江市的有关规定。未经县人民政府批准，任何单位和个人不得动用县级储备粮。</w:t>
      </w:r>
    </w:p>
    <w:p w14:paraId="70E71B6C">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第四条</w:t>
      </w:r>
      <w:r>
        <w:rPr>
          <w:rFonts w:ascii="仿宋_GB2312" w:hAnsi="Times New Roman" w:eastAsia="仿宋_GB2312"/>
          <w:spacing w:val="-4"/>
          <w:sz w:val="32"/>
        </w:rPr>
        <w:t xml:space="preserve">  县发展和改革局负责县级储备粮行政管理，对县级储备粮的数量、质量和储存安全实施监督检查；会同县财政局拟订县级储备粮总体布局和动用等宏观调控意见，对县级储备粮管理进行指导和协调；根据县人民政府批准的收储、销售、轮换计划，指导县级储备粮承储单位（以下简称县承储单位）组织储备购销和轮换。</w:t>
      </w:r>
    </w:p>
    <w:p w14:paraId="6D13E70E">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第五条</w:t>
      </w:r>
      <w:r>
        <w:rPr>
          <w:rFonts w:ascii="仿宋_GB2312" w:hAnsi="Times New Roman" w:eastAsia="仿宋_GB2312"/>
          <w:spacing w:val="-4"/>
          <w:sz w:val="32"/>
        </w:rPr>
        <w:t xml:space="preserve">  县财政局负责安排县级储备粮的贷款利息、管理费用、轮换差价、轮换费用等财政补贴，并保证及时、足额拨付；负责对县级储备粮有关财务执行情况实施监督检查。</w:t>
      </w:r>
    </w:p>
    <w:p w14:paraId="2F9408C9">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第六条</w:t>
      </w:r>
      <w:r>
        <w:rPr>
          <w:rFonts w:ascii="仿宋_GB2312" w:hAnsi="Times New Roman" w:eastAsia="仿宋_GB2312"/>
          <w:spacing w:val="-4"/>
          <w:sz w:val="32"/>
        </w:rPr>
        <w:t xml:space="preserve">  中国农业发展银行徐闻县支行（以下简称县农发行）负责按照国家、省、市、县有关规定，及时、足额发放县级储备粮所需贷款，及时收回货款，并对发放的县级储备粮贷款实施信贷监管。</w:t>
      </w:r>
    </w:p>
    <w:p w14:paraId="5D21D4DE">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第七条</w:t>
      </w:r>
      <w:r>
        <w:rPr>
          <w:rFonts w:ascii="仿宋_GB2312" w:hAnsi="Times New Roman" w:eastAsia="仿宋_GB2312"/>
          <w:spacing w:val="-4"/>
          <w:sz w:val="32"/>
        </w:rPr>
        <w:t xml:space="preserve">  县承储单位负责执行县下达县级储备粮的收储、销售、轮换等任务，对所承储县级储备粮的数量、质量和储存安全负责，确保县级储备粮专仓储存、专人保管、专账记载，以及数量、质量、品种、地点的落实。</w:t>
      </w:r>
    </w:p>
    <w:p w14:paraId="75F03E48">
      <w:pPr>
        <w:adjustRightInd w:val="0"/>
        <w:snapToGrid w:val="0"/>
        <w:spacing w:line="560" w:lineRule="exact"/>
        <w:ind w:firstLine="624" w:firstLineChars="200"/>
        <w:rPr>
          <w:rFonts w:hint="default" w:ascii="仿宋_GB2312" w:eastAsia="仿宋_GB2312"/>
          <w:spacing w:val="-4"/>
          <w:sz w:val="32"/>
        </w:rPr>
      </w:pPr>
      <w:r>
        <w:rPr>
          <w:rFonts w:ascii="仿宋_GB2312" w:hAnsi="Times New Roman" w:eastAsia="仿宋_GB2312"/>
          <w:spacing w:val="-4"/>
          <w:sz w:val="32"/>
        </w:rPr>
        <w:t>县承储单位依照国家、省、市和县有关县级储备粮管理的法律、法规、规章、国家标准和技术规范，建立健全县级储备粮业务管理制度，并报县发改部门、县财政部门备案。</w:t>
      </w:r>
    </w:p>
    <w:p w14:paraId="1C92571B">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第八条</w:t>
      </w:r>
      <w:r>
        <w:rPr>
          <w:rFonts w:ascii="仿宋_GB2312" w:hAnsi="Times New Roman" w:eastAsia="仿宋_GB2312"/>
          <w:spacing w:val="-4"/>
          <w:sz w:val="32"/>
        </w:rPr>
        <w:t xml:space="preserve">  任何单位和个人对县级储备粮经营管理中的违法行为，均有权向县发展和改革局及有关单位举报。县发展和改革局及有关单位接到举报后，应当及时查处；举报事项属于其他部门职责范围的，应当及时移送其他部门处理。</w:t>
      </w:r>
    </w:p>
    <w:p w14:paraId="0A0A6306">
      <w:pPr>
        <w:pStyle w:val="2"/>
        <w:rPr>
          <w:rFonts w:hint="default"/>
        </w:rPr>
      </w:pPr>
    </w:p>
    <w:p w14:paraId="35245F88">
      <w:pPr>
        <w:adjustRightInd w:val="0"/>
        <w:snapToGrid w:val="0"/>
        <w:spacing w:line="560" w:lineRule="exact"/>
        <w:jc w:val="center"/>
        <w:rPr>
          <w:rFonts w:ascii="黑体" w:hAnsi="宋体" w:eastAsia="黑体"/>
          <w:spacing w:val="-4"/>
          <w:sz w:val="32"/>
        </w:rPr>
      </w:pPr>
      <w:r>
        <w:rPr>
          <w:rFonts w:ascii="黑体" w:hAnsi="宋体" w:eastAsia="黑体"/>
          <w:spacing w:val="-4"/>
          <w:sz w:val="32"/>
        </w:rPr>
        <w:t>第二章  县级储备粮的收储管理</w:t>
      </w:r>
    </w:p>
    <w:p w14:paraId="4F71AB23">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第九条</w:t>
      </w:r>
      <w:r>
        <w:rPr>
          <w:rFonts w:ascii="仿宋_GB2312" w:hAnsi="Times New Roman" w:eastAsia="仿宋_GB2312"/>
          <w:spacing w:val="-4"/>
          <w:sz w:val="32"/>
        </w:rPr>
        <w:t xml:space="preserve">  县级储备粮的储存规模、品种和总体布局方案及轮换方式，由县发展和改革局会同县财政局根据上级计划要求、市场宏观调控需要及财政承受能力提出，报县人民政府批准。</w:t>
      </w:r>
    </w:p>
    <w:p w14:paraId="56BF4989">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第十条</w:t>
      </w:r>
      <w:r>
        <w:rPr>
          <w:rFonts w:ascii="仿宋_GB2312" w:hAnsi="Times New Roman" w:eastAsia="仿宋_GB2312"/>
          <w:spacing w:val="-4"/>
          <w:sz w:val="32"/>
        </w:rPr>
        <w:t xml:space="preserve">  县承储单位根据县人民政府下达的县级储备粮储存规模、品种的收储计划，具体组织实施县级储备粮收储。</w:t>
      </w:r>
    </w:p>
    <w:p w14:paraId="0374F539">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第十一条</w:t>
      </w:r>
      <w:r>
        <w:rPr>
          <w:rFonts w:ascii="仿宋_GB2312" w:hAnsi="Times New Roman" w:eastAsia="仿宋_GB2312"/>
          <w:spacing w:val="-4"/>
          <w:sz w:val="32"/>
        </w:rPr>
        <w:t xml:space="preserve">  县发展和改革局根据布局需要和有关规定，确定县级储备粮储存库点。县级储备粮主要由徐闻县五丰粮食储备有限责任公司承储。</w:t>
      </w:r>
    </w:p>
    <w:p w14:paraId="38F04720">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第十二条</w:t>
      </w:r>
      <w:r>
        <w:rPr>
          <w:rFonts w:ascii="仿宋_GB2312" w:hAnsi="Times New Roman" w:eastAsia="仿宋_GB2312"/>
          <w:spacing w:val="-4"/>
          <w:sz w:val="32"/>
        </w:rPr>
        <w:t xml:space="preserve">  县承储单位不得将县级储备粮轮换业务与其他业务混合经营。</w:t>
      </w:r>
    </w:p>
    <w:p w14:paraId="74E57209">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第十三条</w:t>
      </w:r>
      <w:r>
        <w:rPr>
          <w:rFonts w:ascii="仿宋_GB2312" w:hAnsi="Times New Roman" w:eastAsia="仿宋_GB2312"/>
          <w:spacing w:val="-4"/>
          <w:sz w:val="32"/>
        </w:rPr>
        <w:t xml:space="preserve">  县承储单位须根据上级下达计划的品种、数量、质量，在规定时间内采购。县级储备粮质量须符合国家粮食质量标准规定的等级要求。完成入库后，由县承储单位委托具有粮油质量检验资格的机构抽样检测，质量合格后将检测结果上报县发展和改革局，县发展和改革局会同县财政局核实验收。</w:t>
      </w:r>
    </w:p>
    <w:p w14:paraId="2154B430">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第十四条</w:t>
      </w:r>
      <w:r>
        <w:rPr>
          <w:rFonts w:ascii="仿宋_GB2312" w:hAnsi="Times New Roman" w:eastAsia="仿宋_GB2312"/>
          <w:b/>
          <w:spacing w:val="-4"/>
          <w:sz w:val="32"/>
        </w:rPr>
        <w:t xml:space="preserve">  </w:t>
      </w:r>
      <w:r>
        <w:rPr>
          <w:rFonts w:ascii="仿宋_GB2312" w:hAnsi="Times New Roman" w:eastAsia="仿宋_GB2312"/>
          <w:spacing w:val="-4"/>
          <w:sz w:val="32"/>
        </w:rPr>
        <w:t>县承储单位应当对县级储备粮实行专仓储存、专人保管、专账记载，做到出有凭、入有据，保证县级储备粮账账相符、账实相符、账表相符、质量良好、储存安全。</w:t>
      </w:r>
    </w:p>
    <w:p w14:paraId="49916516">
      <w:pPr>
        <w:adjustRightInd w:val="0"/>
        <w:snapToGrid w:val="0"/>
        <w:spacing w:line="560" w:lineRule="exact"/>
        <w:ind w:firstLine="624" w:firstLineChars="200"/>
        <w:rPr>
          <w:rFonts w:hint="default" w:ascii="仿宋_GB2312" w:eastAsia="仿宋_GB2312"/>
          <w:spacing w:val="-4"/>
          <w:sz w:val="32"/>
        </w:rPr>
      </w:pPr>
      <w:r>
        <w:rPr>
          <w:rFonts w:ascii="仿宋_GB2312" w:hAnsi="Times New Roman" w:eastAsia="仿宋_GB2312"/>
          <w:spacing w:val="-4"/>
          <w:sz w:val="32"/>
        </w:rPr>
        <w:t>县承储单位应当对县级储备粮储存管理状况进行常态化检查；发现县级储备粮数量、质量和储存安全等方面问题，应当及时处理；不能处理的，必须及时报告县发展和改革局。</w:t>
      </w:r>
    </w:p>
    <w:p w14:paraId="69DFDA0D">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第十五条</w:t>
      </w:r>
      <w:r>
        <w:rPr>
          <w:rFonts w:ascii="仿宋_GB2312" w:hAnsi="Times New Roman" w:eastAsia="仿宋_GB2312"/>
          <w:spacing w:val="-4"/>
          <w:sz w:val="32"/>
        </w:rPr>
        <w:t xml:space="preserve">  县承储单位不得虚报、瞒报县级储备粮数量，不得在县级储备粮中掺假掺杂、以次充好，不得擅自串换县级储备粮品种、变更县级储备粮储存地点，不得因延误轮换或管理不善造成县级储备粮陈化、霉变。</w:t>
      </w:r>
    </w:p>
    <w:p w14:paraId="4BBD157D">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第十六条</w:t>
      </w:r>
      <w:r>
        <w:rPr>
          <w:rFonts w:ascii="仿宋_GB2312" w:hAnsi="Times New Roman" w:eastAsia="仿宋_GB2312"/>
          <w:b/>
          <w:spacing w:val="-4"/>
          <w:sz w:val="32"/>
        </w:rPr>
        <w:t xml:space="preserve">  </w:t>
      </w:r>
      <w:r>
        <w:rPr>
          <w:rFonts w:ascii="仿宋_GB2312" w:hAnsi="Times New Roman" w:eastAsia="仿宋_GB2312"/>
          <w:spacing w:val="-4"/>
          <w:sz w:val="32"/>
        </w:rPr>
        <w:t>县承储单位不得利用县级储备粮及其贷款资金从事与县级储备粮业务无关的经营活动，不得以县级储备粮对外进行担保、质押或者对外清偿债务。</w:t>
      </w:r>
    </w:p>
    <w:p w14:paraId="2FEE4469">
      <w:pPr>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县承储单位依法被撤销、解散或者破产的，其储存的县级储备粮由徐闻县人民政府指定单位承储。</w:t>
      </w:r>
    </w:p>
    <w:p w14:paraId="62C34E7A">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第十七条</w:t>
      </w:r>
      <w:r>
        <w:rPr>
          <w:rFonts w:ascii="仿宋_GB2312" w:hAnsi="Times New Roman" w:eastAsia="仿宋_GB2312"/>
          <w:spacing w:val="-4"/>
          <w:sz w:val="32"/>
        </w:rPr>
        <w:t xml:space="preserve">  县承储单位应当建立健全县级储备粮防火、防盗、防洪等安全管理制度，并配备必要的安全防护设施。</w:t>
      </w:r>
    </w:p>
    <w:p w14:paraId="79A69275">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第十八条</w:t>
      </w:r>
      <w:r>
        <w:rPr>
          <w:rFonts w:ascii="仿宋_GB2312" w:hAnsi="Times New Roman" w:eastAsia="仿宋_GB2312"/>
          <w:spacing w:val="-4"/>
          <w:sz w:val="32"/>
        </w:rPr>
        <w:t xml:space="preserve">  任何单位和个人不得破坏县级储备粮仓储设施，不得偷盗、哄抢县级储备粮。</w:t>
      </w:r>
    </w:p>
    <w:p w14:paraId="5DB232B6">
      <w:pPr>
        <w:pStyle w:val="2"/>
        <w:rPr>
          <w:rFonts w:hint="default"/>
        </w:rPr>
      </w:pPr>
    </w:p>
    <w:p w14:paraId="064D812D">
      <w:pPr>
        <w:adjustRightInd w:val="0"/>
        <w:snapToGrid w:val="0"/>
        <w:spacing w:line="560" w:lineRule="exact"/>
        <w:jc w:val="center"/>
        <w:rPr>
          <w:rFonts w:ascii="黑体" w:hAnsi="宋体" w:eastAsia="黑体"/>
          <w:spacing w:val="-4"/>
          <w:sz w:val="32"/>
        </w:rPr>
      </w:pPr>
      <w:r>
        <w:rPr>
          <w:rFonts w:ascii="黑体" w:hAnsi="宋体" w:eastAsia="黑体"/>
          <w:spacing w:val="-4"/>
          <w:sz w:val="32"/>
        </w:rPr>
        <w:t>第三章  县级储备粮的销售与轮换</w:t>
      </w:r>
    </w:p>
    <w:p w14:paraId="666159C3">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第十九条</w:t>
      </w:r>
      <w:r>
        <w:rPr>
          <w:rFonts w:ascii="仿宋_GB2312" w:hAnsi="Times New Roman" w:eastAsia="仿宋_GB2312"/>
          <w:b/>
          <w:spacing w:val="-4"/>
          <w:sz w:val="32"/>
        </w:rPr>
        <w:t xml:space="preserve">  </w:t>
      </w:r>
      <w:r>
        <w:rPr>
          <w:rFonts w:ascii="仿宋_GB2312" w:hAnsi="Times New Roman" w:eastAsia="仿宋_GB2312"/>
          <w:spacing w:val="-4"/>
          <w:sz w:val="32"/>
        </w:rPr>
        <w:t>县级储备粮销售与轮换计划，由县承储单位根据县人民政府下达的储备计划组织储备购销与轮换。</w:t>
      </w:r>
    </w:p>
    <w:p w14:paraId="62029B94">
      <w:pPr>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县级储备粮轮换补库购进价格，收购当地粮食价格，由县级储备粮轮换联席会议根据当年粮食市场行情决定；网上公开竞价粮食价格，由县政府分管领导主持，县发展和改革局牵头组织县财政局、中国农业发展银行徐闻县支行、县五丰粮食储备有限责任公司等有关部门负责人组成的竞价轮换工作领导小组会议，根据粮食市场行情拟定底价，然后交广东华南粮食交易中心有限公司进行挂牌采购，按成交价格核定。</w:t>
      </w:r>
    </w:p>
    <w:p w14:paraId="19175B54">
      <w:pPr>
        <w:adjustRightInd w:val="0"/>
        <w:snapToGrid w:val="0"/>
        <w:spacing w:line="560" w:lineRule="exact"/>
        <w:ind w:firstLine="624" w:firstLineChars="200"/>
        <w:rPr>
          <w:rFonts w:hint="default" w:ascii="仿宋_GB2312" w:eastAsia="仿宋_GB2312"/>
          <w:spacing w:val="-4"/>
          <w:sz w:val="32"/>
        </w:rPr>
      </w:pPr>
      <w:r>
        <w:rPr>
          <w:rFonts w:ascii="仿宋_GB2312" w:hAnsi="Times New Roman" w:eastAsia="仿宋_GB2312"/>
          <w:spacing w:val="-4"/>
          <w:sz w:val="32"/>
        </w:rPr>
        <w:t>县承储单位根据县人民政府下达的轮换计划方案，具体组织实施县级储备粮的销售与轮换。</w:t>
      </w:r>
    </w:p>
    <w:p w14:paraId="301761D6">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第二十条</w:t>
      </w:r>
      <w:r>
        <w:rPr>
          <w:rFonts w:ascii="仿宋_GB2312" w:hAnsi="Times New Roman" w:eastAsia="仿宋_GB2312"/>
          <w:b/>
          <w:spacing w:val="-4"/>
          <w:sz w:val="32"/>
        </w:rPr>
        <w:t xml:space="preserve">  </w:t>
      </w:r>
      <w:r>
        <w:rPr>
          <w:rFonts w:ascii="仿宋_GB2312" w:hAnsi="Times New Roman" w:eastAsia="仿宋_GB2312"/>
          <w:spacing w:val="-4"/>
          <w:sz w:val="32"/>
        </w:rPr>
        <w:t>县级储备粮储存年限，一般稻谷和玉米不超过3年，小麦不超过5年，豆类及食用油脂不超过2年。成品粮油（含小包装，下同）原则上不超过1年并应在保质期之前进行轮换；其中，包装成品粮油采取低温或准低温储藏方式的，承储企业报相关主管部门批准可推迟轮换，但不得超过保质期。县级储备粮可以采取静态轮换或者自主轮换等方式，静态轮换轮空期不得超过4个月，如遇特殊情况，确需超过4个月轮空期的，承储企业应提前报相关主管部门批准延期。延长轮空期应从严控制，经批准延长轮换架空期的，原则上最长不超过2个月。</w:t>
      </w:r>
    </w:p>
    <w:p w14:paraId="4AAF607D">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第二十一条</w:t>
      </w:r>
      <w:r>
        <w:rPr>
          <w:rFonts w:ascii="仿宋_GB2312" w:hAnsi="Times New Roman" w:eastAsia="仿宋_GB2312"/>
          <w:b/>
          <w:spacing w:val="-4"/>
          <w:sz w:val="32"/>
        </w:rPr>
        <w:t xml:space="preserve">  </w:t>
      </w:r>
      <w:r>
        <w:rPr>
          <w:rFonts w:ascii="仿宋_GB2312" w:hAnsi="Times New Roman" w:eastAsia="仿宋_GB2312"/>
          <w:spacing w:val="-4"/>
          <w:sz w:val="32"/>
        </w:rPr>
        <w:t>县级储备粮的粮权属县人民政府。储备粮需要轮换销售时，由县承储单位提出意见，经县发展和改革局、县财政局审定后，报县人民政府批准执行。</w:t>
      </w:r>
    </w:p>
    <w:p w14:paraId="45156D9B">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第二十二条</w:t>
      </w:r>
      <w:r>
        <w:rPr>
          <w:rFonts w:ascii="仿宋_GB2312" w:hAnsi="Times New Roman" w:eastAsia="仿宋_GB2312"/>
          <w:b/>
          <w:spacing w:val="-4"/>
          <w:sz w:val="32"/>
        </w:rPr>
        <w:t xml:space="preserve">  </w:t>
      </w:r>
      <w:r>
        <w:rPr>
          <w:rFonts w:ascii="仿宋_GB2312" w:hAnsi="Times New Roman" w:eastAsia="仿宋_GB2312"/>
          <w:spacing w:val="-4"/>
          <w:sz w:val="32"/>
        </w:rPr>
        <w:t>县级储备粮收储、销售、轮换原则上通过粮食交易市场，采取公开招标、竞价方式或依法认可的其他方式进行，轮换销售收入必须及时足额回到县农发行开立的账户，并全程留痕备查，保存相关资料、凭证期限不少于6年。</w:t>
      </w:r>
    </w:p>
    <w:p w14:paraId="621AB71C">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第二十三条</w:t>
      </w:r>
      <w:r>
        <w:rPr>
          <w:rFonts w:ascii="仿宋_GB2312" w:hAnsi="Times New Roman" w:eastAsia="仿宋_GB2312"/>
          <w:b/>
          <w:spacing w:val="-4"/>
          <w:sz w:val="32"/>
        </w:rPr>
        <w:t xml:space="preserve">  </w:t>
      </w:r>
      <w:r>
        <w:rPr>
          <w:rFonts w:ascii="仿宋_GB2312" w:hAnsi="Times New Roman" w:eastAsia="仿宋_GB2312"/>
          <w:spacing w:val="-4"/>
          <w:sz w:val="32"/>
        </w:rPr>
        <w:t>县承储单位应当在轮换计划规定的时间内完成县级储备粮的轮换，并将县级储备粮收储、销售、年度轮换计划具体执行情况及时报县发展和改革局、县财政局备案，并抄送县农发行。</w:t>
      </w:r>
    </w:p>
    <w:p w14:paraId="5D069898">
      <w:pPr>
        <w:pStyle w:val="2"/>
        <w:rPr>
          <w:rFonts w:hint="default"/>
        </w:rPr>
      </w:pPr>
    </w:p>
    <w:p w14:paraId="35EFAB47">
      <w:pPr>
        <w:adjustRightInd w:val="0"/>
        <w:snapToGrid w:val="0"/>
        <w:spacing w:line="560" w:lineRule="exact"/>
        <w:jc w:val="center"/>
        <w:rPr>
          <w:rFonts w:ascii="黑体" w:hAnsi="宋体" w:eastAsia="黑体"/>
          <w:spacing w:val="-4"/>
          <w:sz w:val="32"/>
        </w:rPr>
      </w:pPr>
      <w:r>
        <w:rPr>
          <w:rFonts w:ascii="黑体" w:hAnsi="宋体" w:eastAsia="黑体"/>
          <w:spacing w:val="-4"/>
          <w:sz w:val="32"/>
        </w:rPr>
        <w:t>第四章  县级储备粮的动用</w:t>
      </w:r>
    </w:p>
    <w:p w14:paraId="468A912B">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第二十四条</w:t>
      </w:r>
      <w:r>
        <w:rPr>
          <w:rFonts w:ascii="仿宋_GB2312" w:hAnsi="Times New Roman" w:eastAsia="仿宋_GB2312"/>
          <w:spacing w:val="-4"/>
          <w:sz w:val="32"/>
        </w:rPr>
        <w:t xml:space="preserve">  动用县级储备粮，由县发展和改革局会同县财政局提出动用方案，报县人民政府批准。动用方案应当包括动用县级储备粮的品种、数量、质量、价格、使用安排、运输及相关资金保障等内容。未经县人民政府批准，任何单位和个人不得动用县级储备粮。</w:t>
      </w:r>
    </w:p>
    <w:p w14:paraId="4CEFF84F">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第二十五条</w:t>
      </w:r>
      <w:r>
        <w:rPr>
          <w:rFonts w:ascii="仿宋_GB2312" w:hAnsi="Times New Roman" w:eastAsia="仿宋_GB2312"/>
          <w:spacing w:val="-4"/>
          <w:sz w:val="32"/>
        </w:rPr>
        <w:t xml:space="preserve">  当出现下列情况时，可以动用县级储备粮：</w:t>
      </w:r>
    </w:p>
    <w:p w14:paraId="2D15D8CD">
      <w:pPr>
        <w:wordWrap w:val="0"/>
        <w:topLinePunct/>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（一）全县或部分乡、镇、街道粮食明显供不应求或市场价格异常波动；</w:t>
      </w:r>
    </w:p>
    <w:p w14:paraId="3A2AEBBE">
      <w:pPr>
        <w:wordWrap w:val="0"/>
        <w:topLinePunct/>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（二）发生重大自然灾害或其他突发事件需要动用县级储备粮；</w:t>
      </w:r>
    </w:p>
    <w:p w14:paraId="1BA2A580">
      <w:pPr>
        <w:wordWrap w:val="0"/>
        <w:topLinePunct/>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（三）县人民政府认为需要动用县级储备粮的其他情形。</w:t>
      </w:r>
    </w:p>
    <w:p w14:paraId="49B3F24C">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第二十六条</w:t>
      </w:r>
      <w:r>
        <w:rPr>
          <w:rFonts w:ascii="仿宋_GB2312" w:hAnsi="Times New Roman" w:eastAsia="仿宋_GB2312"/>
          <w:spacing w:val="-4"/>
          <w:sz w:val="32"/>
        </w:rPr>
        <w:t xml:space="preserve">  县发展和改革局根据县人民政府批准的县级储备粮动用方案下达动用命令，由县承储单位组织实施。紧急情况下，县人民政府可以直接决定动用县级储备粮并下达动用命令。</w:t>
      </w:r>
    </w:p>
    <w:p w14:paraId="17631C70">
      <w:pPr>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县级储备粮被动用后，应当在12个月内完成等量补库。</w:t>
      </w:r>
    </w:p>
    <w:p w14:paraId="5046AB76">
      <w:pPr>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县人民政府有关部门和有关乡镇人民政府、街道办对县级储备粮动用命令的实施，应当给予积极支持、配合。</w:t>
      </w:r>
    </w:p>
    <w:p w14:paraId="422C9F3D">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第二十七条</w:t>
      </w:r>
      <w:r>
        <w:rPr>
          <w:rFonts w:ascii="仿宋_GB2312" w:hAnsi="Times New Roman" w:eastAsia="仿宋_GB2312"/>
          <w:spacing w:val="-4"/>
          <w:sz w:val="32"/>
        </w:rPr>
        <w:t xml:space="preserve">  任何单位和个人不得拒绝执行或擅自改变县级储备粮动用命令。</w:t>
      </w:r>
    </w:p>
    <w:p w14:paraId="140C2670">
      <w:pPr>
        <w:pStyle w:val="2"/>
        <w:rPr>
          <w:rFonts w:hint="default"/>
        </w:rPr>
      </w:pPr>
    </w:p>
    <w:p w14:paraId="44E5CB0A">
      <w:pPr>
        <w:spacing w:after="299" w:afterLines="50" w:line="560" w:lineRule="exact"/>
        <w:jc w:val="center"/>
        <w:rPr>
          <w:rFonts w:ascii="黑体" w:hAnsi="宋体" w:eastAsia="黑体"/>
          <w:spacing w:val="-4"/>
          <w:sz w:val="32"/>
        </w:rPr>
      </w:pPr>
      <w:r>
        <w:rPr>
          <w:rFonts w:ascii="黑体" w:hAnsi="宋体" w:eastAsia="黑体"/>
          <w:spacing w:val="-4"/>
          <w:sz w:val="32"/>
        </w:rPr>
        <w:t>第五章  财务与统计</w:t>
      </w:r>
    </w:p>
    <w:p w14:paraId="3EAB1D58">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第二十八条</w:t>
      </w:r>
      <w:r>
        <w:rPr>
          <w:rFonts w:ascii="仿宋_GB2312" w:hAnsi="Times New Roman" w:eastAsia="仿宋_GB2312"/>
          <w:spacing w:val="-4"/>
          <w:sz w:val="32"/>
        </w:rPr>
        <w:t xml:space="preserve">  县级储备粮管理费补贴实行财政全额负责的方式，采取竞价或政府定价方式轮换所需费用由县财政负责。</w:t>
      </w:r>
    </w:p>
    <w:p w14:paraId="45918339">
      <w:pPr>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管理费用补贴实行财政定额包干的方式，管理费用补贴的具体标准、补贴方式根据粮食市场行情、物价指数及本地费用成本水平等因素实行动态调整机制，由县发展和改革局会同县财政局提出意见，报县人民政府批准。</w:t>
      </w:r>
    </w:p>
    <w:p w14:paraId="68BE9B24">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 xml:space="preserve">第二十九条 </w:t>
      </w:r>
      <w:r>
        <w:rPr>
          <w:rFonts w:ascii="仿宋_GB2312" w:hAnsi="Times New Roman" w:eastAsia="仿宋_GB2312"/>
          <w:spacing w:val="-4"/>
          <w:sz w:val="32"/>
        </w:rPr>
        <w:t xml:space="preserve"> 县级储备粮贷款利息实行据实补贴。县财政局根据县农发行提供的计息清单按月据实拨付。</w:t>
      </w:r>
    </w:p>
    <w:p w14:paraId="7352A78A">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 xml:space="preserve">第三十条 </w:t>
      </w:r>
      <w:r>
        <w:rPr>
          <w:rFonts w:ascii="仿宋_GB2312" w:hAnsi="Times New Roman" w:eastAsia="仿宋_GB2312"/>
          <w:spacing w:val="-4"/>
          <w:sz w:val="32"/>
        </w:rPr>
        <w:t xml:space="preserve"> 县级储备粮实行贷款与粮食库存增减挂钩、专户管理、专款专用的封闭运行管理。提供贷款的机构应每季度向县发展和改革局、县财政局和县承储单位书面反馈贷款与库存值增减挂钩情况。</w:t>
      </w:r>
    </w:p>
    <w:p w14:paraId="44F255D0">
      <w:pPr>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县级储备粮使用贷款的，县承储单位应当在县农发行开立基本账户，并接受其信贷管理；未使用贷款的，县承储单位应当建立专户用于县级储备粮相关资金管理，并接受相应监管。</w:t>
      </w:r>
    </w:p>
    <w:p w14:paraId="7A4DBE88">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第三十一条</w:t>
      </w:r>
      <w:r>
        <w:rPr>
          <w:rFonts w:ascii="仿宋_GB2312" w:hAnsi="Times New Roman" w:eastAsia="仿宋_GB2312"/>
          <w:spacing w:val="-4"/>
          <w:sz w:val="32"/>
        </w:rPr>
        <w:t xml:space="preserve">  县承储单位不得以低价购进高价入账、高价售出低价入账、以旧粮顶替新粮、虚增入库成本等手段套取差价，骗取县级储备粮贷款和贷款利息、管理费用等财政补贴。</w:t>
      </w:r>
    </w:p>
    <w:p w14:paraId="139370C1">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第三十二条</w:t>
      </w:r>
      <w:r>
        <w:rPr>
          <w:rFonts w:ascii="仿宋_GB2312" w:hAnsi="Times New Roman" w:eastAsia="仿宋_GB2312"/>
          <w:spacing w:val="-4"/>
          <w:sz w:val="32"/>
        </w:rPr>
        <w:t xml:space="preserve">  建立县级储备粮损失、损耗处理制度，及时处理所发生的损失、损耗。</w:t>
      </w:r>
    </w:p>
    <w:p w14:paraId="1A594DA5">
      <w:pPr>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县级储备粮损失、损耗处理的具体由县发展和改革局会同县财政局制定具体办法。</w:t>
      </w:r>
    </w:p>
    <w:p w14:paraId="6F0468E3">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第三十三条</w:t>
      </w:r>
      <w:r>
        <w:rPr>
          <w:rFonts w:ascii="仿宋_GB2312" w:hAnsi="Times New Roman" w:eastAsia="仿宋_GB2312"/>
          <w:spacing w:val="-4"/>
          <w:sz w:val="32"/>
        </w:rPr>
        <w:t xml:space="preserve">  县承储单位应当建立健全县级储备粮台账制度，及时如实上报储备粮有关报表。县承储单位应当定期统计、分析县级储备粮的储存管理情况，并将情况报送县发展和改革局、县财政局及县农发行。</w:t>
      </w:r>
    </w:p>
    <w:p w14:paraId="1738C447">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第三十四条</w:t>
      </w:r>
      <w:r>
        <w:rPr>
          <w:rFonts w:ascii="仿宋_GB2312" w:hAnsi="Times New Roman" w:eastAsia="仿宋_GB2312"/>
          <w:spacing w:val="-4"/>
          <w:sz w:val="32"/>
        </w:rPr>
        <w:t xml:space="preserve">  任何单位和个人不得以任何方式骗取、挤占、截留、挪用县级储备粮贷款或贷款利息、管理费用等财政补贴。</w:t>
      </w:r>
    </w:p>
    <w:p w14:paraId="68A2F292">
      <w:pPr>
        <w:pStyle w:val="2"/>
        <w:rPr>
          <w:rFonts w:hint="default"/>
        </w:rPr>
      </w:pPr>
    </w:p>
    <w:p w14:paraId="77CE9C59">
      <w:pPr>
        <w:spacing w:after="299" w:afterLines="50" w:line="560" w:lineRule="exact"/>
        <w:jc w:val="center"/>
        <w:rPr>
          <w:rFonts w:ascii="黑体" w:hAnsi="宋体" w:eastAsia="黑体"/>
          <w:spacing w:val="-4"/>
          <w:sz w:val="32"/>
        </w:rPr>
      </w:pPr>
      <w:r>
        <w:rPr>
          <w:rFonts w:ascii="黑体" w:hAnsi="宋体" w:eastAsia="黑体"/>
          <w:spacing w:val="-4"/>
          <w:sz w:val="32"/>
        </w:rPr>
        <w:t>第六章  监督检查</w:t>
      </w:r>
    </w:p>
    <w:p w14:paraId="4C510A40">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第三十五条</w:t>
      </w:r>
      <w:r>
        <w:rPr>
          <w:rFonts w:ascii="仿宋_GB2312" w:hAnsi="Times New Roman" w:eastAsia="仿宋_GB2312"/>
          <w:spacing w:val="-4"/>
          <w:sz w:val="32"/>
        </w:rPr>
        <w:t xml:space="preserve">  县发展和改革局、县财政局按照各自职责，依法对县承储单位执行本办法及有关粮食法规的情况进行监督检查。在监督检查中可以行使下列职权：</w:t>
      </w:r>
    </w:p>
    <w:p w14:paraId="5C032645">
      <w:pPr>
        <w:wordWrap w:val="0"/>
        <w:topLinePunct/>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（一）检查县承储单位县级储备粮的数量、质量和储存安全情况；</w:t>
      </w:r>
    </w:p>
    <w:p w14:paraId="7FE009EB">
      <w:pPr>
        <w:wordWrap w:val="0"/>
        <w:topLinePunct/>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（二）了解县承储单位县级储备粮收储、销售、轮换计划及动用命令的执行情况；</w:t>
      </w:r>
    </w:p>
    <w:p w14:paraId="50E968F1">
      <w:pPr>
        <w:wordWrap w:val="0"/>
        <w:topLinePunct/>
        <w:adjustRightInd w:val="0"/>
        <w:snapToGrid w:val="0"/>
        <w:spacing w:line="560" w:lineRule="exact"/>
        <w:ind w:firstLine="624" w:firstLineChars="200"/>
        <w:rPr>
          <w:rFonts w:hint="default" w:ascii="仿宋_GB2312" w:hAnsi="Times New Roman" w:eastAsia="仿宋_GB2312"/>
          <w:spacing w:val="-4"/>
          <w:sz w:val="32"/>
        </w:rPr>
      </w:pPr>
      <w:r>
        <w:rPr>
          <w:rFonts w:ascii="仿宋_GB2312" w:hAnsi="Times New Roman" w:eastAsia="仿宋_GB2312"/>
          <w:spacing w:val="-4"/>
          <w:sz w:val="32"/>
        </w:rPr>
        <w:t>（三）调阅县级储备粮经营管理有关资料、凭证；</w:t>
      </w:r>
    </w:p>
    <w:p w14:paraId="256BC709">
      <w:pPr>
        <w:wordWrap w:val="0"/>
        <w:topLinePunct/>
        <w:adjustRightInd w:val="0"/>
        <w:snapToGrid w:val="0"/>
        <w:spacing w:line="560" w:lineRule="exact"/>
        <w:ind w:firstLine="624" w:firstLineChars="200"/>
        <w:rPr>
          <w:rFonts w:hint="default" w:ascii="仿宋_GB2312" w:eastAsia="仿宋_GB2312"/>
          <w:spacing w:val="-4"/>
          <w:sz w:val="32"/>
        </w:rPr>
      </w:pPr>
      <w:r>
        <w:rPr>
          <w:rFonts w:ascii="仿宋_GB2312" w:hAnsi="Times New Roman" w:eastAsia="仿宋_GB2312"/>
          <w:spacing w:val="-4"/>
          <w:sz w:val="32"/>
        </w:rPr>
        <w:t>（四）对违规行为依法作出相应处理。</w:t>
      </w:r>
    </w:p>
    <w:p w14:paraId="32BF63CF">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第三十六条</w:t>
      </w:r>
      <w:r>
        <w:rPr>
          <w:rFonts w:ascii="仿宋_GB2312" w:hAnsi="Times New Roman" w:eastAsia="仿宋_GB2312"/>
          <w:spacing w:val="-4"/>
          <w:sz w:val="32"/>
        </w:rPr>
        <w:t xml:space="preserve">  县发展和改革局、县财政局在监督检查中，发现县级储备粮数量、质量、储存安全等方面存在问题，应当责令县承储单位立即纠正或者处理；发现县承储单位不再具备承储条件的，县发展和改革局应当取消其承储资格。</w:t>
      </w:r>
    </w:p>
    <w:p w14:paraId="7364D73C">
      <w:pPr>
        <w:adjustRightInd w:val="0"/>
        <w:snapToGrid w:val="0"/>
        <w:spacing w:line="560" w:lineRule="exact"/>
        <w:ind w:firstLine="624" w:firstLineChars="200"/>
        <w:rPr>
          <w:rFonts w:hint="default" w:ascii="仿宋_GB2312" w:eastAsia="仿宋_GB2312"/>
          <w:spacing w:val="-4"/>
          <w:sz w:val="32"/>
        </w:rPr>
      </w:pPr>
      <w:r>
        <w:rPr>
          <w:rFonts w:ascii="仿宋_GB2312" w:hAnsi="Times New Roman" w:eastAsia="仿宋_GB2312"/>
          <w:spacing w:val="-4"/>
          <w:sz w:val="32"/>
        </w:rPr>
        <w:t>因承储资格被取消，存量储备粮由县发展和改革局调储或拍卖，销售收入用于偿还对应县农发行贷款，盈利缴存到粮食风险基金账户，亏损占用县农发行贷款本息的由县财政解决。</w:t>
      </w:r>
    </w:p>
    <w:p w14:paraId="7EA20D3B">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第三十七条</w:t>
      </w:r>
      <w:r>
        <w:rPr>
          <w:rFonts w:ascii="仿宋_GB2312" w:hAnsi="Times New Roman" w:eastAsia="仿宋_GB2312"/>
          <w:spacing w:val="-4"/>
          <w:sz w:val="32"/>
        </w:rPr>
        <w:t xml:space="preserve">  县发展和改革局、县财政局的监督检查人员应当将监督检查情况作出书面记录，并由监督检查人员和被检查单位负责人签字。被检查单位负责人拒绝签字的，监督检查人员应当将有关情况记录在案。</w:t>
      </w:r>
    </w:p>
    <w:p w14:paraId="29E29B21">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第三十八条</w:t>
      </w:r>
      <w:r>
        <w:rPr>
          <w:rFonts w:ascii="仿宋_GB2312" w:hAnsi="Times New Roman" w:eastAsia="仿宋_GB2312"/>
          <w:spacing w:val="-4"/>
          <w:sz w:val="32"/>
        </w:rPr>
        <w:t xml:space="preserve">  县级储备粮实行季度检查制度。县发展和改革局会同县财政局和县农发行组织开展县级储备粮普查，督促县承储单位落实储备计划，做好安全保管、仓储设施维修建设和执行有关制度，发现问题及时作出处理，并将情况报告县人民政府。</w:t>
      </w:r>
    </w:p>
    <w:p w14:paraId="64A23C6A">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第三十九条</w:t>
      </w:r>
      <w:r>
        <w:rPr>
          <w:rFonts w:ascii="仿宋_GB2312" w:hAnsi="Times New Roman" w:eastAsia="仿宋_GB2312"/>
          <w:spacing w:val="-4"/>
          <w:sz w:val="32"/>
        </w:rPr>
        <w:t xml:space="preserve">  县承储单位对县发展和改革局、县财政局的监督检查人员依法履行职责，应当给予配合。</w:t>
      </w:r>
    </w:p>
    <w:p w14:paraId="3EF4AD36">
      <w:pPr>
        <w:adjustRightInd w:val="0"/>
        <w:snapToGrid w:val="0"/>
        <w:spacing w:line="560" w:lineRule="exact"/>
        <w:ind w:firstLine="624" w:firstLineChars="200"/>
        <w:rPr>
          <w:rFonts w:hint="default" w:ascii="仿宋_GB2312" w:eastAsia="仿宋_GB2312"/>
          <w:spacing w:val="-4"/>
          <w:sz w:val="32"/>
        </w:rPr>
      </w:pPr>
      <w:r>
        <w:rPr>
          <w:rFonts w:ascii="仿宋_GB2312" w:hAnsi="Times New Roman" w:eastAsia="仿宋_GB2312"/>
          <w:spacing w:val="-4"/>
          <w:sz w:val="32"/>
        </w:rPr>
        <w:t>任何单位和个人不得拒绝、阻挠、干涉县发展和改革局、县财政局的监督检查人员依法履行监督检查职责。</w:t>
      </w:r>
    </w:p>
    <w:p w14:paraId="4BA5D060">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第四十条</w:t>
      </w:r>
      <w:r>
        <w:rPr>
          <w:rFonts w:ascii="仿宋_GB2312" w:hAnsi="Times New Roman" w:eastAsia="仿宋_GB2312"/>
          <w:spacing w:val="-4"/>
          <w:sz w:val="32"/>
        </w:rPr>
        <w:t xml:space="preserve">  县农发行应当按照资金封闭管理规定，加强对县级储备粮贷款的信贷监督。县承储单位对县农发行依法进行的信贷监管应当予以配合，并及时提供有关情况和资料。</w:t>
      </w:r>
      <w:bookmarkStart w:id="0" w:name="_GoBack"/>
      <w:bookmarkEnd w:id="0"/>
    </w:p>
    <w:p w14:paraId="21D3F3F9">
      <w:pPr>
        <w:pStyle w:val="2"/>
        <w:rPr>
          <w:rFonts w:hint="default"/>
        </w:rPr>
      </w:pPr>
    </w:p>
    <w:p w14:paraId="3337D1F6">
      <w:pPr>
        <w:adjustRightInd w:val="0"/>
        <w:snapToGrid w:val="0"/>
        <w:spacing w:line="560" w:lineRule="exact"/>
        <w:jc w:val="center"/>
        <w:rPr>
          <w:rFonts w:ascii="黑体" w:hAnsi="宋体" w:eastAsia="黑体"/>
          <w:spacing w:val="-4"/>
          <w:sz w:val="32"/>
        </w:rPr>
      </w:pPr>
      <w:r>
        <w:rPr>
          <w:rFonts w:ascii="黑体" w:hAnsi="宋体" w:eastAsia="黑体"/>
          <w:spacing w:val="-4"/>
          <w:sz w:val="32"/>
        </w:rPr>
        <w:t>第七章  法律责任</w:t>
      </w:r>
    </w:p>
    <w:p w14:paraId="7F7E9119">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第四十一条</w:t>
      </w:r>
      <w:r>
        <w:rPr>
          <w:rFonts w:ascii="仿宋_GB2312" w:hAnsi="Times New Roman" w:eastAsia="仿宋_GB2312"/>
          <w:spacing w:val="-4"/>
          <w:sz w:val="32"/>
        </w:rPr>
        <w:t xml:space="preserve">  国家机关和县农发行的工作人员违反本办法规定的，滥用职权、徇私舞弊或玩忽职守，尚不构成犯罪的依法给予降级直至开除的行政处分或纪律处分；构成犯罪的，依法追究刑事责任。</w:t>
      </w:r>
    </w:p>
    <w:p w14:paraId="359157E8">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第四十二条</w:t>
      </w:r>
      <w:r>
        <w:rPr>
          <w:rFonts w:ascii="仿宋_GB2312" w:hAnsi="Times New Roman" w:eastAsia="仿宋_GB2312"/>
          <w:spacing w:val="-4"/>
          <w:sz w:val="32"/>
        </w:rPr>
        <w:t xml:space="preserve">  本办法规定的对国家机关人员的行政处分，依照《公务员法》规定执行；对县承储单位、县农发行工作人员的纪律处分，依照国家和省、市、县有关规定执行。</w:t>
      </w:r>
    </w:p>
    <w:p w14:paraId="40761ACC">
      <w:pPr>
        <w:pStyle w:val="2"/>
        <w:rPr>
          <w:rFonts w:hint="default"/>
        </w:rPr>
      </w:pPr>
    </w:p>
    <w:p w14:paraId="23E62172">
      <w:pPr>
        <w:adjustRightInd w:val="0"/>
        <w:snapToGrid w:val="0"/>
        <w:spacing w:line="560" w:lineRule="exact"/>
        <w:jc w:val="center"/>
        <w:rPr>
          <w:rFonts w:ascii="黑体" w:hAnsi="宋体" w:eastAsia="黑体"/>
          <w:spacing w:val="-4"/>
          <w:sz w:val="32"/>
        </w:rPr>
      </w:pPr>
      <w:r>
        <w:rPr>
          <w:rFonts w:ascii="黑体" w:hAnsi="宋体" w:eastAsia="黑体"/>
          <w:spacing w:val="-4"/>
          <w:sz w:val="32"/>
        </w:rPr>
        <w:t>第八章  附  则</w:t>
      </w:r>
    </w:p>
    <w:p w14:paraId="4E9DD4CD">
      <w:pPr>
        <w:adjustRightInd w:val="0"/>
        <w:snapToGrid w:val="0"/>
        <w:spacing w:line="560" w:lineRule="exact"/>
        <w:ind w:firstLine="624" w:firstLineChars="200"/>
        <w:rPr>
          <w:rFonts w:hint="default" w:ascii="仿宋_GB2312" w:eastAsia="仿宋_GB2312"/>
          <w:spacing w:val="-4"/>
          <w:sz w:val="32"/>
        </w:rPr>
      </w:pPr>
      <w:r>
        <w:rPr>
          <w:rFonts w:ascii="黑体" w:hAnsi="宋体" w:eastAsia="黑体"/>
          <w:spacing w:val="-4"/>
          <w:sz w:val="32"/>
        </w:rPr>
        <w:t>第四十三条</w:t>
      </w:r>
      <w:r>
        <w:rPr>
          <w:rFonts w:ascii="仿宋_GB2312" w:hAnsi="Times New Roman" w:eastAsia="仿宋_GB2312"/>
          <w:spacing w:val="-4"/>
          <w:sz w:val="32"/>
        </w:rPr>
        <w:t xml:space="preserve">  本办法由徐闻县发展和改革局负责解释。</w:t>
      </w:r>
    </w:p>
    <w:p w14:paraId="17F993C4">
      <w:pPr>
        <w:adjustRightInd w:val="0"/>
        <w:snapToGrid w:val="0"/>
        <w:spacing w:line="560" w:lineRule="exact"/>
        <w:ind w:firstLine="624" w:firstLineChars="200"/>
        <w:rPr>
          <w:rFonts w:hint="default" w:ascii="仿宋_GB2312" w:hAnsi="Times New Roman" w:eastAsia="仿宋_GB2312"/>
          <w:spacing w:val="-4"/>
          <w:sz w:val="32"/>
        </w:rPr>
      </w:pPr>
      <w:r>
        <w:rPr>
          <w:rFonts w:ascii="黑体" w:hAnsi="宋体" w:eastAsia="黑体"/>
          <w:spacing w:val="-4"/>
          <w:sz w:val="32"/>
        </w:rPr>
        <w:t>第四十四条</w:t>
      </w:r>
      <w:r>
        <w:rPr>
          <w:rFonts w:ascii="仿宋_GB2312" w:hAnsi="Times New Roman" w:eastAsia="仿宋_GB2312"/>
          <w:spacing w:val="-4"/>
          <w:sz w:val="32"/>
        </w:rPr>
        <w:t xml:space="preserve">  本办法自</w:t>
      </w:r>
      <w:r>
        <w:rPr>
          <w:rFonts w:ascii="仿宋_GB2312" w:hAnsi="仿宋_GB2312" w:eastAsia="仿宋_GB2312" w:cs="仿宋_GB2312"/>
          <w:spacing w:val="-4"/>
          <w:sz w:val="32"/>
        </w:rPr>
        <w:t>印发之日</w:t>
      </w:r>
      <w:r>
        <w:rPr>
          <w:rFonts w:ascii="仿宋_GB2312" w:hAnsi="Times New Roman" w:eastAsia="仿宋_GB2312"/>
          <w:spacing w:val="-4"/>
          <w:sz w:val="32"/>
        </w:rPr>
        <w:t>起施行，有效期5年。2014年3月13日印发的《徐闻县县级储备粮管理办法》（徐府</w:t>
      </w:r>
      <w:r>
        <w:rPr>
          <w:rFonts w:ascii="仿宋" w:hAnsi="仿宋" w:eastAsia="仿宋" w:cs="仿宋"/>
          <w:sz w:val="32"/>
          <w:szCs w:val="32"/>
        </w:rPr>
        <w:t>〔2014〕</w:t>
      </w:r>
      <w:r>
        <w:rPr>
          <w:rFonts w:ascii="仿宋_GB2312" w:hAnsi="Times New Roman" w:eastAsia="仿宋_GB2312"/>
          <w:spacing w:val="-4"/>
          <w:sz w:val="32"/>
        </w:rPr>
        <w:t>43号）同时废止。</w:t>
      </w:r>
    </w:p>
    <w:p w14:paraId="5CA69121">
      <w:pPr>
        <w:adjustRightInd w:val="0"/>
        <w:snapToGrid w:val="0"/>
        <w:spacing w:line="560" w:lineRule="exact"/>
        <w:ind w:firstLine="624" w:firstLineChars="200"/>
        <w:rPr>
          <w:rFonts w:hint="default" w:ascii="仿宋_GB2312" w:hAnsi="Times New Roman" w:eastAsia="仿宋_GB2312"/>
          <w:spacing w:val="-4"/>
          <w:sz w:val="32"/>
        </w:rPr>
      </w:pPr>
    </w:p>
    <w:sectPr>
      <w:footerReference r:id="rId5" w:type="default"/>
      <w:footerReference r:id="rId6" w:type="even"/>
      <w:pgSz w:w="11905" w:h="16850"/>
      <w:pgMar w:top="1701" w:right="1559" w:bottom="1418" w:left="1559" w:header="1191" w:footer="992" w:gutter="0"/>
      <w:cols w:space="0" w:num="1"/>
      <w:docGrid w:type="lines" w:linePitch="59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小标宋">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13B25">
    <w:pPr>
      <w:pStyle w:val="4"/>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6438386"/>
    </w:sdtPr>
    <w:sdtEndPr>
      <w:rPr>
        <w:rFonts w:ascii="宋体" w:hAnsi="宋体"/>
        <w:sz w:val="28"/>
        <w:szCs w:val="44"/>
      </w:rPr>
    </w:sdtEndPr>
    <w:sdtContent>
      <w:p w14:paraId="24BE3825">
        <w:pPr>
          <w:pStyle w:val="4"/>
          <w:ind w:right="220" w:rightChars="50"/>
          <w:rPr>
            <w:rFonts w:ascii="宋体" w:hAnsi="宋体"/>
            <w:sz w:val="28"/>
            <w:szCs w:val="44"/>
          </w:rPr>
        </w:pPr>
        <w:r>
          <w:rPr>
            <w:rFonts w:ascii="宋体" w:hAnsi="宋体"/>
            <w:sz w:val="28"/>
            <w:szCs w:val="44"/>
          </w:rPr>
          <w:t xml:space="preserve">— </w:t>
        </w:r>
        <w:r>
          <w:rPr>
            <w:rFonts w:ascii="宋体" w:hAnsi="宋体"/>
            <w:sz w:val="28"/>
            <w:szCs w:val="44"/>
          </w:rPr>
          <w:fldChar w:fldCharType="begin"/>
        </w:r>
        <w:r>
          <w:rPr>
            <w:rFonts w:ascii="宋体" w:hAnsi="宋体"/>
            <w:sz w:val="28"/>
            <w:szCs w:val="44"/>
          </w:rPr>
          <w:instrText xml:space="preserve">PAGE   \* MERGEFORMAT</w:instrText>
        </w:r>
        <w:r>
          <w:rPr>
            <w:rFonts w:ascii="宋体" w:hAnsi="宋体"/>
            <w:sz w:val="28"/>
            <w:szCs w:val="44"/>
          </w:rPr>
          <w:fldChar w:fldCharType="separate"/>
        </w:r>
        <w:r>
          <w:rPr>
            <w:rFonts w:ascii="宋体" w:hAnsi="宋体"/>
            <w:sz w:val="28"/>
            <w:szCs w:val="44"/>
            <w:lang w:val="zh-CN"/>
          </w:rPr>
          <w:t>2</w:t>
        </w:r>
        <w:r>
          <w:rPr>
            <w:rFonts w:ascii="宋体" w:hAnsi="宋体"/>
            <w:sz w:val="28"/>
            <w:szCs w:val="44"/>
          </w:rPr>
          <w:fldChar w:fldCharType="end"/>
        </w:r>
        <w:r>
          <w:rPr>
            <w:rFonts w:ascii="宋体" w:hAnsi="宋体"/>
            <w:sz w:val="28"/>
            <w:szCs w:val="4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220"/>
  <w:drawingGridVerticalSpacing w:val="29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jZWEyNWUxMGJiOWFlYzNmZmRjNTE3MTk4OTY0YTcifQ=="/>
  </w:docVars>
  <w:rsids>
    <w:rsidRoot w:val="54F462C2"/>
    <w:rsid w:val="00001492"/>
    <w:rsid w:val="00001D1E"/>
    <w:rsid w:val="00011FB5"/>
    <w:rsid w:val="000269DE"/>
    <w:rsid w:val="0004341B"/>
    <w:rsid w:val="000636C7"/>
    <w:rsid w:val="00075D38"/>
    <w:rsid w:val="00080CE7"/>
    <w:rsid w:val="00082C07"/>
    <w:rsid w:val="000D08D9"/>
    <w:rsid w:val="000D6E92"/>
    <w:rsid w:val="000E01F5"/>
    <w:rsid w:val="000E5F04"/>
    <w:rsid w:val="000F3BE2"/>
    <w:rsid w:val="00100586"/>
    <w:rsid w:val="00127251"/>
    <w:rsid w:val="00154D0F"/>
    <w:rsid w:val="00176A0C"/>
    <w:rsid w:val="001A142E"/>
    <w:rsid w:val="001C39B6"/>
    <w:rsid w:val="001C5715"/>
    <w:rsid w:val="00212539"/>
    <w:rsid w:val="002219C8"/>
    <w:rsid w:val="0026434B"/>
    <w:rsid w:val="00273F4A"/>
    <w:rsid w:val="00281F16"/>
    <w:rsid w:val="00287374"/>
    <w:rsid w:val="002928AA"/>
    <w:rsid w:val="00293E55"/>
    <w:rsid w:val="002A38F8"/>
    <w:rsid w:val="002A66FD"/>
    <w:rsid w:val="002B0B35"/>
    <w:rsid w:val="002C5104"/>
    <w:rsid w:val="00312CC1"/>
    <w:rsid w:val="00331359"/>
    <w:rsid w:val="00332A30"/>
    <w:rsid w:val="003374BB"/>
    <w:rsid w:val="003467B9"/>
    <w:rsid w:val="00375712"/>
    <w:rsid w:val="00390DE7"/>
    <w:rsid w:val="00391CD2"/>
    <w:rsid w:val="003970B4"/>
    <w:rsid w:val="0039791D"/>
    <w:rsid w:val="003B1466"/>
    <w:rsid w:val="003B1770"/>
    <w:rsid w:val="003C22F6"/>
    <w:rsid w:val="003C42C4"/>
    <w:rsid w:val="003E516F"/>
    <w:rsid w:val="00407B21"/>
    <w:rsid w:val="00416031"/>
    <w:rsid w:val="00423842"/>
    <w:rsid w:val="004333D4"/>
    <w:rsid w:val="00450D8D"/>
    <w:rsid w:val="004522D8"/>
    <w:rsid w:val="00461820"/>
    <w:rsid w:val="0047255B"/>
    <w:rsid w:val="00484ABC"/>
    <w:rsid w:val="0049031A"/>
    <w:rsid w:val="00497927"/>
    <w:rsid w:val="004A42D3"/>
    <w:rsid w:val="004A583A"/>
    <w:rsid w:val="004A7306"/>
    <w:rsid w:val="004B5448"/>
    <w:rsid w:val="004C07FF"/>
    <w:rsid w:val="004D7B72"/>
    <w:rsid w:val="004F7783"/>
    <w:rsid w:val="00532572"/>
    <w:rsid w:val="00551BB4"/>
    <w:rsid w:val="005615EE"/>
    <w:rsid w:val="00564098"/>
    <w:rsid w:val="005704BF"/>
    <w:rsid w:val="005903A2"/>
    <w:rsid w:val="005921E6"/>
    <w:rsid w:val="005A0FFC"/>
    <w:rsid w:val="005B0885"/>
    <w:rsid w:val="005C32A8"/>
    <w:rsid w:val="005C4E43"/>
    <w:rsid w:val="005D0C59"/>
    <w:rsid w:val="005D40E4"/>
    <w:rsid w:val="005F4D68"/>
    <w:rsid w:val="006052BE"/>
    <w:rsid w:val="006219F1"/>
    <w:rsid w:val="00627B45"/>
    <w:rsid w:val="006300A1"/>
    <w:rsid w:val="00633576"/>
    <w:rsid w:val="0068125D"/>
    <w:rsid w:val="006855D5"/>
    <w:rsid w:val="006860F9"/>
    <w:rsid w:val="006A4814"/>
    <w:rsid w:val="006A5870"/>
    <w:rsid w:val="006E4882"/>
    <w:rsid w:val="006F043C"/>
    <w:rsid w:val="00720F9A"/>
    <w:rsid w:val="00742DE8"/>
    <w:rsid w:val="007511BE"/>
    <w:rsid w:val="00782E5F"/>
    <w:rsid w:val="00783C86"/>
    <w:rsid w:val="00795D80"/>
    <w:rsid w:val="007964CE"/>
    <w:rsid w:val="007A14A4"/>
    <w:rsid w:val="007B47C7"/>
    <w:rsid w:val="007B6321"/>
    <w:rsid w:val="007C7A53"/>
    <w:rsid w:val="007E04F6"/>
    <w:rsid w:val="008322E1"/>
    <w:rsid w:val="00841D98"/>
    <w:rsid w:val="00875068"/>
    <w:rsid w:val="0087511A"/>
    <w:rsid w:val="008A21F2"/>
    <w:rsid w:val="008A477B"/>
    <w:rsid w:val="008B1D63"/>
    <w:rsid w:val="008C2716"/>
    <w:rsid w:val="008E73C6"/>
    <w:rsid w:val="00900017"/>
    <w:rsid w:val="00904172"/>
    <w:rsid w:val="0092576E"/>
    <w:rsid w:val="00927B1C"/>
    <w:rsid w:val="00963D3B"/>
    <w:rsid w:val="0097057A"/>
    <w:rsid w:val="00976A50"/>
    <w:rsid w:val="009A6BD2"/>
    <w:rsid w:val="009A6E2C"/>
    <w:rsid w:val="009D10B7"/>
    <w:rsid w:val="009D39FA"/>
    <w:rsid w:val="009E14A9"/>
    <w:rsid w:val="00A12C96"/>
    <w:rsid w:val="00A23983"/>
    <w:rsid w:val="00A30723"/>
    <w:rsid w:val="00A5530D"/>
    <w:rsid w:val="00A60D06"/>
    <w:rsid w:val="00A93F10"/>
    <w:rsid w:val="00AA104B"/>
    <w:rsid w:val="00AB23F2"/>
    <w:rsid w:val="00AB6097"/>
    <w:rsid w:val="00AE7AC7"/>
    <w:rsid w:val="00B00B9A"/>
    <w:rsid w:val="00B03CCA"/>
    <w:rsid w:val="00B14EB7"/>
    <w:rsid w:val="00B1592B"/>
    <w:rsid w:val="00B213CE"/>
    <w:rsid w:val="00B51C4C"/>
    <w:rsid w:val="00B51EC6"/>
    <w:rsid w:val="00B8388D"/>
    <w:rsid w:val="00BA3882"/>
    <w:rsid w:val="00BB1514"/>
    <w:rsid w:val="00BB7715"/>
    <w:rsid w:val="00BE381A"/>
    <w:rsid w:val="00C0298B"/>
    <w:rsid w:val="00C17097"/>
    <w:rsid w:val="00C25978"/>
    <w:rsid w:val="00C36FAB"/>
    <w:rsid w:val="00C42AE5"/>
    <w:rsid w:val="00C451AF"/>
    <w:rsid w:val="00C62CDC"/>
    <w:rsid w:val="00C76889"/>
    <w:rsid w:val="00CA6BEB"/>
    <w:rsid w:val="00CD7168"/>
    <w:rsid w:val="00D14843"/>
    <w:rsid w:val="00D24C5C"/>
    <w:rsid w:val="00D26850"/>
    <w:rsid w:val="00D4046E"/>
    <w:rsid w:val="00D55009"/>
    <w:rsid w:val="00D65238"/>
    <w:rsid w:val="00D7402C"/>
    <w:rsid w:val="00D76840"/>
    <w:rsid w:val="00D77284"/>
    <w:rsid w:val="00D830FB"/>
    <w:rsid w:val="00DB01A7"/>
    <w:rsid w:val="00DC523A"/>
    <w:rsid w:val="00E07141"/>
    <w:rsid w:val="00E102BF"/>
    <w:rsid w:val="00E13B92"/>
    <w:rsid w:val="00E45661"/>
    <w:rsid w:val="00E54732"/>
    <w:rsid w:val="00E54F24"/>
    <w:rsid w:val="00E679E7"/>
    <w:rsid w:val="00E81963"/>
    <w:rsid w:val="00E944D6"/>
    <w:rsid w:val="00EC63D4"/>
    <w:rsid w:val="00EC656A"/>
    <w:rsid w:val="00EE20EA"/>
    <w:rsid w:val="00F42B77"/>
    <w:rsid w:val="00F83CB4"/>
    <w:rsid w:val="00F869B5"/>
    <w:rsid w:val="00F90794"/>
    <w:rsid w:val="00FA7664"/>
    <w:rsid w:val="00FA76A7"/>
    <w:rsid w:val="00FE03CC"/>
    <w:rsid w:val="00FE4093"/>
    <w:rsid w:val="00FE4E8C"/>
    <w:rsid w:val="00FE6DAE"/>
    <w:rsid w:val="00FF42C8"/>
    <w:rsid w:val="02A227A1"/>
    <w:rsid w:val="05A139AF"/>
    <w:rsid w:val="07E6534C"/>
    <w:rsid w:val="0A4F76B2"/>
    <w:rsid w:val="0C9B273A"/>
    <w:rsid w:val="0EDD34DE"/>
    <w:rsid w:val="10D03B34"/>
    <w:rsid w:val="11301FEB"/>
    <w:rsid w:val="19DD3AD1"/>
    <w:rsid w:val="1B4F7512"/>
    <w:rsid w:val="1BBE4697"/>
    <w:rsid w:val="1F354C71"/>
    <w:rsid w:val="214E5B76"/>
    <w:rsid w:val="23163203"/>
    <w:rsid w:val="24455956"/>
    <w:rsid w:val="27871DE1"/>
    <w:rsid w:val="2B593A95"/>
    <w:rsid w:val="2F1A79DF"/>
    <w:rsid w:val="31341CA9"/>
    <w:rsid w:val="3166515D"/>
    <w:rsid w:val="33105381"/>
    <w:rsid w:val="3A830B2E"/>
    <w:rsid w:val="3ECF4342"/>
    <w:rsid w:val="406A26F7"/>
    <w:rsid w:val="44956002"/>
    <w:rsid w:val="47677A7B"/>
    <w:rsid w:val="4C653BF0"/>
    <w:rsid w:val="54F462C2"/>
    <w:rsid w:val="55DA0E82"/>
    <w:rsid w:val="5FF7504F"/>
    <w:rsid w:val="610E7DCB"/>
    <w:rsid w:val="65BF0A18"/>
    <w:rsid w:val="66650F64"/>
    <w:rsid w:val="6B4C26F3"/>
    <w:rsid w:val="6EBF3280"/>
    <w:rsid w:val="6F282B2F"/>
    <w:rsid w:val="70BA3C5B"/>
    <w:rsid w:val="71E63451"/>
    <w:rsid w:val="73864413"/>
    <w:rsid w:val="777306F8"/>
    <w:rsid w:val="77DD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after="160" w:line="278" w:lineRule="auto"/>
      <w:jc w:val="both"/>
    </w:pPr>
    <w:rPr>
      <w:rFonts w:hint="eastAsia" w:ascii="Calibri" w:hAnsi="Calibri" w:eastAsia="方正小标宋简体" w:cs="Times New Roman"/>
      <w:kern w:val="2"/>
      <w:sz w:val="4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line="240" w:lineRule="atLeast"/>
    </w:pPr>
    <w:rPr>
      <w:rFonts w:eastAsia="小标宋"/>
    </w:rPr>
  </w:style>
  <w:style w:type="paragraph" w:styleId="3">
    <w:name w:val="annotation text"/>
    <w:basedOn w:val="1"/>
    <w:link w:val="13"/>
    <w:qFormat/>
    <w:uiPriority w:val="0"/>
    <w:pPr>
      <w:jc w:val="left"/>
    </w:pPr>
  </w:style>
  <w:style w:type="paragraph" w:styleId="4">
    <w:name w:val="footer"/>
    <w:basedOn w:val="1"/>
    <w:link w:val="11"/>
    <w:unhideWhenUsed/>
    <w:qFormat/>
    <w:uiPriority w:val="99"/>
    <w:pPr>
      <w:tabs>
        <w:tab w:val="center" w:pos="4153"/>
        <w:tab w:val="right" w:pos="8306"/>
      </w:tabs>
      <w:snapToGrid w:val="0"/>
      <w:jc w:val="left"/>
    </w:pPr>
    <w:rPr>
      <w:sz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annotation subject"/>
    <w:basedOn w:val="3"/>
    <w:next w:val="3"/>
    <w:link w:val="14"/>
    <w:qFormat/>
    <w:uiPriority w:val="0"/>
    <w:rPr>
      <w:b/>
      <w:bCs/>
    </w:rPr>
  </w:style>
  <w:style w:type="character" w:styleId="9">
    <w:name w:val="annotation reference"/>
    <w:basedOn w:val="8"/>
    <w:qFormat/>
    <w:uiPriority w:val="0"/>
    <w:rPr>
      <w:sz w:val="21"/>
      <w:szCs w:val="21"/>
    </w:rPr>
  </w:style>
  <w:style w:type="character" w:customStyle="1" w:styleId="10">
    <w:name w:val="页眉 字符"/>
    <w:basedOn w:val="8"/>
    <w:link w:val="5"/>
    <w:qFormat/>
    <w:uiPriority w:val="0"/>
    <w:rPr>
      <w:rFonts w:ascii="Calibri" w:hAnsi="Calibri" w:eastAsia="宋体" w:cs="Times New Roman"/>
      <w:kern w:val="2"/>
      <w:sz w:val="18"/>
      <w:szCs w:val="18"/>
    </w:rPr>
  </w:style>
  <w:style w:type="character" w:customStyle="1" w:styleId="11">
    <w:name w:val="页脚 字符"/>
    <w:basedOn w:val="8"/>
    <w:link w:val="4"/>
    <w:qFormat/>
    <w:uiPriority w:val="99"/>
    <w:rPr>
      <w:rFonts w:ascii="Calibri" w:hAnsi="Calibri" w:eastAsia="宋体" w:cs="Times New Roman"/>
      <w:kern w:val="2"/>
      <w:sz w:val="18"/>
      <w:szCs w:val="24"/>
    </w:rPr>
  </w:style>
  <w:style w:type="paragraph" w:customStyle="1" w:styleId="12">
    <w:name w:val="修订1"/>
    <w:hidden/>
    <w:unhideWhenUsed/>
    <w:qFormat/>
    <w:uiPriority w:val="99"/>
    <w:pPr>
      <w:spacing w:after="160" w:line="278" w:lineRule="auto"/>
    </w:pPr>
    <w:rPr>
      <w:rFonts w:hint="eastAsia" w:ascii="Calibri" w:hAnsi="Calibri" w:eastAsia="宋体" w:cs="Times New Roman"/>
      <w:kern w:val="2"/>
      <w:sz w:val="21"/>
      <w:szCs w:val="24"/>
      <w:lang w:val="en-US" w:eastAsia="zh-CN" w:bidi="ar-SA"/>
    </w:rPr>
  </w:style>
  <w:style w:type="character" w:customStyle="1" w:styleId="13">
    <w:name w:val="批注文字 字符"/>
    <w:basedOn w:val="8"/>
    <w:link w:val="3"/>
    <w:qFormat/>
    <w:uiPriority w:val="0"/>
    <w:rPr>
      <w:rFonts w:ascii="Calibri" w:hAnsi="Calibri" w:eastAsia="宋体" w:cs="Times New Roman"/>
      <w:kern w:val="2"/>
      <w:sz w:val="21"/>
      <w:szCs w:val="24"/>
    </w:rPr>
  </w:style>
  <w:style w:type="character" w:customStyle="1" w:styleId="14">
    <w:name w:val="批注主题 字符"/>
    <w:basedOn w:val="13"/>
    <w:link w:val="6"/>
    <w:qFormat/>
    <w:uiPriority w:val="0"/>
    <w:rPr>
      <w:rFonts w:ascii="Calibri" w:hAnsi="Calibri" w:eastAsia="宋体" w:cs="Times New Roman"/>
      <w:b/>
      <w:bCs/>
      <w:kern w:val="2"/>
      <w:sz w:val="21"/>
      <w:szCs w:val="24"/>
    </w:rPr>
  </w:style>
  <w:style w:type="paragraph" w:customStyle="1" w:styleId="15">
    <w:name w:val="Revision"/>
    <w:hidden/>
    <w:unhideWhenUsed/>
    <w:qFormat/>
    <w:uiPriority w:val="99"/>
    <w:pPr>
      <w:spacing w:after="0" w:line="240" w:lineRule="auto"/>
    </w:pPr>
    <w:rPr>
      <w:rFonts w:hint="eastAsia" w:ascii="Calibri" w:hAnsi="Calibri" w:eastAsia="方正小标宋简体" w:cs="Times New Roman"/>
      <w:kern w:val="2"/>
      <w:sz w:val="4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4681</Words>
  <Characters>4690</Characters>
  <Lines>110</Lines>
  <Paragraphs>78</Paragraphs>
  <TotalTime>283</TotalTime>
  <ScaleCrop>false</ScaleCrop>
  <LinksUpToDate>false</LinksUpToDate>
  <CharactersWithSpaces>4798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2026-04-15T09:44:00Z</dcterms:created>
  <dc:creator>黄文成</dc:creator>
  <cp:lastModifiedBy>如</cp:lastModifiedBy>
  <cp:lastPrinted>2026-05-06T17:45:00Z</cp:lastPrinted>
  <dcterms:modified xsi:type="dcterms:W3CDTF">2026-05-28T07:01:01Z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50BB48227B4642A78D2756423ADCDD95_13</vt:lpwstr>
  </property>
  <property fmtid="{D5CDD505-2E9C-101B-9397-08002B2CF9AE}" pid="4" name="KSOTemplateDocerSaveRecord">
    <vt:lpwstr>eyJoZGlkIjoiNTgzYzcxYTZhZjAwODhlOTlkOGE1OTgwNDJlNzZjMDYiLCJ1c2VySWQiOiIzMzgyODE4MzIifQ==</vt:lpwstr>
  </property>
</Properties>
</file>