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徐闻县水务局（本级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徐闻县水务局（本级）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27.1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27.1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2026年本部门财政拨款安排“三公”经费1.4万元，比上年减 少5.6万元，下降80%，主要原因是节约成本减少开支。其中：因 公出国（境）费0万元，比上年增加0万元，增长0%，主要原因是 与上年持平，无增减变化；公务用车购置及运行维护费1.4万元 （公务用车购置费0万元，比上年增加0万元；公务用车运行维护 费1.4万元，比上年减少1.6万元。）比上年减少1.6万元，下降 53.3%，主要原因是节约成本减少开支；公务接待费0万元，比上 年减少4万元，下降100%，主要原因是节约成本减少开支。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7EF748-BDA1-423A-96B2-275451A80E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771690F-E744-4C98-AD31-4B8D3F41BF0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6947B2-DFB4-4F36-838F-75758CE2E6C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A0F612-6E9F-4063-81FC-6DF84B3AB1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6D63AED-1054-4A29-AD5D-3EC5C08CE7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E80A566-D328-496E-BBC3-B85AC6E468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7102423"/>
    <w:rsid w:val="09B557D5"/>
    <w:rsid w:val="0B31421E"/>
    <w:rsid w:val="1569112A"/>
    <w:rsid w:val="20F705E0"/>
    <w:rsid w:val="25E92311"/>
    <w:rsid w:val="45493747"/>
    <w:rsid w:val="458B048E"/>
    <w:rsid w:val="55257E9B"/>
    <w:rsid w:val="6B934162"/>
    <w:rsid w:val="789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542</Characters>
  <Lines>0</Lines>
  <Paragraphs>0</Paragraphs>
  <TotalTime>0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2026-04-24T03:52:12Z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6073BF5A88754A9CA685FDEA3B3E537E_13</vt:lpwstr>
  </property>
  <property fmtid="{D5CDD505-2E9C-101B-9397-08002B2CF9AE}" pid="4" name="KSOTemplateDocerSaveRecord">
    <vt:lpwstr>eyJoZGlkIjoiNGJmYTM1M2I0MmU1NmM2MmQyOTAyMzg3YjBhMzUzMWIiLCJ1c2VySWQiOiI0MTAyMjgzOTcifQ==</vt:lpwstr>
  </property>
</Properties>
</file>