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徐闻县下桥镇财政所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徐闻县下桥镇财政所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6167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p w14:paraId="30255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p w14:paraId="3BD41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万元，比上年增加/减少0万元，增长/下降0%，主要原因增减变化）。是0（或：与上年持平，无增减变化）；公务用车购置及运行维护费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万元，比上年增加/减少0万元。）比上年增加/减少0万元，增长/下降0%，主要原因是0（或：与上年持平，无增减变化）；公务接待费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（或：与上年持平，无增减变化）。</w:t>
      </w:r>
    </w:p>
    <w:p w14:paraId="31C3B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1CA25B1"/>
    <w:rsid w:val="497F36D8"/>
    <w:rsid w:val="5EE15555"/>
    <w:rsid w:val="60F94726"/>
    <w:rsid w:val="6B934162"/>
    <w:rsid w:val="797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607</Characters>
  <Lines>0</Lines>
  <Paragraphs>0</Paragraphs>
  <TotalTime>2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黄斌</cp:lastModifiedBy>
  <dcterms:modified xsi:type="dcterms:W3CDTF">2026-04-16T03:27:40Z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63CADF211A6D4AC497CD2A2DE993C736_13</vt:lpwstr>
  </property>
  <property fmtid="{D5CDD505-2E9C-101B-9397-08002B2CF9AE}" pid="4" name="KSOTemplateDocerSaveRecord">
    <vt:lpwstr>eyJoZGlkIjoiMjIzNjk2MjIzNDJiNWMyYjNhYTlkYjM2MGJjNWMyMjEiLCJ1c2VySWQiOiI2NTY3NTczNzUifQ==</vt:lpwstr>
  </property>
</Properties>
</file>