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2026年徐闻县迈陈第二中学“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徐闻县迈陈第二中学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  <w:bookmarkStart w:id="1" w:name="_GoBack"/>
            <w:bookmarkEnd w:id="1"/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A3648C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704B4307"/>
    <w:rsid w:val="731528AC"/>
    <w:rsid w:val="7BBA3165"/>
    <w:rsid w:val="7E4F6C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1</TotalTime>
  <ScaleCrop>false</ScaleCrop>
  <LinksUpToDate>false</LinksUpToDate>
  <CharactersWithSpaces>684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Administrator</cp:lastModifiedBy>
  <dcterms:modified xsi:type="dcterms:W3CDTF">2026-04-23T11:54:16Z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09FFE630B9644ABC995FCFD9FEC9B73A_13</vt:lpwstr>
  </property>
  <property fmtid="{D5CDD505-2E9C-101B-9397-08002B2CF9AE}" pid="4" name="KSOTemplateDocerSaveRecord">
    <vt:lpwstr>eyJoZGlkIjoiMjEyODQ5ZDljOGIwZTMxODAyYzg3MWQ0YzMzZmFlNjUiLCJ1c2VySWQiOiIxMTk5MjQ3NjQwIn0=</vt:lpwstr>
  </property>
</Properties>
</file>