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徐闻县医疗保障局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2"/>
        <w:tblW w:w="13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6"/>
        <w:gridCol w:w="1917"/>
        <w:gridCol w:w="1917"/>
        <w:gridCol w:w="1751"/>
        <w:gridCol w:w="1758"/>
      </w:tblGrid>
      <w:tr w14:paraId="268E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D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单位名称：116001徐闻县医疗保障局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5E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7C3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 w14:paraId="345D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E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0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8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2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0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1,618,550.08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6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1,618,550.08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52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3F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3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C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8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8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F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F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A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2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2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5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F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0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5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C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3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1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D4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0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6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A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E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3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7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C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4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68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2"/>
          <w:sz w:val="32"/>
          <w:szCs w:val="32"/>
          <w:shd w:val="clear" w:fill="FFFFFF"/>
        </w:rPr>
        <w:t>2026年本部门财政拨款安排“三公”经费2.4万元，比上年增加0万元，增长0%，主要原因是本单位没有三公经费支出。其中：因公出国（境）费0万元，比上年增加0万元，增长0%，主要原因是无因公出国费用；公务用车购置及运行维护费1.4万元（公务用车购置费0万元，比上年增加0万元；公务用车运行维护费1.4万元，比上年增加0万元。）比上年增加0万元，增长0%，主要原因是本单位无公务车；公务接待费1万元，比上年增加0万元，增长0%，主要原因是本单位无公务接待费支出。</w:t>
      </w:r>
    </w:p>
    <w:bookmarkEnd w:id="0"/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BE7641F"/>
    <w:rsid w:val="65900423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502</Characters>
  <Lines>0</Lines>
  <Paragraphs>0</Paragraphs>
  <TotalTime>6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1119100678</cp:lastModifiedBy>
  <dcterms:modified xsi:type="dcterms:W3CDTF">2026-04-20T01:01:08Z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106482F7619D4DFDA4CC5811A4CBA81F_13</vt:lpwstr>
  </property>
  <property fmtid="{D5CDD505-2E9C-101B-9397-08002B2CF9AE}" pid="4" name="KSOTemplateDocerSaveRecord">
    <vt:lpwstr>eyJoZGlkIjoiNDg2OWNiNjM4NGRhOGRlZTFkNDEyOGYwOThiMzZlNzYiLCJ1c2VySWQiOiIyNDgwODI0NjYifQ==</vt:lpwstr>
  </property>
</Properties>
</file>