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徐闻县退役军人事务局（本级）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徐闻县退役军人事务局（本级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13.4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13.4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4.4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4.4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167E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5.8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4.4万元，比上年增加0万元，增长0%，主要原因是与上年持平，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A21319A"/>
    <w:rsid w:val="11A671F8"/>
    <w:rsid w:val="1569112A"/>
    <w:rsid w:val="6B934162"/>
    <w:rsid w:val="76B3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535</Characters>
  <Lines>0</Lines>
  <Paragraphs>0</Paragraphs>
  <TotalTime>2</TotalTime>
  <ScaleCrop>false</ScaleCrop>
  <LinksUpToDate>false</LinksUpToDate>
  <CharactersWithSpaces>610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电池售罄</cp:lastModifiedBy>
  <dcterms:modified xsi:type="dcterms:W3CDTF">2026-04-20T09:53:02Z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D9F11015C0D84ECAB476CF286A9EB7A3_13</vt:lpwstr>
  </property>
  <property fmtid="{D5CDD505-2E9C-101B-9397-08002B2CF9AE}" pid="4" name="KSOTemplateDocerSaveRecord">
    <vt:lpwstr>eyJoZGlkIjoiZjU3OTYzZmVhMGUyNDliYjZhYzk1OTNlOTRkNzIyODYiLCJ1c2VySWQiOiIxNzYyMzU2MTU4In0=</vt:lpwstr>
  </property>
</Properties>
</file>