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徐闻县曲界中学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徐闻县曲界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47D21D-ED8C-4271-B0BA-B9A92D825F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DE84C3-966F-4747-B302-4E6E88FF45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456D3C-4EA5-4FC9-993F-DDC09AB2956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C2E46E5-ED34-4A8E-A26B-62917D5CBD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40A9430-C498-4E1C-B57C-B46211C218B6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3B04A0D"/>
    <w:rsid w:val="1569112A"/>
    <w:rsid w:val="21913B9D"/>
    <w:rsid w:val="5332136F"/>
    <w:rsid w:val="6B934162"/>
    <w:rsid w:val="795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6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2026-04-22T01:05:04Z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F18C2BA37261485CABD6B9A0640D7D88_13</vt:lpwstr>
  </property>
  <property fmtid="{D5CDD505-2E9C-101B-9397-08002B2CF9AE}" pid="4" name="KSOTemplateDocerSaveRecord">
    <vt:lpwstr>eyJoZGlkIjoiNjQ1NGU5YzY4NjBlZmM5NDUyODE0NTU1Y2ZiMjlmYjAifQ==</vt:lpwstr>
  </property>
</Properties>
</file>