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徐闻县迈陈镇中心小学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徐闻县迈陈镇中心小学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8629DC-2CC3-4938-9D9D-5D6138BED6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E8C49EB-09E7-4B94-9535-332C0F590B1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B3BFA91-4557-4BEC-9728-820C15C81A41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107C88A-4687-4CAC-AAF2-992BF8F2B9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62C3C76-DAC0-46DD-81FF-4AA89027C919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1913B9D"/>
    <w:rsid w:val="254D7B47"/>
    <w:rsid w:val="5332136F"/>
    <w:rsid w:val="64C32978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539</Characters>
  <Lines>0</Lines>
  <Paragraphs>0</Paragraphs>
  <TotalTime>4</TotalTime>
  <ScaleCrop>false</ScaleCrop>
  <LinksUpToDate>false</LinksUpToDate>
  <CharactersWithSpaces>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HL</cp:lastModifiedBy>
  <dcterms:modified xsi:type="dcterms:W3CDTF">2026-04-22T01:04:12Z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9D2227221AA44157AC4AFFF26CF9F710_13</vt:lpwstr>
  </property>
  <property fmtid="{D5CDD505-2E9C-101B-9397-08002B2CF9AE}" pid="4" name="KSOTemplateDocerSaveRecord">
    <vt:lpwstr>eyJoZGlkIjoiODE5OGQyMDM2NDkyYTNhZWMyYjEzZmNkMjcwMmI3MjIifQ==</vt:lpwstr>
  </property>
</Properties>
</file>