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环境卫生管理站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bookmarkStart w:id="1" w:name="_GoBack"/>
      <w:bookmarkEnd w:id="1"/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徐闻县环境卫生管理站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3.90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3.90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2.50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 xml:space="preserve">                  2.50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7F57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2026年本部门财政拨款安排“三公”经费3.9万元，比上年减少1.6万元，下降29.1%，主要原因是减少各项经费的支出。其中：因公出国（境）费0万元，比上年增加0万元，增长0%，主要原因是与上年持平，无增减变化；公务用车购置及运行维护费1.4万元（公务用车购置费0万元，比上年增加0万元；公务用车运行维护费1.4万元，比上年减少1.6万元。）比上年减少1.6万元，下降53.3%，主要原因是本年度车辆维修、保养比上年度减少；公务接待费2.5万元，比上年增加0万元，增长0%，主要原因是与上年持平，无增减变化。</w:t>
      </w:r>
    </w:p>
    <w:p w14:paraId="5A98B35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7E247EA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571971EF">
      <w:pPr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highlight w:val="yellow"/>
          <w:shd w:val="clear" w:fill="FFFFFF"/>
          <w:lang w:val="en-US" w:eastAsia="zh-CN"/>
        </w:rPr>
      </w:pPr>
    </w:p>
    <w:p w14:paraId="6167EE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1569112A"/>
    <w:rsid w:val="41E00343"/>
    <w:rsid w:val="4C7969EB"/>
    <w:rsid w:val="5F42212D"/>
    <w:rsid w:val="6A180207"/>
    <w:rsid w:val="6B934162"/>
    <w:rsid w:val="6BBF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585</Words>
  <Characters>711</Characters>
  <Lines>0</Lines>
  <Paragraphs>0</Paragraphs>
  <TotalTime>14</TotalTime>
  <ScaleCrop>false</ScaleCrop>
  <LinksUpToDate>false</LinksUpToDate>
  <CharactersWithSpaces>787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阿权</cp:lastModifiedBy>
  <dcterms:modified xsi:type="dcterms:W3CDTF">2026-04-17T02:08:04Z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097C3853242C402CBFEA36678B7C8F8A_11</vt:lpwstr>
  </property>
  <property fmtid="{D5CDD505-2E9C-101B-9397-08002B2CF9AE}" pid="4" name="KSOTemplateDocerSaveRecord">
    <vt:lpwstr>eyJoZGlkIjoiYmZmMDQyYmJmOGI1MzIyZDkzNTE2YmM3NTNjNGZlZWQiLCJ1c2VySWQiOiI1OTgxMDU4NTAifQ==</vt:lpwstr>
  </property>
</Properties>
</file>