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徐闻县城市建设和市容管理中队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徐闻县城市建设和市容管理中队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16773D8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2026年本部门财政拨款安排“三公”经费1万元，比上年增加 0万元，增长0%，主要原因是与上年持平，无增减变化。其中：因 公出国（境）费0万元，比上年增加0万元，增长0%，主要原因是 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1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C8673E2"/>
    <w:rsid w:val="1569112A"/>
    <w:rsid w:val="41C10220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547</Characters>
  <Lines>0</Lines>
  <Paragraphs>0</Paragraphs>
  <TotalTime>1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石星</cp:lastModifiedBy>
  <dcterms:modified xsi:type="dcterms:W3CDTF">2026-04-20T07:15:01Z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8157958976234383B45EBBCFB0CAC7A3_13</vt:lpwstr>
  </property>
  <property fmtid="{D5CDD505-2E9C-101B-9397-08002B2CF9AE}" pid="4" name="KSOTemplateDocerSaveRecord">
    <vt:lpwstr>eyJoZGlkIjoiNmZjNmJkNmVhNGVkMmE2ZTU3NzFmZjdjZWRhOTU3YzMiLCJ1c2VySWQiOiIxNTUzMzcxMTQzIn0=</vt:lpwstr>
  </property>
</Properties>
</file>