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hint="eastAsia" w:ascii="方正小标宋_GBK" w:eastAsia="方正小标宋_GBK"/>
          <w:sz w:val="44"/>
          <w:szCs w:val="44"/>
        </w:rPr>
      </w:pPr>
    </w:p>
    <w:p>
      <w:pPr>
        <w:spacing w:line="620" w:lineRule="exact"/>
        <w:jc w:val="center"/>
        <w:rPr>
          <w:rFonts w:hint="eastAsia" w:ascii="方正小标宋_GBK" w:eastAsia="方正小标宋_GBK"/>
          <w:sz w:val="44"/>
          <w:szCs w:val="44"/>
        </w:rPr>
      </w:pPr>
      <w:r>
        <w:rPr>
          <w:rFonts w:hint="eastAsia" w:ascii="方正小标宋_GBK" w:eastAsia="方正小标宋_GBK"/>
          <w:sz w:val="44"/>
          <w:szCs w:val="44"/>
        </w:rPr>
        <w:t>项目支出绩效自评报告</w:t>
      </w:r>
    </w:p>
    <w:p>
      <w:pPr>
        <w:spacing w:line="620" w:lineRule="exact"/>
        <w:jc w:val="center"/>
        <w:rPr>
          <w:rFonts w:hint="eastAsia" w:ascii="仿宋_GB2312" w:eastAsia="仿宋_GB2312"/>
          <w:sz w:val="30"/>
        </w:rPr>
      </w:pPr>
      <w:r>
        <w:rPr>
          <w:rFonts w:hint="eastAsia" w:ascii="仿宋_GB2312" w:eastAsia="仿宋_GB2312"/>
          <w:sz w:val="30"/>
        </w:rPr>
        <w:t>（参考格式）</w:t>
      </w: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2"/>
          <w:szCs w:val="32"/>
        </w:rPr>
      </w:pPr>
    </w:p>
    <w:p>
      <w:pPr>
        <w:spacing w:line="620" w:lineRule="exact"/>
        <w:rPr>
          <w:rFonts w:hint="eastAsia" w:ascii="仿宋_GB2312" w:eastAsia="仿宋_GB2312"/>
          <w:sz w:val="32"/>
          <w:szCs w:val="32"/>
        </w:rPr>
      </w:pPr>
    </w:p>
    <w:p>
      <w:pPr>
        <w:spacing w:line="620" w:lineRule="exact"/>
        <w:rPr>
          <w:rFonts w:hint="eastAsia" w:ascii="仿宋_GB2312" w:eastAsia="仿宋_GB2312"/>
          <w:sz w:val="32"/>
          <w:szCs w:val="32"/>
        </w:rPr>
      </w:pPr>
    </w:p>
    <w:p>
      <w:pPr>
        <w:spacing w:line="620" w:lineRule="exact"/>
        <w:rPr>
          <w:rFonts w:hint="eastAsia" w:ascii="仿宋_GB2312" w:eastAsia="仿宋_GB2312"/>
          <w:sz w:val="32"/>
          <w:szCs w:val="32"/>
        </w:rPr>
      </w:pPr>
    </w:p>
    <w:p>
      <w:pPr>
        <w:spacing w:line="620" w:lineRule="exact"/>
        <w:ind w:firstLine="960" w:firstLineChars="300"/>
        <w:jc w:val="both"/>
        <w:rPr>
          <w:rFonts w:hint="default" w:ascii="仿宋_GB2312" w:eastAsia="仿宋_GB2312"/>
          <w:sz w:val="32"/>
          <w:szCs w:val="32"/>
          <w:lang w:val="en-US" w:eastAsia="zh-CN"/>
        </w:rPr>
      </w:pPr>
      <w:r>
        <w:rPr>
          <w:rFonts w:hint="eastAsia" w:ascii="仿宋_GB2312" w:eastAsia="仿宋_GB2312"/>
          <w:sz w:val="32"/>
          <w:szCs w:val="32"/>
        </w:rPr>
        <w:t>项目名称：城乡居民基本医疗保险</w:t>
      </w:r>
    </w:p>
    <w:p>
      <w:pPr>
        <w:spacing w:line="620" w:lineRule="exact"/>
        <w:ind w:firstLine="960" w:firstLineChars="300"/>
        <w:rPr>
          <w:rFonts w:hint="default" w:ascii="仿宋_GB2312" w:eastAsia="仿宋_GB2312"/>
          <w:sz w:val="32"/>
          <w:szCs w:val="32"/>
          <w:lang w:val="en-US" w:eastAsia="zh-CN"/>
        </w:rPr>
      </w:pPr>
      <w:r>
        <w:rPr>
          <w:rFonts w:hint="eastAsia" w:ascii="仿宋_GB2312" w:eastAsia="仿宋_GB2312"/>
          <w:sz w:val="32"/>
          <w:szCs w:val="32"/>
        </w:rPr>
        <w:t>评价年度：</w:t>
      </w:r>
      <w:r>
        <w:rPr>
          <w:rFonts w:hint="eastAsia" w:ascii="仿宋_GB2312" w:eastAsia="仿宋_GB2312"/>
          <w:sz w:val="32"/>
          <w:szCs w:val="32"/>
          <w:lang w:val="en-US" w:eastAsia="zh-CN"/>
        </w:rPr>
        <w:t>2024年</w:t>
      </w:r>
    </w:p>
    <w:p>
      <w:pPr>
        <w:spacing w:line="620" w:lineRule="exact"/>
        <w:ind w:firstLine="960" w:firstLineChars="300"/>
        <w:rPr>
          <w:rFonts w:hint="default" w:ascii="仿宋_GB2312" w:eastAsia="仿宋_GB2312"/>
          <w:sz w:val="32"/>
          <w:szCs w:val="32"/>
          <w:lang w:val="en-US" w:eastAsia="zh-CN"/>
        </w:rPr>
      </w:pPr>
      <w:r>
        <w:rPr>
          <w:rFonts w:hint="eastAsia" w:ascii="仿宋_GB2312" w:eastAsia="仿宋_GB2312"/>
          <w:sz w:val="32"/>
          <w:szCs w:val="32"/>
          <w:lang w:val="en-US" w:eastAsia="zh-CN"/>
        </w:rPr>
        <w:t>评价单位</w:t>
      </w:r>
      <w:r>
        <w:rPr>
          <w:rFonts w:hint="eastAsia" w:ascii="仿宋_GB2312" w:eastAsia="仿宋_GB2312"/>
          <w:sz w:val="32"/>
          <w:szCs w:val="32"/>
        </w:rPr>
        <w:t>（公章）：</w:t>
      </w:r>
      <w:r>
        <w:rPr>
          <w:rFonts w:hint="eastAsia" w:ascii="仿宋_GB2312" w:eastAsia="仿宋_GB2312"/>
          <w:sz w:val="32"/>
          <w:szCs w:val="32"/>
          <w:lang w:val="en-US" w:eastAsia="zh-CN"/>
        </w:rPr>
        <w:t>徐闻县医疗保障局</w:t>
      </w:r>
    </w:p>
    <w:p>
      <w:pPr>
        <w:spacing w:line="620" w:lineRule="exact"/>
        <w:ind w:firstLine="960" w:firstLineChars="300"/>
        <w:rPr>
          <w:rFonts w:hint="default" w:ascii="仿宋_GB2312" w:eastAsia="仿宋_GB2312"/>
          <w:sz w:val="32"/>
          <w:szCs w:val="32"/>
          <w:lang w:val="en-US" w:eastAsia="zh-CN"/>
        </w:rPr>
      </w:pPr>
      <w:r>
        <w:rPr>
          <w:rFonts w:hint="eastAsia" w:ascii="仿宋_GB2312" w:eastAsia="仿宋_GB2312"/>
          <w:sz w:val="32"/>
          <w:szCs w:val="32"/>
        </w:rPr>
        <w:t>填报日期：</w:t>
      </w:r>
      <w:r>
        <w:rPr>
          <w:rFonts w:hint="eastAsia" w:ascii="仿宋_GB2312" w:eastAsia="仿宋_GB2312"/>
          <w:sz w:val="32"/>
          <w:szCs w:val="32"/>
          <w:lang w:val="en-US" w:eastAsia="zh-CN"/>
        </w:rPr>
        <w:t>2025年10月28日</w:t>
      </w:r>
    </w:p>
    <w:p>
      <w:pPr>
        <w:spacing w:line="620" w:lineRule="exact"/>
        <w:rPr>
          <w:rFonts w:hint="eastAsia" w:ascii="仿宋_GB2312" w:eastAsia="仿宋_GB2312"/>
          <w:sz w:val="32"/>
          <w:szCs w:val="32"/>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一、基本情况</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（一）项目概况。</w:t>
      </w:r>
    </w:p>
    <w:p>
      <w:pPr>
        <w:spacing w:line="600" w:lineRule="exact"/>
        <w:ind w:firstLine="600"/>
        <w:rPr>
          <w:rFonts w:hint="default" w:ascii="仿宋_GB2312" w:hAnsi="仿宋_GB2312" w:eastAsia="仿宋_GB2312"/>
          <w:kern w:val="1"/>
          <w:sz w:val="32"/>
          <w:szCs w:val="32"/>
          <w:lang w:val="en-US" w:eastAsia="zh-CN"/>
        </w:rPr>
      </w:pPr>
      <w:r>
        <w:rPr>
          <w:rFonts w:hint="eastAsia" w:ascii="仿宋_GB2312" w:hAnsi="仿宋_GB2312" w:eastAsia="仿宋_GB2312"/>
          <w:kern w:val="1"/>
          <w:sz w:val="32"/>
          <w:szCs w:val="32"/>
          <w:lang w:val="en-US" w:eastAsia="zh-CN"/>
        </w:rPr>
        <w:t xml:space="preserve"> 2024年城乡居民医保财政补助每人每年670元，徐闻县财政局承担7.5%，即徐闻县财政局补助每人每年50.25元，2024年徐闻县预居民参保任务人数是53.9万人，总金额是2708.47万元.</w:t>
      </w:r>
    </w:p>
    <w:p>
      <w:pPr>
        <w:numPr>
          <w:ilvl w:val="0"/>
          <w:numId w:val="1"/>
        </w:num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评价年度项目绩效目标设定情况。</w:t>
      </w:r>
    </w:p>
    <w:p>
      <w:pPr>
        <w:numPr>
          <w:ilvl w:val="0"/>
          <w:numId w:val="0"/>
        </w:numPr>
        <w:spacing w:line="600" w:lineRule="exact"/>
        <w:rPr>
          <w:rFonts w:hint="eastAsia" w:ascii="宋体" w:hAnsi="宋体" w:eastAsia="宋体" w:cs="宋体"/>
          <w:kern w:val="1"/>
          <w:sz w:val="28"/>
          <w:szCs w:val="28"/>
          <w:lang w:val="en-US" w:eastAsia="zh-CN"/>
        </w:rPr>
      </w:pPr>
      <w:r>
        <w:rPr>
          <w:rFonts w:hint="eastAsia" w:ascii="仿宋_GB2312" w:hAnsi="仿宋_GB2312" w:eastAsia="仿宋_GB2312"/>
          <w:kern w:val="1"/>
          <w:sz w:val="32"/>
          <w:szCs w:val="32"/>
          <w:lang w:val="en-US" w:eastAsia="zh-CN"/>
        </w:rPr>
        <w:t xml:space="preserve">    完善统一的城乡居民基本医疗保险制度，全面做好县统筹管理。落实城乡居民医保筹资政策，稳步提高参保人员待遇水平，有效减轻参保人员医疗费负担。</w:t>
      </w:r>
    </w:p>
    <w:p>
      <w:pPr>
        <w:numPr>
          <w:ilvl w:val="0"/>
          <w:numId w:val="0"/>
        </w:numPr>
        <w:spacing w:line="600" w:lineRule="exact"/>
        <w:ind w:firstLine="960" w:firstLineChars="300"/>
        <w:rPr>
          <w:rFonts w:hint="eastAsia" w:ascii="仿宋_GB2312" w:hAnsi="仿宋_GB2312" w:eastAsia="仿宋_GB2312"/>
          <w:kern w:val="1"/>
          <w:sz w:val="32"/>
          <w:szCs w:val="32"/>
        </w:rPr>
      </w:pPr>
      <w:r>
        <w:rPr>
          <w:rFonts w:hint="eastAsia" w:ascii="黑体" w:hAnsi="黑体" w:eastAsia="黑体" w:cs="黑体"/>
          <w:kern w:val="1"/>
          <w:sz w:val="32"/>
          <w:szCs w:val="32"/>
        </w:rPr>
        <w:t>二、绩效自评工作开展情况</w:t>
      </w:r>
    </w:p>
    <w:p>
      <w:pPr>
        <w:numPr>
          <w:ilvl w:val="0"/>
          <w:numId w:val="2"/>
        </w:numPr>
        <w:spacing w:line="600" w:lineRule="exact"/>
        <w:ind w:left="640" w:leftChars="0" w:firstLine="0" w:firstLineChars="0"/>
        <w:rPr>
          <w:rFonts w:ascii="微软雅黑" w:hAnsi="微软雅黑" w:eastAsia="微软雅黑" w:cs="微软雅黑"/>
          <w:b/>
          <w:bCs/>
          <w:i w:val="0"/>
          <w:iCs w:val="0"/>
          <w:caps w:val="0"/>
          <w:color w:val="333333"/>
          <w:spacing w:val="0"/>
          <w:sz w:val="24"/>
          <w:szCs w:val="24"/>
          <w:shd w:val="clear" w:fill="FFFFFF"/>
        </w:rPr>
      </w:pPr>
      <w:r>
        <w:rPr>
          <w:rFonts w:ascii="微软雅黑" w:hAnsi="微软雅黑" w:eastAsia="微软雅黑" w:cs="微软雅黑"/>
          <w:b/>
          <w:bCs/>
          <w:i w:val="0"/>
          <w:iCs w:val="0"/>
          <w:caps w:val="0"/>
          <w:color w:val="333333"/>
          <w:spacing w:val="0"/>
          <w:sz w:val="24"/>
          <w:szCs w:val="24"/>
          <w:shd w:val="clear" w:fill="FFFFFF"/>
        </w:rPr>
        <w:t>绩效评价目的、对象和范围</w:t>
      </w:r>
    </w:p>
    <w:p>
      <w:pPr>
        <w:numPr>
          <w:ilvl w:val="0"/>
          <w:numId w:val="0"/>
        </w:numPr>
        <w:spacing w:line="600" w:lineRule="exact"/>
        <w:ind w:left="640" w:leftChars="0"/>
        <w:rPr>
          <w:rFonts w:hint="eastAsia" w:ascii="宋体" w:hAnsi="宋体" w:eastAsia="宋体" w:cs="宋体"/>
          <w:i w:val="0"/>
          <w:iCs w:val="0"/>
          <w:caps w:val="0"/>
          <w:color w:val="333333"/>
          <w:spacing w:val="0"/>
          <w:sz w:val="28"/>
          <w:szCs w:val="28"/>
          <w:shd w:val="clear" w:fill="F5F5F5"/>
        </w:rPr>
      </w:pPr>
      <w:r>
        <w:rPr>
          <w:rFonts w:hint="eastAsia" w:ascii="宋体" w:hAnsi="宋体" w:eastAsia="宋体" w:cs="宋体"/>
          <w:i w:val="0"/>
          <w:iCs w:val="0"/>
          <w:caps w:val="0"/>
          <w:color w:val="333333"/>
          <w:spacing w:val="0"/>
          <w:sz w:val="28"/>
          <w:szCs w:val="28"/>
          <w:shd w:val="clear" w:fill="F5F5F5"/>
        </w:rPr>
        <w:t>评价目的：进一步规范城乡居民医疗保险基金使用和管理，提高基金使用效益。</w:t>
      </w:r>
    </w:p>
    <w:p>
      <w:pPr>
        <w:numPr>
          <w:ilvl w:val="0"/>
          <w:numId w:val="0"/>
        </w:numPr>
        <w:spacing w:line="600" w:lineRule="exact"/>
        <w:ind w:left="640" w:leftChars="0"/>
        <w:rPr>
          <w:rFonts w:hint="eastAsia" w:ascii="宋体" w:hAnsi="宋体" w:eastAsia="宋体" w:cs="宋体"/>
          <w:i w:val="0"/>
          <w:iCs w:val="0"/>
          <w:caps w:val="0"/>
          <w:color w:val="333333"/>
          <w:spacing w:val="0"/>
          <w:sz w:val="28"/>
          <w:szCs w:val="28"/>
          <w:shd w:val="clear" w:fill="F5F5F5"/>
        </w:rPr>
      </w:pPr>
      <w:r>
        <w:rPr>
          <w:rFonts w:hint="eastAsia" w:ascii="宋体" w:hAnsi="宋体" w:eastAsia="宋体" w:cs="宋体"/>
          <w:i w:val="0"/>
          <w:iCs w:val="0"/>
          <w:caps w:val="0"/>
          <w:color w:val="333333"/>
          <w:spacing w:val="0"/>
          <w:sz w:val="28"/>
          <w:szCs w:val="28"/>
          <w:shd w:val="clear" w:fill="F5F5F5"/>
        </w:rPr>
        <w:t xml:space="preserve"> 评价对象：</w:t>
      </w:r>
      <w:r>
        <w:rPr>
          <w:rFonts w:hint="eastAsia" w:ascii="宋体" w:hAnsi="宋体" w:cs="宋体"/>
          <w:i w:val="0"/>
          <w:iCs w:val="0"/>
          <w:caps w:val="0"/>
          <w:color w:val="333333"/>
          <w:spacing w:val="0"/>
          <w:sz w:val="28"/>
          <w:szCs w:val="28"/>
          <w:shd w:val="clear" w:fill="F5F5F5"/>
          <w:lang w:val="en-US" w:eastAsia="zh-CN"/>
        </w:rPr>
        <w:t>徐闻县</w:t>
      </w:r>
      <w:r>
        <w:rPr>
          <w:rFonts w:hint="eastAsia" w:ascii="宋体" w:hAnsi="宋体" w:eastAsia="宋体" w:cs="宋体"/>
          <w:i w:val="0"/>
          <w:iCs w:val="0"/>
          <w:caps w:val="0"/>
          <w:color w:val="333333"/>
          <w:spacing w:val="0"/>
          <w:sz w:val="28"/>
          <w:szCs w:val="28"/>
          <w:shd w:val="clear" w:fill="F5F5F5"/>
        </w:rPr>
        <w:t>城乡居民基本医疗保险项目资金支出。</w:t>
      </w:r>
    </w:p>
    <w:p>
      <w:pPr>
        <w:numPr>
          <w:ilvl w:val="0"/>
          <w:numId w:val="0"/>
        </w:numPr>
        <w:spacing w:line="600" w:lineRule="exact"/>
        <w:ind w:left="640" w:leftChars="0"/>
        <w:rPr>
          <w:rFonts w:hint="eastAsia" w:ascii="宋体" w:hAnsi="宋体" w:eastAsia="宋体" w:cs="宋体"/>
          <w:i w:val="0"/>
          <w:iCs w:val="0"/>
          <w:caps w:val="0"/>
          <w:color w:val="333333"/>
          <w:spacing w:val="0"/>
          <w:sz w:val="28"/>
          <w:szCs w:val="28"/>
          <w:shd w:val="clear" w:fill="F5F5F5"/>
        </w:rPr>
      </w:pPr>
      <w:r>
        <w:rPr>
          <w:rFonts w:hint="eastAsia" w:ascii="宋体" w:hAnsi="宋体" w:eastAsia="宋体" w:cs="宋体"/>
          <w:i w:val="0"/>
          <w:iCs w:val="0"/>
          <w:caps w:val="0"/>
          <w:color w:val="333333"/>
          <w:spacing w:val="0"/>
          <w:sz w:val="28"/>
          <w:szCs w:val="28"/>
          <w:shd w:val="clear" w:fill="F5F5F5"/>
        </w:rPr>
        <w:t xml:space="preserve"> 评价范围：开展对城乡居民基本医疗保险项目决策、项目过程、项目效益及参保对象满意度等方面进行评价。</w:t>
      </w:r>
    </w:p>
    <w:p>
      <w:pPr>
        <w:numPr>
          <w:ilvl w:val="0"/>
          <w:numId w:val="2"/>
        </w:numPr>
        <w:spacing w:line="600" w:lineRule="exact"/>
        <w:ind w:left="640" w:leftChars="0" w:firstLine="0" w:firstLineChars="0"/>
        <w:rPr>
          <w:rFonts w:ascii="微软雅黑" w:hAnsi="微软雅黑" w:eastAsia="微软雅黑" w:cs="微软雅黑"/>
          <w:b/>
          <w:bCs/>
          <w:i w:val="0"/>
          <w:iCs w:val="0"/>
          <w:caps w:val="0"/>
          <w:color w:val="333333"/>
          <w:spacing w:val="0"/>
          <w:sz w:val="24"/>
          <w:szCs w:val="24"/>
          <w:shd w:val="clear" w:fill="FFFFFF"/>
        </w:rPr>
      </w:pPr>
      <w:r>
        <w:rPr>
          <w:rFonts w:ascii="微软雅黑" w:hAnsi="微软雅黑" w:eastAsia="微软雅黑" w:cs="微软雅黑"/>
          <w:b/>
          <w:bCs/>
          <w:i w:val="0"/>
          <w:iCs w:val="0"/>
          <w:caps w:val="0"/>
          <w:color w:val="333333"/>
          <w:spacing w:val="0"/>
          <w:sz w:val="24"/>
          <w:szCs w:val="24"/>
          <w:shd w:val="clear" w:fill="FFFFFF"/>
        </w:rPr>
        <w:t>绩效评价原则、评价指标体系（附表说明）、评价方法、评价标准等。</w:t>
      </w:r>
    </w:p>
    <w:p>
      <w:pPr>
        <w:numPr>
          <w:ilvl w:val="0"/>
          <w:numId w:val="0"/>
        </w:numPr>
        <w:spacing w:line="600" w:lineRule="exact"/>
        <w:ind w:left="640" w:leftChars="0"/>
        <w:rPr>
          <w:rFonts w:hint="eastAsia" w:ascii="宋体" w:hAnsi="宋体" w:eastAsia="宋体" w:cs="宋体"/>
          <w:i w:val="0"/>
          <w:iCs w:val="0"/>
          <w:caps w:val="0"/>
          <w:color w:val="333333"/>
          <w:spacing w:val="0"/>
          <w:sz w:val="28"/>
          <w:szCs w:val="28"/>
          <w:shd w:val="clear" w:fill="F5F5F5"/>
        </w:rPr>
      </w:pPr>
      <w:r>
        <w:rPr>
          <w:rFonts w:hint="eastAsia" w:ascii="宋体" w:hAnsi="宋体" w:eastAsia="宋体" w:cs="宋体"/>
          <w:i w:val="0"/>
          <w:iCs w:val="0"/>
          <w:caps w:val="0"/>
          <w:color w:val="333333"/>
          <w:spacing w:val="0"/>
          <w:sz w:val="28"/>
          <w:szCs w:val="28"/>
          <w:shd w:val="clear" w:fill="F5F5F5"/>
        </w:rPr>
        <w:t>采取定量与定性分析相结合原则；采用财政支出项目绩效评价指标；采用目标效益分析法评价。</w:t>
      </w:r>
    </w:p>
    <w:p>
      <w:pPr>
        <w:numPr>
          <w:ilvl w:val="0"/>
          <w:numId w:val="2"/>
        </w:numPr>
        <w:spacing w:line="600" w:lineRule="exact"/>
        <w:ind w:left="640" w:leftChars="0" w:firstLine="0" w:firstLineChars="0"/>
        <w:rPr>
          <w:rFonts w:ascii="微软雅黑" w:hAnsi="微软雅黑" w:eastAsia="微软雅黑" w:cs="微软雅黑"/>
          <w:b/>
          <w:bCs/>
          <w:i w:val="0"/>
          <w:iCs w:val="0"/>
          <w:caps w:val="0"/>
          <w:color w:val="333333"/>
          <w:spacing w:val="0"/>
          <w:sz w:val="24"/>
          <w:szCs w:val="24"/>
          <w:shd w:val="clear" w:fill="FFFFFF"/>
        </w:rPr>
      </w:pPr>
      <w:r>
        <w:rPr>
          <w:rFonts w:ascii="微软雅黑" w:hAnsi="微软雅黑" w:eastAsia="微软雅黑" w:cs="微软雅黑"/>
          <w:b/>
          <w:bCs/>
          <w:i w:val="0"/>
          <w:iCs w:val="0"/>
          <w:caps w:val="0"/>
          <w:color w:val="333333"/>
          <w:spacing w:val="0"/>
          <w:sz w:val="24"/>
          <w:szCs w:val="24"/>
          <w:shd w:val="clear" w:fill="FFFFFF"/>
        </w:rPr>
        <w:t>绩效评价工作过程</w:t>
      </w:r>
    </w:p>
    <w:p>
      <w:pPr>
        <w:numPr>
          <w:ilvl w:val="0"/>
          <w:numId w:val="0"/>
        </w:numPr>
        <w:spacing w:line="600" w:lineRule="exact"/>
        <w:ind w:left="640" w:leftChars="0" w:firstLine="560" w:firstLineChars="200"/>
        <w:rPr>
          <w:rFonts w:hint="eastAsia" w:ascii="宋体" w:hAnsi="宋体" w:eastAsia="宋体" w:cs="宋体"/>
          <w:i w:val="0"/>
          <w:iCs w:val="0"/>
          <w:caps w:val="0"/>
          <w:color w:val="333333"/>
          <w:spacing w:val="0"/>
          <w:sz w:val="28"/>
          <w:szCs w:val="28"/>
          <w:shd w:val="clear" w:fill="FFFFFF"/>
          <w:lang w:eastAsia="zh-CN"/>
        </w:rPr>
      </w:pPr>
      <w:r>
        <w:rPr>
          <w:rFonts w:hint="eastAsia" w:ascii="宋体" w:hAnsi="宋体" w:eastAsia="宋体" w:cs="宋体"/>
          <w:i w:val="0"/>
          <w:iCs w:val="0"/>
          <w:caps w:val="0"/>
          <w:color w:val="333333"/>
          <w:spacing w:val="0"/>
          <w:sz w:val="28"/>
          <w:szCs w:val="28"/>
          <w:shd w:val="clear" w:fill="FFFFFF"/>
        </w:rPr>
        <w:t>成立项目支出绩效评价小组，评价小组严格对照项目支出绩效自评具体指标进行评分</w:t>
      </w:r>
      <w:r>
        <w:rPr>
          <w:rFonts w:hint="eastAsia" w:ascii="宋体" w:hAnsi="宋体" w:eastAsia="宋体" w:cs="宋体"/>
          <w:i w:val="0"/>
          <w:iCs w:val="0"/>
          <w:caps w:val="0"/>
          <w:color w:val="333333"/>
          <w:spacing w:val="0"/>
          <w:sz w:val="28"/>
          <w:szCs w:val="28"/>
          <w:shd w:val="clear" w:fill="FFFFFF"/>
          <w:lang w:eastAsia="zh-CN"/>
        </w:rPr>
        <w:t>，由办公室牵头，</w:t>
      </w:r>
      <w:r>
        <w:rPr>
          <w:rFonts w:hint="eastAsia" w:ascii="宋体" w:hAnsi="宋体" w:eastAsia="宋体" w:cs="宋体"/>
          <w:i w:val="0"/>
          <w:iCs w:val="0"/>
          <w:caps w:val="0"/>
          <w:color w:val="333333"/>
          <w:spacing w:val="0"/>
          <w:sz w:val="28"/>
          <w:szCs w:val="28"/>
          <w:shd w:val="clear" w:fill="FFFFFF"/>
        </w:rPr>
        <w:t>精心准备城乡居民医疗保险项目支出绩效评价工作</w:t>
      </w:r>
      <w:r>
        <w:rPr>
          <w:rFonts w:hint="eastAsia" w:ascii="宋体" w:hAnsi="宋体" w:eastAsia="宋体" w:cs="宋体"/>
          <w:i w:val="0"/>
          <w:iCs w:val="0"/>
          <w:caps w:val="0"/>
          <w:color w:val="333333"/>
          <w:spacing w:val="0"/>
          <w:sz w:val="28"/>
          <w:szCs w:val="28"/>
          <w:shd w:val="clear" w:fill="FFFFFF"/>
          <w:lang w:eastAsia="zh-CN"/>
        </w:rPr>
        <w:t>。</w:t>
      </w:r>
    </w:p>
    <w:p>
      <w:pPr>
        <w:numPr>
          <w:ilvl w:val="0"/>
          <w:numId w:val="0"/>
        </w:numPr>
        <w:spacing w:line="600" w:lineRule="exact"/>
        <w:ind w:left="600" w:leftChars="0"/>
        <w:rPr>
          <w:rFonts w:hint="eastAsia" w:ascii="黑体" w:hAnsi="黑体" w:eastAsia="黑体" w:cs="黑体"/>
          <w:kern w:val="1"/>
          <w:sz w:val="32"/>
          <w:szCs w:val="32"/>
        </w:rPr>
      </w:pPr>
      <w:r>
        <w:rPr>
          <w:rFonts w:hint="eastAsia" w:ascii="黑体" w:hAnsi="黑体" w:eastAsia="黑体" w:cs="黑体"/>
          <w:kern w:val="1"/>
          <w:sz w:val="32"/>
          <w:szCs w:val="32"/>
          <w:lang w:val="en-US" w:eastAsia="zh-CN"/>
        </w:rPr>
        <w:t>三、</w:t>
      </w:r>
      <w:r>
        <w:rPr>
          <w:rFonts w:hint="eastAsia" w:ascii="黑体" w:hAnsi="黑体" w:eastAsia="黑体" w:cs="黑体"/>
          <w:kern w:val="1"/>
          <w:sz w:val="32"/>
          <w:szCs w:val="32"/>
        </w:rPr>
        <w:t>绩效自评结果</w:t>
      </w:r>
    </w:p>
    <w:p>
      <w:pPr>
        <w:numPr>
          <w:ilvl w:val="0"/>
          <w:numId w:val="0"/>
        </w:numPr>
        <w:spacing w:line="600" w:lineRule="exact"/>
        <w:ind w:left="640" w:leftChars="0" w:firstLine="560" w:firstLineChars="200"/>
        <w:rPr>
          <w:rFonts w:hint="default" w:ascii="宋体" w:hAnsi="宋体" w:eastAsia="宋体" w:cs="宋体"/>
          <w:i w:val="0"/>
          <w:iCs w:val="0"/>
          <w:caps w:val="0"/>
          <w:color w:val="333333"/>
          <w:spacing w:val="0"/>
          <w:sz w:val="28"/>
          <w:szCs w:val="28"/>
          <w:shd w:val="clear" w:fill="FFFFFF"/>
          <w:lang w:val="en-US" w:eastAsia="zh-CN"/>
        </w:rPr>
      </w:pPr>
      <w:r>
        <w:rPr>
          <w:rFonts w:hint="eastAsia" w:ascii="宋体" w:hAnsi="宋体" w:cs="宋体"/>
          <w:i w:val="0"/>
          <w:iCs w:val="0"/>
          <w:caps w:val="0"/>
          <w:color w:val="333333"/>
          <w:spacing w:val="0"/>
          <w:sz w:val="28"/>
          <w:szCs w:val="28"/>
          <w:shd w:val="clear" w:fill="FFFFFF"/>
          <w:lang w:val="en-US" w:eastAsia="zh-CN"/>
        </w:rPr>
        <w:t>自评分数93.98，优。</w:t>
      </w:r>
      <w:bookmarkStart w:id="0" w:name="_GoBack"/>
      <w:bookmarkEnd w:id="0"/>
    </w:p>
    <w:p>
      <w:pPr>
        <w:numPr>
          <w:ilvl w:val="0"/>
          <w:numId w:val="3"/>
        </w:numPr>
        <w:spacing w:line="600" w:lineRule="exact"/>
        <w:ind w:firstLine="600"/>
        <w:rPr>
          <w:rFonts w:hint="eastAsia" w:ascii="仿宋_GB2312" w:hAnsi="仿宋_GB2312" w:eastAsia="仿宋_GB2312" w:cs="Times New Roman"/>
          <w:kern w:val="1"/>
          <w:sz w:val="32"/>
          <w:szCs w:val="32"/>
        </w:rPr>
      </w:pPr>
      <w:r>
        <w:rPr>
          <w:rFonts w:hint="eastAsia" w:ascii="黑体" w:hAnsi="黑体" w:eastAsia="黑体" w:cs="黑体"/>
          <w:kern w:val="1"/>
          <w:sz w:val="32"/>
          <w:szCs w:val="32"/>
        </w:rPr>
        <w:t>项目资金使用绩效</w:t>
      </w:r>
    </w:p>
    <w:p>
      <w:pPr>
        <w:spacing w:line="600" w:lineRule="exact"/>
        <w:ind w:firstLine="600"/>
        <w:rPr>
          <w:rFonts w:hint="eastAsia" w:ascii="仿宋_GB2312" w:hAnsi="仿宋_GB2312" w:eastAsia="仿宋_GB2312" w:cs="Times New Roman"/>
          <w:kern w:val="1"/>
          <w:sz w:val="32"/>
          <w:szCs w:val="32"/>
        </w:rPr>
      </w:pPr>
      <w:r>
        <w:rPr>
          <w:rFonts w:hint="eastAsia" w:ascii="仿宋_GB2312" w:hAnsi="仿宋_GB2312" w:eastAsia="仿宋_GB2312" w:cs="Times New Roman"/>
          <w:kern w:val="1"/>
          <w:sz w:val="32"/>
          <w:szCs w:val="32"/>
        </w:rPr>
        <w:t>（一）资金</w:t>
      </w:r>
      <w:r>
        <w:rPr>
          <w:rFonts w:hint="eastAsia" w:ascii="仿宋_GB2312" w:hAnsi="仿宋_GB2312" w:eastAsia="仿宋_GB2312" w:cs="Times New Roman"/>
          <w:kern w:val="1"/>
          <w:sz w:val="32"/>
          <w:szCs w:val="32"/>
          <w:lang w:val="en-US" w:eastAsia="zh-CN"/>
        </w:rPr>
        <w:t>管理过程</w:t>
      </w:r>
      <w:r>
        <w:rPr>
          <w:rFonts w:hint="eastAsia" w:ascii="仿宋_GB2312" w:hAnsi="仿宋_GB2312" w:eastAsia="仿宋_GB2312" w:cs="Times New Roman"/>
          <w:kern w:val="1"/>
          <w:sz w:val="32"/>
          <w:szCs w:val="32"/>
        </w:rPr>
        <w:t>情况</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1.资金</w:t>
      </w:r>
      <w:r>
        <w:rPr>
          <w:rFonts w:hint="eastAsia" w:ascii="仿宋_GB2312" w:hAnsi="仿宋_GB2312" w:eastAsia="仿宋_GB2312"/>
          <w:kern w:val="1"/>
          <w:sz w:val="32"/>
          <w:szCs w:val="32"/>
          <w:lang w:val="en-US" w:eastAsia="zh-CN"/>
        </w:rPr>
        <w:t>管理</w:t>
      </w:r>
      <w:r>
        <w:rPr>
          <w:rFonts w:hint="eastAsia" w:ascii="仿宋_GB2312" w:hAnsi="仿宋_GB2312" w:eastAsia="仿宋_GB2312"/>
          <w:kern w:val="1"/>
          <w:sz w:val="32"/>
          <w:szCs w:val="32"/>
        </w:rPr>
        <w:t>情况。</w:t>
      </w:r>
    </w:p>
    <w:p>
      <w:pPr>
        <w:spacing w:line="600" w:lineRule="exact"/>
        <w:ind w:firstLine="600"/>
        <w:rPr>
          <w:rFonts w:hint="default" w:ascii="仿宋_GB2312" w:hAnsi="仿宋_GB2312" w:eastAsia="仿宋_GB2312"/>
          <w:kern w:val="1"/>
          <w:sz w:val="32"/>
          <w:szCs w:val="32"/>
          <w:lang w:val="en-US" w:eastAsia="zh-CN"/>
        </w:rPr>
      </w:pPr>
      <w:r>
        <w:rPr>
          <w:rFonts w:hint="eastAsia" w:ascii="仿宋_GB2312" w:hAnsi="仿宋_GB2312" w:eastAsia="仿宋_GB2312"/>
          <w:kern w:val="1"/>
          <w:sz w:val="32"/>
          <w:szCs w:val="32"/>
          <w:lang w:val="en-US" w:eastAsia="zh-CN"/>
        </w:rPr>
        <w:t>根据2024年徐闻县城乡居民基本医疗保险匹配资金预算资金是2708.48万元，下达资金260万元，支出资金260万元，执行率9.6%。</w:t>
      </w:r>
    </w:p>
    <w:p>
      <w:pPr>
        <w:spacing w:line="600" w:lineRule="exact"/>
        <w:ind w:firstLine="600"/>
        <w:rPr>
          <w:rFonts w:hint="eastAsia" w:ascii="仿宋_GB2312" w:hAnsi="仿宋_GB2312" w:eastAsia="仿宋_GB2312"/>
          <w:kern w:val="1"/>
          <w:sz w:val="32"/>
          <w:szCs w:val="32"/>
          <w:lang w:val="en-US" w:eastAsia="zh-CN"/>
        </w:rPr>
      </w:pPr>
      <w:r>
        <w:rPr>
          <w:rFonts w:hint="eastAsia" w:ascii="仿宋_GB2312" w:hAnsi="仿宋_GB2312" w:eastAsia="仿宋_GB2312"/>
          <w:kern w:val="1"/>
          <w:sz w:val="32"/>
          <w:szCs w:val="32"/>
          <w:lang w:val="en-US" w:eastAsia="zh-CN"/>
        </w:rPr>
        <w:t>2.绩效目标管理情况。</w:t>
      </w:r>
    </w:p>
    <w:p>
      <w:pPr>
        <w:numPr>
          <w:ilvl w:val="0"/>
          <w:numId w:val="0"/>
        </w:numPr>
        <w:spacing w:line="600" w:lineRule="exact"/>
        <w:ind w:firstLine="560" w:firstLineChars="200"/>
        <w:rPr>
          <w:rFonts w:hint="eastAsia" w:ascii="仿宋_GB2312" w:hAnsi="仿宋_GB2312" w:eastAsia="仿宋_GB2312"/>
          <w:kern w:val="1"/>
          <w:sz w:val="32"/>
          <w:szCs w:val="32"/>
          <w:lang w:val="en-US" w:eastAsia="zh-CN"/>
        </w:rPr>
      </w:pPr>
      <w:r>
        <w:rPr>
          <w:rFonts w:hint="eastAsia" w:ascii="宋体" w:hAnsi="宋体" w:eastAsia="宋体" w:cs="宋体"/>
          <w:i w:val="0"/>
          <w:iCs w:val="0"/>
          <w:caps w:val="0"/>
          <w:color w:val="333333"/>
          <w:spacing w:val="0"/>
          <w:sz w:val="28"/>
          <w:szCs w:val="28"/>
          <w:shd w:val="clear" w:fill="F5F5F5"/>
        </w:rPr>
        <w:t>贯彻中央医疗保障制度改革有关医疗救助决策部署执行预算绩效管理和资金管理办法，依据中央和国务院深化医疗保障制度改革的意见进行决策，决策符合预算绩效管理要求和资金管理办法，决策程序规范，合规完整。遵照财政部和国家医疗保障局下达的年度总体目标和具体绩效指标，对财政部和国家医疗保障局下达的年度总体目标结合实际进行分解细化，符合预算管理和城乡居民医疗保险资金管理要求。</w:t>
      </w:r>
    </w:p>
    <w:p>
      <w:pPr>
        <w:numPr>
          <w:ilvl w:val="0"/>
          <w:numId w:val="4"/>
        </w:num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lang w:val="en-US" w:eastAsia="zh-CN"/>
        </w:rPr>
        <w:t>事项</w:t>
      </w:r>
      <w:r>
        <w:rPr>
          <w:rFonts w:hint="eastAsia" w:ascii="仿宋_GB2312" w:hAnsi="仿宋_GB2312" w:eastAsia="仿宋_GB2312"/>
          <w:kern w:val="1"/>
          <w:sz w:val="32"/>
          <w:szCs w:val="32"/>
        </w:rPr>
        <w:t>管理情况。</w:t>
      </w:r>
    </w:p>
    <w:p>
      <w:pPr>
        <w:numPr>
          <w:ilvl w:val="0"/>
          <w:numId w:val="5"/>
        </w:numPr>
        <w:spacing w:line="600" w:lineRule="exact"/>
        <w:ind w:left="800" w:leftChars="0" w:firstLine="0" w:firstLineChars="0"/>
        <w:rPr>
          <w:rFonts w:ascii="微软雅黑" w:hAnsi="微软雅黑" w:eastAsia="微软雅黑" w:cs="微软雅黑"/>
          <w:i w:val="0"/>
          <w:iCs w:val="0"/>
          <w:caps w:val="0"/>
          <w:color w:val="333333"/>
          <w:spacing w:val="0"/>
          <w:sz w:val="24"/>
          <w:szCs w:val="24"/>
          <w:shd w:val="clear" w:fill="F5F5F5"/>
        </w:rPr>
      </w:pPr>
      <w:r>
        <w:rPr>
          <w:rFonts w:hint="eastAsia" w:ascii="仿宋_GB2312" w:hAnsi="仿宋_GB2312" w:eastAsia="仿宋_GB2312"/>
          <w:kern w:val="1"/>
          <w:sz w:val="32"/>
          <w:szCs w:val="32"/>
          <w:lang w:val="en-US" w:eastAsia="zh-CN"/>
        </w:rPr>
        <w:t xml:space="preserve">   </w:t>
      </w:r>
      <w:r>
        <w:rPr>
          <w:rFonts w:ascii="微软雅黑" w:hAnsi="微软雅黑" w:eastAsia="微软雅黑" w:cs="微软雅黑"/>
          <w:i w:val="0"/>
          <w:iCs w:val="0"/>
          <w:caps w:val="0"/>
          <w:color w:val="333333"/>
          <w:spacing w:val="0"/>
          <w:sz w:val="24"/>
          <w:szCs w:val="24"/>
          <w:shd w:val="clear" w:fill="F5F5F5"/>
        </w:rPr>
        <w:t>项目管理 （1）政策宣传。通过微信公众号、电视、报纸、宣传单、宣传栏及联点共建活动等多渠道开展医保政策宣传，开展了点对点、面对面的宣传医保政策，坚持正确舆论宣传导向，为项目实施营造良好的发展环境；制定</w:t>
      </w:r>
      <w:r>
        <w:rPr>
          <w:rFonts w:hint="eastAsia" w:ascii="微软雅黑" w:hAnsi="微软雅黑" w:eastAsia="微软雅黑" w:cs="微软雅黑"/>
          <w:i w:val="0"/>
          <w:iCs w:val="0"/>
          <w:caps w:val="0"/>
          <w:color w:val="333333"/>
          <w:spacing w:val="0"/>
          <w:sz w:val="24"/>
          <w:szCs w:val="24"/>
          <w:shd w:val="clear" w:fill="F5F5F5"/>
          <w:lang w:eastAsia="zh-CN"/>
        </w:rPr>
        <w:t>徐闻县</w:t>
      </w:r>
      <w:r>
        <w:rPr>
          <w:rFonts w:ascii="微软雅黑" w:hAnsi="微软雅黑" w:eastAsia="微软雅黑" w:cs="微软雅黑"/>
          <w:i w:val="0"/>
          <w:iCs w:val="0"/>
          <w:caps w:val="0"/>
          <w:color w:val="333333"/>
          <w:spacing w:val="0"/>
          <w:sz w:val="24"/>
          <w:szCs w:val="24"/>
          <w:shd w:val="clear" w:fill="F5F5F5"/>
        </w:rPr>
        <w:t>城乡居民医疗保障经办政务服务事项办事指南，做到医保政策和医保经办规程公开。</w:t>
      </w:r>
    </w:p>
    <w:p>
      <w:pPr>
        <w:numPr>
          <w:ilvl w:val="0"/>
          <w:numId w:val="6"/>
        </w:numPr>
        <w:spacing w:line="600" w:lineRule="exact"/>
        <w:ind w:left="920" w:leftChars="0" w:firstLine="0" w:firstLineChars="0"/>
        <w:rPr>
          <w:rFonts w:ascii="微软雅黑" w:hAnsi="微软雅黑" w:eastAsia="微软雅黑" w:cs="微软雅黑"/>
          <w:i w:val="0"/>
          <w:iCs w:val="0"/>
          <w:caps w:val="0"/>
          <w:color w:val="333333"/>
          <w:spacing w:val="0"/>
          <w:sz w:val="24"/>
          <w:szCs w:val="24"/>
          <w:shd w:val="clear" w:fill="F5F5F5"/>
        </w:rPr>
      </w:pPr>
      <w:r>
        <w:rPr>
          <w:rFonts w:ascii="微软雅黑" w:hAnsi="微软雅黑" w:eastAsia="微软雅黑" w:cs="微软雅黑"/>
          <w:i w:val="0"/>
          <w:iCs w:val="0"/>
          <w:caps w:val="0"/>
          <w:color w:val="333333"/>
          <w:spacing w:val="0"/>
          <w:sz w:val="24"/>
          <w:szCs w:val="24"/>
          <w:shd w:val="clear" w:fill="F5F5F5"/>
        </w:rPr>
        <w:t>台账管理。建立、建全台账管理制度，完善台账管理内容，加强对台账数据的审核，检查台账录入内容，监督台账数据的准确性、及时性和完善性，实现台账与信息系统的无缝对接。档案资料手续完善，档案内容齐全，档案管理规范，数据分析全面、认真、及时，报送资料及时、齐全、真实、准确。</w:t>
      </w:r>
    </w:p>
    <w:p>
      <w:pPr>
        <w:numPr>
          <w:ilvl w:val="0"/>
          <w:numId w:val="6"/>
        </w:numPr>
        <w:spacing w:line="600" w:lineRule="exact"/>
        <w:ind w:left="920" w:leftChars="0" w:firstLine="0" w:firstLineChars="0"/>
        <w:rPr>
          <w:rFonts w:ascii="微软雅黑" w:hAnsi="微软雅黑" w:eastAsia="微软雅黑" w:cs="微软雅黑"/>
          <w:i w:val="0"/>
          <w:iCs w:val="0"/>
          <w:caps w:val="0"/>
          <w:color w:val="333333"/>
          <w:spacing w:val="0"/>
          <w:sz w:val="24"/>
          <w:szCs w:val="24"/>
          <w:shd w:val="clear" w:fill="F5F5F5"/>
        </w:rPr>
      </w:pPr>
      <w:r>
        <w:rPr>
          <w:rFonts w:ascii="微软雅黑" w:hAnsi="微软雅黑" w:eastAsia="微软雅黑" w:cs="微软雅黑"/>
          <w:i w:val="0"/>
          <w:iCs w:val="0"/>
          <w:caps w:val="0"/>
          <w:color w:val="333333"/>
          <w:spacing w:val="0"/>
          <w:sz w:val="24"/>
          <w:szCs w:val="24"/>
          <w:shd w:val="clear" w:fill="F5F5F5"/>
        </w:rPr>
        <w:t>监督检查。202</w:t>
      </w:r>
      <w:r>
        <w:rPr>
          <w:rFonts w:hint="eastAsia" w:ascii="微软雅黑" w:hAnsi="微软雅黑" w:eastAsia="微软雅黑" w:cs="微软雅黑"/>
          <w:i w:val="0"/>
          <w:iCs w:val="0"/>
          <w:caps w:val="0"/>
          <w:color w:val="333333"/>
          <w:spacing w:val="0"/>
          <w:sz w:val="24"/>
          <w:szCs w:val="24"/>
          <w:shd w:val="clear" w:fill="F5F5F5"/>
          <w:lang w:val="en-US" w:eastAsia="zh-CN"/>
        </w:rPr>
        <w:t>4</w:t>
      </w:r>
      <w:r>
        <w:rPr>
          <w:rFonts w:ascii="微软雅黑" w:hAnsi="微软雅黑" w:eastAsia="微软雅黑" w:cs="微软雅黑"/>
          <w:i w:val="0"/>
          <w:iCs w:val="0"/>
          <w:caps w:val="0"/>
          <w:color w:val="333333"/>
          <w:spacing w:val="0"/>
          <w:sz w:val="24"/>
          <w:szCs w:val="24"/>
          <w:shd w:val="clear" w:fill="F5F5F5"/>
        </w:rPr>
        <w:t>年打击欺诈骗保维护基金安全坚持持续推进，开展学习贯彻《医疗保障基金使用监督管理条例》集中宣传月活动。建立、实施全区医保基金监管工作联席会议、驻点督导、社会监督员、举报奖励等一系列制度机制。</w:t>
      </w:r>
    </w:p>
    <w:p>
      <w:pPr>
        <w:numPr>
          <w:ilvl w:val="0"/>
          <w:numId w:val="6"/>
        </w:numPr>
        <w:spacing w:line="600" w:lineRule="exact"/>
        <w:ind w:left="920" w:leftChars="0" w:firstLine="0" w:firstLineChars="0"/>
        <w:rPr>
          <w:rFonts w:ascii="微软雅黑" w:hAnsi="微软雅黑" w:eastAsia="微软雅黑" w:cs="微软雅黑"/>
          <w:i w:val="0"/>
          <w:iCs w:val="0"/>
          <w:caps w:val="0"/>
          <w:color w:val="333333"/>
          <w:spacing w:val="0"/>
          <w:sz w:val="24"/>
          <w:szCs w:val="24"/>
          <w:shd w:val="clear" w:fill="F5F5F5"/>
        </w:rPr>
      </w:pPr>
      <w:r>
        <w:rPr>
          <w:rFonts w:ascii="微软雅黑" w:hAnsi="微软雅黑" w:eastAsia="微软雅黑" w:cs="微软雅黑"/>
          <w:i w:val="0"/>
          <w:iCs w:val="0"/>
          <w:caps w:val="0"/>
          <w:color w:val="333333"/>
          <w:spacing w:val="0"/>
          <w:sz w:val="24"/>
          <w:szCs w:val="24"/>
          <w:shd w:val="clear" w:fill="F5F5F5"/>
        </w:rPr>
        <w:t xml:space="preserve">信息系统。所有参保群众信息已真实、全面的录入信息系统，且信息系统已实现与定点医疗机构信息系统联网。 </w:t>
      </w:r>
    </w:p>
    <w:p>
      <w:pPr>
        <w:numPr>
          <w:ilvl w:val="0"/>
          <w:numId w:val="5"/>
        </w:numPr>
        <w:spacing w:line="600" w:lineRule="exact"/>
        <w:ind w:left="800" w:leftChars="0" w:firstLine="0" w:firstLineChars="0"/>
        <w:rPr>
          <w:rFonts w:ascii="微软雅黑" w:hAnsi="微软雅黑" w:eastAsia="微软雅黑" w:cs="微软雅黑"/>
          <w:i w:val="0"/>
          <w:iCs w:val="0"/>
          <w:caps w:val="0"/>
          <w:color w:val="333333"/>
          <w:spacing w:val="0"/>
          <w:sz w:val="24"/>
          <w:szCs w:val="24"/>
          <w:shd w:val="clear" w:fill="F5F5F5"/>
        </w:rPr>
      </w:pPr>
      <w:r>
        <w:rPr>
          <w:rFonts w:ascii="微软雅黑" w:hAnsi="微软雅黑" w:eastAsia="微软雅黑" w:cs="微软雅黑"/>
          <w:i w:val="0"/>
          <w:iCs w:val="0"/>
          <w:caps w:val="0"/>
          <w:color w:val="333333"/>
          <w:spacing w:val="0"/>
          <w:sz w:val="24"/>
          <w:szCs w:val="24"/>
          <w:shd w:val="clear" w:fill="F5F5F5"/>
        </w:rPr>
        <w:t xml:space="preserve">财务管理 </w:t>
      </w:r>
    </w:p>
    <w:p>
      <w:pPr>
        <w:numPr>
          <w:ilvl w:val="0"/>
          <w:numId w:val="0"/>
        </w:numPr>
        <w:spacing w:line="600" w:lineRule="exact"/>
        <w:ind w:left="800" w:leftChars="0"/>
        <w:rPr>
          <w:rFonts w:ascii="微软雅黑" w:hAnsi="微软雅黑" w:eastAsia="微软雅黑" w:cs="微软雅黑"/>
          <w:i w:val="0"/>
          <w:iCs w:val="0"/>
          <w:caps w:val="0"/>
          <w:color w:val="333333"/>
          <w:spacing w:val="0"/>
          <w:sz w:val="24"/>
          <w:szCs w:val="24"/>
          <w:shd w:val="clear" w:fill="F5F5F5"/>
        </w:rPr>
      </w:pPr>
      <w:r>
        <w:rPr>
          <w:rFonts w:ascii="微软雅黑" w:hAnsi="微软雅黑" w:eastAsia="微软雅黑" w:cs="微软雅黑"/>
          <w:i w:val="0"/>
          <w:iCs w:val="0"/>
          <w:caps w:val="0"/>
          <w:color w:val="333333"/>
          <w:spacing w:val="0"/>
          <w:sz w:val="24"/>
          <w:szCs w:val="24"/>
          <w:shd w:val="clear" w:fill="F5F5F5"/>
        </w:rPr>
        <w:t xml:space="preserve">（1）完善财务制度。为进一步规范基金管理，制订了基金支出管理制度、基金结算内部控制制度、医保基金预、决算管理实行办法、审理结算工作管理制度等一系列财务管理制度。 </w:t>
      </w:r>
    </w:p>
    <w:p>
      <w:pPr>
        <w:numPr>
          <w:ilvl w:val="0"/>
          <w:numId w:val="7"/>
        </w:numPr>
        <w:spacing w:line="600" w:lineRule="exact"/>
        <w:ind w:left="800" w:leftChars="0"/>
        <w:rPr>
          <w:rFonts w:ascii="微软雅黑" w:hAnsi="微软雅黑" w:eastAsia="微软雅黑" w:cs="微软雅黑"/>
          <w:i w:val="0"/>
          <w:iCs w:val="0"/>
          <w:caps w:val="0"/>
          <w:color w:val="333333"/>
          <w:spacing w:val="0"/>
          <w:sz w:val="24"/>
          <w:szCs w:val="24"/>
          <w:shd w:val="clear" w:fill="F5F5F5"/>
        </w:rPr>
      </w:pPr>
      <w:r>
        <w:rPr>
          <w:rFonts w:ascii="微软雅黑" w:hAnsi="微软雅黑" w:eastAsia="微软雅黑" w:cs="微软雅黑"/>
          <w:i w:val="0"/>
          <w:iCs w:val="0"/>
          <w:caps w:val="0"/>
          <w:color w:val="333333"/>
          <w:spacing w:val="0"/>
          <w:sz w:val="24"/>
          <w:szCs w:val="24"/>
          <w:shd w:val="clear" w:fill="F5F5F5"/>
        </w:rPr>
        <w:t xml:space="preserve">基金使用。我区医保基金使用符合国家财经法规和财务管理制度及专项资金管理办法的规定，基金拨付有完善的审批程序和手续。实行专账管理。未发生违规报销情况，未发生截留、挤占、挪用、虚列支出等情况。 </w:t>
      </w:r>
    </w:p>
    <w:p>
      <w:pPr>
        <w:numPr>
          <w:ilvl w:val="0"/>
          <w:numId w:val="0"/>
        </w:numPr>
        <w:spacing w:line="600" w:lineRule="exact"/>
        <w:ind w:left="718" w:leftChars="342" w:firstLine="0" w:firstLineChars="0"/>
        <w:rPr>
          <w:rFonts w:hint="default" w:ascii="仿宋_GB2312" w:hAnsi="仿宋_GB2312" w:eastAsia="仿宋_GB2312"/>
          <w:kern w:val="1"/>
          <w:sz w:val="32"/>
          <w:szCs w:val="32"/>
          <w:lang w:val="en-US" w:eastAsia="zh-CN"/>
        </w:rPr>
      </w:pPr>
      <w:r>
        <w:rPr>
          <w:rFonts w:ascii="微软雅黑" w:hAnsi="微软雅黑" w:eastAsia="微软雅黑" w:cs="微软雅黑"/>
          <w:i w:val="0"/>
          <w:iCs w:val="0"/>
          <w:caps w:val="0"/>
          <w:color w:val="333333"/>
          <w:spacing w:val="0"/>
          <w:sz w:val="24"/>
          <w:szCs w:val="24"/>
          <w:shd w:val="clear" w:fill="F5F5F5"/>
        </w:rPr>
        <w:t>（3）基金管理。及时编报预决算报表，没有出现预算执行差异较大、赤字、编报错误的现象。基金管理规范，内控制度健全。</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（二）绩效目标完成情况</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1.产出指标完成情况。</w:t>
      </w:r>
    </w:p>
    <w:p>
      <w:pPr>
        <w:spacing w:line="600" w:lineRule="exact"/>
        <w:ind w:firstLine="600"/>
        <w:rPr>
          <w:rFonts w:hint="default" w:ascii="微软雅黑" w:hAnsi="微软雅黑" w:eastAsia="微软雅黑" w:cs="微软雅黑"/>
          <w:i w:val="0"/>
          <w:iCs w:val="0"/>
          <w:caps w:val="0"/>
          <w:color w:val="333333"/>
          <w:spacing w:val="0"/>
          <w:sz w:val="24"/>
          <w:szCs w:val="24"/>
          <w:shd w:val="clear" w:fill="F5F5F5"/>
          <w:lang w:val="en-US" w:eastAsia="zh-CN"/>
        </w:rPr>
      </w:pPr>
      <w:r>
        <w:rPr>
          <w:rFonts w:ascii="微软雅黑" w:hAnsi="微软雅黑" w:eastAsia="微软雅黑" w:cs="微软雅黑"/>
          <w:i w:val="0"/>
          <w:iCs w:val="0"/>
          <w:caps w:val="0"/>
          <w:color w:val="333333"/>
          <w:spacing w:val="0"/>
          <w:sz w:val="24"/>
          <w:szCs w:val="24"/>
          <w:shd w:val="clear" w:fill="F5F5F5"/>
        </w:rPr>
        <w:t xml:space="preserve">1、数量指标 </w:t>
      </w:r>
      <w:r>
        <w:rPr>
          <w:rFonts w:hint="eastAsia" w:ascii="微软雅黑" w:hAnsi="微软雅黑" w:eastAsia="微软雅黑" w:cs="微软雅黑"/>
          <w:i w:val="0"/>
          <w:iCs w:val="0"/>
          <w:caps w:val="0"/>
          <w:color w:val="333333"/>
          <w:spacing w:val="0"/>
          <w:sz w:val="24"/>
          <w:szCs w:val="24"/>
          <w:shd w:val="clear" w:fill="F5F5F5"/>
        </w:rPr>
        <w:t>。</w:t>
      </w:r>
      <w:r>
        <w:rPr>
          <w:rFonts w:hint="eastAsia" w:ascii="微软雅黑" w:hAnsi="微软雅黑" w:eastAsia="微软雅黑" w:cs="微软雅黑"/>
          <w:i w:val="0"/>
          <w:iCs w:val="0"/>
          <w:caps w:val="0"/>
          <w:color w:val="333333"/>
          <w:spacing w:val="0"/>
          <w:sz w:val="24"/>
          <w:szCs w:val="24"/>
          <w:shd w:val="clear" w:fill="F5F5F5"/>
          <w:lang w:val="en-US" w:eastAsia="zh-CN"/>
        </w:rPr>
        <w:t>2024年徐闻县</w:t>
      </w:r>
      <w:r>
        <w:rPr>
          <w:rFonts w:hint="eastAsia" w:ascii="微软雅黑" w:hAnsi="微软雅黑" w:eastAsia="微软雅黑" w:cs="微软雅黑"/>
          <w:i w:val="0"/>
          <w:iCs w:val="0"/>
          <w:caps w:val="0"/>
          <w:color w:val="333333"/>
          <w:spacing w:val="0"/>
          <w:sz w:val="24"/>
          <w:szCs w:val="24"/>
          <w:shd w:val="clear" w:fill="F5F5F5"/>
        </w:rPr>
        <w:t>总计完成参保529899人，完成率98.</w:t>
      </w:r>
      <w:r>
        <w:rPr>
          <w:rFonts w:hint="eastAsia" w:ascii="微软雅黑" w:hAnsi="微软雅黑" w:eastAsia="微软雅黑" w:cs="微软雅黑"/>
          <w:i w:val="0"/>
          <w:iCs w:val="0"/>
          <w:caps w:val="0"/>
          <w:color w:val="333333"/>
          <w:spacing w:val="0"/>
          <w:sz w:val="24"/>
          <w:szCs w:val="24"/>
          <w:shd w:val="clear" w:fill="F5F5F5"/>
          <w:lang w:val="en-US" w:eastAsia="zh-CN"/>
        </w:rPr>
        <w:t>6</w:t>
      </w:r>
      <w:r>
        <w:rPr>
          <w:rFonts w:hint="eastAsia" w:ascii="微软雅黑" w:hAnsi="微软雅黑" w:eastAsia="微软雅黑" w:cs="微软雅黑"/>
          <w:i w:val="0"/>
          <w:iCs w:val="0"/>
          <w:caps w:val="0"/>
          <w:color w:val="333333"/>
          <w:spacing w:val="0"/>
          <w:sz w:val="24"/>
          <w:szCs w:val="24"/>
          <w:shd w:val="clear" w:fill="F5F5F5"/>
        </w:rPr>
        <w:t>%。</w:t>
      </w:r>
      <w:r>
        <w:rPr>
          <w:rFonts w:hint="eastAsia" w:ascii="微软雅黑" w:hAnsi="微软雅黑" w:eastAsia="微软雅黑" w:cs="微软雅黑"/>
          <w:i w:val="0"/>
          <w:iCs w:val="0"/>
          <w:caps w:val="0"/>
          <w:color w:val="333333"/>
          <w:spacing w:val="0"/>
          <w:sz w:val="24"/>
          <w:szCs w:val="24"/>
          <w:shd w:val="clear" w:fill="F5F5F5"/>
          <w:lang w:eastAsia="zh-CN"/>
        </w:rPr>
        <w:t>，各级财政补助</w:t>
      </w:r>
      <w:r>
        <w:rPr>
          <w:rFonts w:hint="eastAsia" w:ascii="微软雅黑" w:hAnsi="微软雅黑" w:eastAsia="微软雅黑" w:cs="微软雅黑"/>
          <w:i w:val="0"/>
          <w:iCs w:val="0"/>
          <w:caps w:val="0"/>
          <w:color w:val="333333"/>
          <w:spacing w:val="0"/>
          <w:sz w:val="24"/>
          <w:szCs w:val="24"/>
          <w:shd w:val="clear" w:fill="F5F5F5"/>
          <w:lang w:val="en-US" w:eastAsia="zh-CN"/>
        </w:rPr>
        <w:t>670元一人。</w:t>
      </w:r>
    </w:p>
    <w:p>
      <w:pPr>
        <w:spacing w:line="600" w:lineRule="exact"/>
        <w:ind w:firstLine="600"/>
        <w:rPr>
          <w:rFonts w:hint="eastAsia" w:ascii="微软雅黑" w:hAnsi="微软雅黑" w:eastAsia="微软雅黑" w:cs="微软雅黑"/>
          <w:i w:val="0"/>
          <w:iCs w:val="0"/>
          <w:caps w:val="0"/>
          <w:color w:val="333333"/>
          <w:spacing w:val="0"/>
          <w:sz w:val="24"/>
          <w:szCs w:val="24"/>
          <w:shd w:val="clear" w:fill="F5F5F5"/>
          <w:lang w:eastAsia="zh-CN"/>
        </w:rPr>
      </w:pPr>
      <w:r>
        <w:rPr>
          <w:rFonts w:ascii="微软雅黑" w:hAnsi="微软雅黑" w:eastAsia="微软雅黑" w:cs="微软雅黑"/>
          <w:i w:val="0"/>
          <w:iCs w:val="0"/>
          <w:caps w:val="0"/>
          <w:color w:val="333333"/>
          <w:spacing w:val="0"/>
          <w:sz w:val="24"/>
          <w:szCs w:val="24"/>
          <w:shd w:val="clear" w:fill="F5F5F5"/>
        </w:rPr>
        <w:t xml:space="preserve"> 2、质量指标</w:t>
      </w:r>
      <w:r>
        <w:rPr>
          <w:rFonts w:hint="eastAsia" w:ascii="微软雅黑" w:hAnsi="微软雅黑" w:eastAsia="微软雅黑" w:cs="微软雅黑"/>
          <w:i w:val="0"/>
          <w:iCs w:val="0"/>
          <w:caps w:val="0"/>
          <w:color w:val="333333"/>
          <w:spacing w:val="0"/>
          <w:sz w:val="24"/>
          <w:szCs w:val="24"/>
          <w:shd w:val="clear" w:fill="F5F5F5"/>
          <w:lang w:eastAsia="zh-CN"/>
        </w:rPr>
        <w:t>。</w:t>
      </w:r>
      <w:r>
        <w:rPr>
          <w:rFonts w:ascii="微软雅黑" w:hAnsi="微软雅黑" w:eastAsia="微软雅黑" w:cs="微软雅黑"/>
          <w:i w:val="0"/>
          <w:iCs w:val="0"/>
          <w:caps w:val="0"/>
          <w:color w:val="333333"/>
          <w:spacing w:val="0"/>
          <w:sz w:val="24"/>
          <w:szCs w:val="24"/>
          <w:shd w:val="clear" w:fill="F5F5F5"/>
        </w:rPr>
        <w:t xml:space="preserve"> 积极推进按人头付费等支付方式改革</w:t>
      </w:r>
      <w:r>
        <w:rPr>
          <w:rFonts w:hint="eastAsia" w:ascii="微软雅黑" w:hAnsi="微软雅黑" w:eastAsia="微软雅黑" w:cs="微软雅黑"/>
          <w:i w:val="0"/>
          <w:iCs w:val="0"/>
          <w:caps w:val="0"/>
          <w:color w:val="333333"/>
          <w:spacing w:val="0"/>
          <w:sz w:val="24"/>
          <w:szCs w:val="24"/>
          <w:shd w:val="clear" w:fill="F5F5F5"/>
          <w:lang w:eastAsia="zh-CN"/>
        </w:rPr>
        <w:t>，参保人政策范围内住院费用报销比例</w:t>
      </w:r>
      <w:r>
        <w:rPr>
          <w:rFonts w:hint="eastAsia" w:ascii="微软雅黑" w:hAnsi="微软雅黑" w:eastAsia="微软雅黑" w:cs="微软雅黑"/>
          <w:i w:val="0"/>
          <w:iCs w:val="0"/>
          <w:caps w:val="0"/>
          <w:color w:val="333333"/>
          <w:spacing w:val="0"/>
          <w:sz w:val="24"/>
          <w:szCs w:val="24"/>
          <w:shd w:val="clear" w:fill="F5F5F5"/>
          <w:lang w:val="en-US" w:eastAsia="zh-CN"/>
        </w:rPr>
        <w:t>大于70%，参保人住院费用实际报销比例≥55%</w:t>
      </w:r>
      <w:r>
        <w:rPr>
          <w:rFonts w:hint="eastAsia" w:ascii="微软雅黑" w:hAnsi="微软雅黑" w:eastAsia="微软雅黑" w:cs="微软雅黑"/>
          <w:i w:val="0"/>
          <w:iCs w:val="0"/>
          <w:caps w:val="0"/>
          <w:color w:val="333333"/>
          <w:spacing w:val="0"/>
          <w:sz w:val="24"/>
          <w:szCs w:val="24"/>
          <w:shd w:val="clear" w:fill="F5F5F5"/>
          <w:lang w:eastAsia="zh-CN"/>
        </w:rPr>
        <w:t>。</w:t>
      </w:r>
    </w:p>
    <w:p>
      <w:pPr>
        <w:spacing w:line="600" w:lineRule="exact"/>
        <w:ind w:left="479" w:leftChars="228" w:firstLine="240" w:firstLineChars="100"/>
        <w:rPr>
          <w:rFonts w:hint="eastAsia" w:ascii="仿宋_GB2312" w:hAnsi="仿宋_GB2312" w:eastAsia="仿宋_GB2312"/>
          <w:kern w:val="1"/>
          <w:sz w:val="32"/>
          <w:szCs w:val="32"/>
        </w:rPr>
      </w:pPr>
      <w:r>
        <w:rPr>
          <w:rFonts w:hint="eastAsia" w:ascii="微软雅黑" w:hAnsi="微软雅黑" w:eastAsia="微软雅黑" w:cs="微软雅黑"/>
          <w:i w:val="0"/>
          <w:iCs w:val="0"/>
          <w:caps w:val="0"/>
          <w:color w:val="333333"/>
          <w:spacing w:val="0"/>
          <w:sz w:val="24"/>
          <w:szCs w:val="24"/>
          <w:shd w:val="clear" w:fill="F5F5F5"/>
          <w:lang w:val="en-US" w:eastAsia="zh-CN"/>
        </w:rPr>
        <w:t>3、</w:t>
      </w:r>
      <w:r>
        <w:rPr>
          <w:rFonts w:ascii="微软雅黑" w:hAnsi="微软雅黑" w:eastAsia="微软雅黑" w:cs="微软雅黑"/>
          <w:i w:val="0"/>
          <w:iCs w:val="0"/>
          <w:caps w:val="0"/>
          <w:color w:val="333333"/>
          <w:spacing w:val="0"/>
          <w:sz w:val="24"/>
          <w:szCs w:val="24"/>
          <w:shd w:val="clear" w:fill="F5F5F5"/>
        </w:rPr>
        <w:t xml:space="preserve">成本指标 </w:t>
      </w:r>
      <w:r>
        <w:rPr>
          <w:rFonts w:hint="eastAsia" w:ascii="微软雅黑" w:hAnsi="微软雅黑" w:eastAsia="微软雅黑" w:cs="微软雅黑"/>
          <w:i w:val="0"/>
          <w:iCs w:val="0"/>
          <w:caps w:val="0"/>
          <w:color w:val="333333"/>
          <w:spacing w:val="0"/>
          <w:sz w:val="24"/>
          <w:szCs w:val="24"/>
          <w:shd w:val="clear" w:fill="F5F5F5"/>
          <w:lang w:eastAsia="zh-CN"/>
        </w:rPr>
        <w:t>。预算成本控制，不超过预算。</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2.效益指标完成情况。</w:t>
      </w:r>
    </w:p>
    <w:p>
      <w:pPr>
        <w:spacing w:line="600" w:lineRule="exact"/>
        <w:ind w:firstLine="600"/>
        <w:rPr>
          <w:rFonts w:hint="eastAsia" w:ascii="仿宋_GB2312" w:hAnsi="仿宋_GB2312" w:eastAsia="仿宋_GB2312"/>
          <w:kern w:val="1"/>
          <w:sz w:val="32"/>
          <w:szCs w:val="32"/>
        </w:rPr>
      </w:pPr>
      <w:r>
        <w:rPr>
          <w:rFonts w:hint="eastAsia" w:ascii="微软雅黑" w:hAnsi="微软雅黑" w:eastAsia="微软雅黑" w:cs="微软雅黑"/>
          <w:i w:val="0"/>
          <w:iCs w:val="0"/>
          <w:caps w:val="0"/>
          <w:color w:val="333333"/>
          <w:spacing w:val="0"/>
          <w:sz w:val="24"/>
          <w:szCs w:val="24"/>
          <w:shd w:val="clear" w:fill="F5F5F5"/>
          <w:lang w:val="en-US" w:eastAsia="zh-CN"/>
        </w:rPr>
        <w:t>1、</w:t>
      </w:r>
      <w:r>
        <w:rPr>
          <w:rFonts w:ascii="微软雅黑" w:hAnsi="微软雅黑" w:eastAsia="微软雅黑" w:cs="微软雅黑"/>
          <w:i w:val="0"/>
          <w:iCs w:val="0"/>
          <w:caps w:val="0"/>
          <w:color w:val="333333"/>
          <w:spacing w:val="0"/>
          <w:sz w:val="24"/>
          <w:szCs w:val="24"/>
          <w:shd w:val="clear" w:fill="F5F5F5"/>
        </w:rPr>
        <w:t>服务对象满意度 参保群众对工作满意度达≥</w:t>
      </w:r>
      <w:r>
        <w:rPr>
          <w:rFonts w:hint="eastAsia" w:ascii="微软雅黑" w:hAnsi="微软雅黑" w:eastAsia="微软雅黑" w:cs="微软雅黑"/>
          <w:i w:val="0"/>
          <w:iCs w:val="0"/>
          <w:caps w:val="0"/>
          <w:color w:val="333333"/>
          <w:spacing w:val="0"/>
          <w:sz w:val="24"/>
          <w:szCs w:val="24"/>
          <w:shd w:val="clear" w:fill="F5F5F5"/>
          <w:lang w:val="en-US" w:eastAsia="zh-CN"/>
        </w:rPr>
        <w:t>90</w:t>
      </w:r>
      <w:r>
        <w:rPr>
          <w:rFonts w:ascii="微软雅黑" w:hAnsi="微软雅黑" w:eastAsia="微软雅黑" w:cs="微软雅黑"/>
          <w:i w:val="0"/>
          <w:iCs w:val="0"/>
          <w:caps w:val="0"/>
          <w:color w:val="333333"/>
          <w:spacing w:val="0"/>
          <w:sz w:val="24"/>
          <w:szCs w:val="24"/>
          <w:shd w:val="clear" w:fill="F5F5F5"/>
        </w:rPr>
        <w:t>%，政策知晓率达≥</w:t>
      </w:r>
      <w:r>
        <w:rPr>
          <w:rFonts w:hint="eastAsia" w:ascii="微软雅黑" w:hAnsi="微软雅黑" w:eastAsia="微软雅黑" w:cs="微软雅黑"/>
          <w:i w:val="0"/>
          <w:iCs w:val="0"/>
          <w:caps w:val="0"/>
          <w:color w:val="333333"/>
          <w:spacing w:val="0"/>
          <w:sz w:val="24"/>
          <w:szCs w:val="24"/>
          <w:shd w:val="clear" w:fill="F5F5F5"/>
          <w:lang w:val="en-US" w:eastAsia="zh-CN"/>
        </w:rPr>
        <w:t>90</w:t>
      </w:r>
      <w:r>
        <w:rPr>
          <w:rFonts w:ascii="微软雅黑" w:hAnsi="微软雅黑" w:eastAsia="微软雅黑" w:cs="微软雅黑"/>
          <w:i w:val="0"/>
          <w:iCs w:val="0"/>
          <w:caps w:val="0"/>
          <w:color w:val="333333"/>
          <w:spacing w:val="0"/>
          <w:sz w:val="24"/>
          <w:szCs w:val="24"/>
          <w:shd w:val="clear" w:fill="F5F5F5"/>
        </w:rPr>
        <w:t>%。</w:t>
      </w:r>
    </w:p>
    <w:p>
      <w:p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五、主要经验、存在的问题和偏离绩效目标的原因分析</w:t>
      </w:r>
    </w:p>
    <w:p>
      <w:pPr>
        <w:spacing w:line="600" w:lineRule="exact"/>
        <w:ind w:firstLine="600"/>
        <w:rPr>
          <w:rFonts w:hint="eastAsia" w:ascii="宋体" w:hAnsi="宋体" w:eastAsia="宋体" w:cs="宋体"/>
          <w:i w:val="0"/>
          <w:iCs w:val="0"/>
          <w:caps w:val="0"/>
          <w:color w:val="333333"/>
          <w:spacing w:val="0"/>
          <w:sz w:val="28"/>
          <w:szCs w:val="28"/>
          <w:shd w:val="clear" w:fill="F5F5F5"/>
        </w:rPr>
      </w:pPr>
      <w:r>
        <w:rPr>
          <w:rFonts w:hint="eastAsia" w:ascii="宋体" w:hAnsi="宋体" w:eastAsia="宋体" w:cs="宋体"/>
          <w:i w:val="0"/>
          <w:iCs w:val="0"/>
          <w:caps w:val="0"/>
          <w:color w:val="333333"/>
          <w:spacing w:val="0"/>
          <w:sz w:val="28"/>
          <w:szCs w:val="28"/>
          <w:shd w:val="clear" w:fill="F5F5F5"/>
        </w:rPr>
        <w:t>城乡居民医保个人缴费标</w:t>
      </w:r>
      <w:r>
        <w:rPr>
          <w:rFonts w:hint="eastAsia" w:ascii="宋体" w:hAnsi="宋体" w:eastAsia="宋体" w:cs="宋体"/>
          <w:i w:val="0"/>
          <w:iCs w:val="0"/>
          <w:caps w:val="0"/>
          <w:color w:val="333333"/>
          <w:spacing w:val="0"/>
          <w:sz w:val="28"/>
          <w:szCs w:val="28"/>
          <w:shd w:val="clear" w:fill="F5F5F5"/>
          <w:lang w:eastAsia="zh-CN"/>
        </w:rPr>
        <w:t>准</w:t>
      </w:r>
      <w:r>
        <w:rPr>
          <w:rFonts w:hint="eastAsia" w:ascii="宋体" w:hAnsi="宋体" w:eastAsia="宋体" w:cs="宋体"/>
          <w:i w:val="0"/>
          <w:iCs w:val="0"/>
          <w:caps w:val="0"/>
          <w:color w:val="333333"/>
          <w:spacing w:val="0"/>
          <w:sz w:val="28"/>
          <w:szCs w:val="28"/>
          <w:shd w:val="clear" w:fill="F5F5F5"/>
        </w:rPr>
        <w:t>高，群众反响大</w:t>
      </w:r>
    </w:p>
    <w:p>
      <w:pPr>
        <w:spacing w:line="600" w:lineRule="exact"/>
        <w:ind w:firstLine="600"/>
        <w:rPr>
          <w:rFonts w:hint="eastAsia" w:ascii="宋体" w:hAnsi="宋体" w:eastAsia="宋体" w:cs="宋体"/>
          <w:kern w:val="1"/>
          <w:sz w:val="28"/>
          <w:szCs w:val="28"/>
        </w:rPr>
      </w:pPr>
      <w:r>
        <w:rPr>
          <w:rFonts w:hint="eastAsia" w:ascii="宋体" w:hAnsi="宋体" w:eastAsia="宋体" w:cs="宋体"/>
          <w:i w:val="0"/>
          <w:iCs w:val="0"/>
          <w:caps w:val="0"/>
          <w:color w:val="333333"/>
          <w:spacing w:val="0"/>
          <w:sz w:val="28"/>
          <w:szCs w:val="28"/>
          <w:shd w:val="clear" w:fill="F5F5F5"/>
        </w:rPr>
        <w:t>筹资标准高，群众对政策产生了疑惑，同时普遍反应负担过重，增加了工作难度，降低了参保率。</w:t>
      </w:r>
    </w:p>
    <w:p>
      <w:p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六、改进意见</w:t>
      </w:r>
    </w:p>
    <w:p>
      <w:pPr>
        <w:spacing w:line="600" w:lineRule="exact"/>
        <w:ind w:firstLine="600"/>
        <w:rPr>
          <w:rFonts w:hint="eastAsia" w:ascii="宋体" w:hAnsi="宋体" w:eastAsia="宋体" w:cs="宋体"/>
          <w:kern w:val="1"/>
          <w:sz w:val="28"/>
          <w:szCs w:val="28"/>
        </w:rPr>
      </w:pPr>
      <w:r>
        <w:rPr>
          <w:rFonts w:hint="eastAsia" w:ascii="宋体" w:hAnsi="宋体" w:eastAsia="宋体" w:cs="宋体"/>
          <w:i w:val="0"/>
          <w:iCs w:val="0"/>
          <w:caps w:val="0"/>
          <w:color w:val="333333"/>
          <w:spacing w:val="0"/>
          <w:sz w:val="28"/>
          <w:szCs w:val="28"/>
          <w:shd w:val="clear" w:fill="F5F5F5"/>
        </w:rPr>
        <w:t>建立健全筹集机制，确保资金足额到位。城乡居民医疗保险是一项利民、惠民政策，参保人员的个人缴费占基金的比例较小，资金筹集主要靠各级财政补助投入，希望政府加大对城乡居民医保的资金投入，提高医疗报销比例，切实减轻城乡居民负担。</w:t>
      </w:r>
    </w:p>
    <w:p>
      <w:p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七、绩效自评结果拟应用和公开情况</w:t>
      </w:r>
    </w:p>
    <w:p>
      <w:pPr>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i w:val="0"/>
          <w:iCs w:val="0"/>
          <w:caps w:val="0"/>
          <w:color w:val="333333"/>
          <w:spacing w:val="0"/>
          <w:sz w:val="28"/>
          <w:szCs w:val="28"/>
          <w:shd w:val="clear" w:fill="F1F1F1"/>
        </w:rPr>
        <w:t>我单位将对绩效自评中发现的问题认真分析、整改落实，不断提高转移支付资金使用效益，并严格按照相关工作要求对绩效自评结果进行公开。</w:t>
      </w:r>
    </w:p>
    <w:p>
      <w:pPr>
        <w:snapToGrid w:val="0"/>
        <w:spacing w:line="360" w:lineRule="auto"/>
        <w:ind w:firstLine="640" w:firstLineChars="200"/>
        <w:rPr>
          <w:rFonts w:hint="eastAsia" w:ascii="黑体" w:hAnsi="黑体" w:eastAsia="黑体" w:cs="黑体"/>
          <w:bCs/>
          <w:sz w:val="32"/>
          <w:szCs w:val="32"/>
        </w:rPr>
      </w:pPr>
    </w:p>
    <w:p/>
    <w:sectPr>
      <w:headerReference r:id="rId3" w:type="default"/>
      <w:footerReference r:id="rId4" w:type="default"/>
      <w:footerReference r:id="rId5" w:type="even"/>
      <w:pgSz w:w="11906" w:h="16838"/>
      <w:pgMar w:top="1440" w:right="1466" w:bottom="144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4</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D3EFD7"/>
    <w:multiLevelType w:val="singleLevel"/>
    <w:tmpl w:val="9FD3EFD7"/>
    <w:lvl w:ilvl="0" w:tentative="0">
      <w:start w:val="2"/>
      <w:numFmt w:val="decimal"/>
      <w:suff w:val="nothing"/>
      <w:lvlText w:val="（%1）"/>
      <w:lvlJc w:val="left"/>
    </w:lvl>
  </w:abstractNum>
  <w:abstractNum w:abstractNumId="1">
    <w:nsid w:val="B7A40315"/>
    <w:multiLevelType w:val="singleLevel"/>
    <w:tmpl w:val="B7A40315"/>
    <w:lvl w:ilvl="0" w:tentative="0">
      <w:start w:val="1"/>
      <w:numFmt w:val="decimal"/>
      <w:suff w:val="nothing"/>
      <w:lvlText w:val="%1、"/>
      <w:lvlJc w:val="left"/>
      <w:pPr>
        <w:ind w:left="800" w:leftChars="0" w:firstLine="0" w:firstLineChars="0"/>
      </w:pPr>
    </w:lvl>
  </w:abstractNum>
  <w:abstractNum w:abstractNumId="2">
    <w:nsid w:val="E911BCB5"/>
    <w:multiLevelType w:val="singleLevel"/>
    <w:tmpl w:val="E911BCB5"/>
    <w:lvl w:ilvl="0" w:tentative="0">
      <w:start w:val="2"/>
      <w:numFmt w:val="decimal"/>
      <w:suff w:val="nothing"/>
      <w:lvlText w:val="（%1）"/>
      <w:lvlJc w:val="left"/>
      <w:pPr>
        <w:ind w:left="920" w:leftChars="0" w:firstLine="0" w:firstLineChars="0"/>
      </w:pPr>
    </w:lvl>
  </w:abstractNum>
  <w:abstractNum w:abstractNumId="3">
    <w:nsid w:val="2F9E5C46"/>
    <w:multiLevelType w:val="singleLevel"/>
    <w:tmpl w:val="2F9E5C46"/>
    <w:lvl w:ilvl="0" w:tentative="0">
      <w:start w:val="3"/>
      <w:numFmt w:val="decimal"/>
      <w:lvlText w:val="%1."/>
      <w:lvlJc w:val="left"/>
      <w:pPr>
        <w:tabs>
          <w:tab w:val="left" w:pos="312"/>
        </w:tabs>
      </w:pPr>
    </w:lvl>
  </w:abstractNum>
  <w:abstractNum w:abstractNumId="4">
    <w:nsid w:val="308ECBEE"/>
    <w:multiLevelType w:val="singleLevel"/>
    <w:tmpl w:val="308ECBEE"/>
    <w:lvl w:ilvl="0" w:tentative="0">
      <w:start w:val="1"/>
      <w:numFmt w:val="chineseCounting"/>
      <w:suff w:val="nothing"/>
      <w:lvlText w:val="（%1）"/>
      <w:lvlJc w:val="left"/>
      <w:pPr>
        <w:ind w:left="640" w:leftChars="0" w:firstLine="0" w:firstLineChars="0"/>
      </w:pPr>
      <w:rPr>
        <w:rFonts w:hint="eastAsia"/>
      </w:rPr>
    </w:lvl>
  </w:abstractNum>
  <w:abstractNum w:abstractNumId="5">
    <w:nsid w:val="30922D69"/>
    <w:multiLevelType w:val="singleLevel"/>
    <w:tmpl w:val="30922D69"/>
    <w:lvl w:ilvl="0" w:tentative="0">
      <w:start w:val="2"/>
      <w:numFmt w:val="chineseCounting"/>
      <w:suff w:val="nothing"/>
      <w:lvlText w:val="（%1）"/>
      <w:lvlJc w:val="left"/>
      <w:rPr>
        <w:rFonts w:hint="eastAsia"/>
      </w:rPr>
    </w:lvl>
  </w:abstractNum>
  <w:abstractNum w:abstractNumId="6">
    <w:nsid w:val="5F0BE44D"/>
    <w:multiLevelType w:val="singleLevel"/>
    <w:tmpl w:val="5F0BE44D"/>
    <w:lvl w:ilvl="0" w:tentative="0">
      <w:start w:val="4"/>
      <w:numFmt w:val="chineseCounting"/>
      <w:suff w:val="nothing"/>
      <w:lvlText w:val="%1、"/>
      <w:lvlJc w:val="left"/>
    </w:lvl>
  </w:abstractNum>
  <w:num w:numId="1">
    <w:abstractNumId w:val="5"/>
  </w:num>
  <w:num w:numId="2">
    <w:abstractNumId w:val="4"/>
  </w:num>
  <w:num w:numId="3">
    <w:abstractNumId w:val="6"/>
  </w:num>
  <w:num w:numId="4">
    <w:abstractNumId w:val="3"/>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56401E"/>
    <w:rsid w:val="01EF4DA2"/>
    <w:rsid w:val="05FA4449"/>
    <w:rsid w:val="0B52237E"/>
    <w:rsid w:val="14C34533"/>
    <w:rsid w:val="26F55A71"/>
    <w:rsid w:val="2C8E2C44"/>
    <w:rsid w:val="2D56401E"/>
    <w:rsid w:val="2F5E042B"/>
    <w:rsid w:val="386115E2"/>
    <w:rsid w:val="3F5A172D"/>
    <w:rsid w:val="56140065"/>
    <w:rsid w:val="5C4F0B13"/>
    <w:rsid w:val="65693AD3"/>
    <w:rsid w:val="70FC0A31"/>
    <w:rsid w:val="74CB28DA"/>
    <w:rsid w:val="7C687054"/>
    <w:rsid w:val="7DC46B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1915</Words>
  <Characters>1992</Characters>
  <Lines>0</Lines>
  <Paragraphs>0</Paragraphs>
  <TotalTime>21</TotalTime>
  <ScaleCrop>false</ScaleCrop>
  <LinksUpToDate>false</LinksUpToDate>
  <CharactersWithSpaces>2012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2025-10-28T09:01:00Z</dcterms:created>
  <dc:creator>Administrator</dc:creator>
  <cp:lastModifiedBy>Administrator</cp:lastModifiedBy>
  <dcterms:modified xsi:type="dcterms:W3CDTF">2025-10-30T09:51:03Z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896C1888F8404BF2B724AA3232E916CE</vt:lpwstr>
  </property>
  <property fmtid="{D5CDD505-2E9C-101B-9397-08002B2CF9AE}" pid="4" name="KSOTemplateDocerSaveRecord">
    <vt:lpwstr>eyJoZGlkIjoiNmI0MjJmN2Y3Njg0MWRiNWVhMjliMDY0YTliYzg4M2YiLCJ1c2VySWQiOiIyNDg0MDgzMzEifQ==</vt:lpwstr>
  </property>
</Properties>
</file>