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_GBK" w:eastAsia="方正小标宋_GBK"/>
          <w:sz w:val="44"/>
          <w:szCs w:val="44"/>
        </w:rPr>
      </w:pPr>
    </w:p>
    <w:p>
      <w:pPr>
        <w:spacing w:line="620" w:lineRule="exact"/>
        <w:jc w:val="center"/>
        <w:rPr>
          <w:rFonts w:hint="eastAsia" w:ascii="方正小标宋_GBK" w:eastAsia="方正小标宋_GBK"/>
          <w:sz w:val="44"/>
          <w:szCs w:val="44"/>
        </w:rPr>
      </w:pPr>
    </w:p>
    <w:p>
      <w:pPr>
        <w:spacing w:line="620" w:lineRule="exact"/>
        <w:jc w:val="center"/>
        <w:rPr>
          <w:rFonts w:hint="eastAsia" w:ascii="方正小标宋_GBK" w:eastAsia="方正小标宋_GBK"/>
          <w:sz w:val="44"/>
          <w:szCs w:val="44"/>
        </w:rPr>
      </w:pPr>
    </w:p>
    <w:p>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pPr>
        <w:spacing w:line="620" w:lineRule="exact"/>
        <w:jc w:val="center"/>
        <w:rPr>
          <w:rFonts w:hint="eastAsia" w:ascii="仿宋_GB2312" w:eastAsia="仿宋_GB2312"/>
          <w:sz w:val="30"/>
        </w:rPr>
      </w:pPr>
      <w:r>
        <w:rPr>
          <w:rFonts w:hint="eastAsia" w:ascii="仿宋_GB2312" w:eastAsia="仿宋_GB2312"/>
          <w:sz w:val="30"/>
        </w:rPr>
        <w:t>（参考格式）</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2"/>
          <w:szCs w:val="32"/>
        </w:rPr>
      </w:pPr>
    </w:p>
    <w:p>
      <w:pPr>
        <w:spacing w:line="620" w:lineRule="exact"/>
        <w:ind w:firstLine="640" w:firstLineChars="200"/>
        <w:rPr>
          <w:rFonts w:hint="eastAsia" w:ascii="仿宋_GB2312" w:eastAsia="仿宋_GB2312"/>
          <w:sz w:val="32"/>
          <w:szCs w:val="32"/>
        </w:rPr>
      </w:pPr>
      <w:r>
        <w:rPr>
          <w:rFonts w:hint="eastAsia" w:ascii="仿宋_GB2312" w:eastAsia="仿宋_GB2312"/>
          <w:sz w:val="32"/>
          <w:szCs w:val="32"/>
        </w:rPr>
        <w:t>项目名称：2023年城乡居民基本医疗保险</w:t>
      </w:r>
    </w:p>
    <w:p>
      <w:pPr>
        <w:spacing w:line="62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2024年</w:t>
      </w:r>
    </w:p>
    <w:p>
      <w:pPr>
        <w:spacing w:line="62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评价单位</w:t>
      </w:r>
      <w:r>
        <w:rPr>
          <w:rFonts w:hint="eastAsia" w:ascii="仿宋_GB2312" w:eastAsia="仿宋_GB2312"/>
          <w:sz w:val="32"/>
          <w:szCs w:val="32"/>
        </w:rPr>
        <w:t>（公章）：</w:t>
      </w:r>
      <w:r>
        <w:rPr>
          <w:rFonts w:hint="eastAsia" w:ascii="仿宋_GB2312" w:eastAsia="仿宋_GB2312"/>
          <w:sz w:val="32"/>
          <w:szCs w:val="32"/>
          <w:lang w:eastAsia="zh-CN"/>
        </w:rPr>
        <w:t>徐闻县医疗保障局</w:t>
      </w:r>
    </w:p>
    <w:p>
      <w:pPr>
        <w:spacing w:line="62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2025年10月28日</w:t>
      </w:r>
    </w:p>
    <w:p>
      <w:pPr>
        <w:spacing w:line="620" w:lineRule="exact"/>
        <w:rPr>
          <w:rFonts w:hint="eastAsia" w:ascii="仿宋_GB2312" w:eastAsia="仿宋_GB2312"/>
          <w:sz w:val="32"/>
          <w:szCs w:val="32"/>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（一）项目概况。</w:t>
      </w:r>
    </w:p>
    <w:p>
      <w:pPr>
        <w:spacing w:line="600" w:lineRule="exact"/>
        <w:ind w:left="559" w:leftChars="266" w:firstLine="792" w:firstLineChars="283"/>
        <w:rPr>
          <w:rFonts w:hint="eastAsia" w:ascii="仿宋_GB2312" w:hAnsi="仿宋_GB2312" w:eastAsia="仿宋_GB2312"/>
          <w:kern w:val="1"/>
          <w:sz w:val="32"/>
          <w:szCs w:val="32"/>
          <w:lang w:val="en-US" w:eastAsia="zh-CN"/>
        </w:rPr>
      </w:pPr>
      <w:r>
        <w:rPr>
          <w:rFonts w:hint="eastAsia" w:ascii="宋体" w:hAnsi="宋体" w:eastAsia="宋体" w:cs="宋体"/>
          <w:i w:val="0"/>
          <w:iCs w:val="0"/>
          <w:caps w:val="0"/>
          <w:color w:val="303133"/>
          <w:spacing w:val="0"/>
          <w:sz w:val="28"/>
          <w:szCs w:val="28"/>
          <w:shd w:val="clear" w:fill="FFFFFF"/>
        </w:rPr>
        <w:t>依据湛财社［2023］209号，2023年城乡居民基本医疗保险人均财政补助标准640元，2023年徐闻县财政负担每人每年48元，总合计252</w:t>
      </w:r>
      <w:r>
        <w:rPr>
          <w:rFonts w:hint="eastAsia" w:ascii="宋体" w:hAnsi="宋体" w:cs="宋体"/>
          <w:i w:val="0"/>
          <w:iCs w:val="0"/>
          <w:caps w:val="0"/>
          <w:color w:val="303133"/>
          <w:spacing w:val="0"/>
          <w:sz w:val="28"/>
          <w:szCs w:val="28"/>
          <w:shd w:val="clear" w:fill="FFFFFF"/>
          <w:lang w:val="en-US" w:eastAsia="zh-CN"/>
        </w:rPr>
        <w:t>3万元</w:t>
      </w:r>
      <w:r>
        <w:rPr>
          <w:rFonts w:hint="eastAsia" w:ascii="宋体" w:hAnsi="宋体" w:eastAsia="宋体" w:cs="宋体"/>
          <w:i w:val="0"/>
          <w:iCs w:val="0"/>
          <w:caps w:val="0"/>
          <w:color w:val="303133"/>
          <w:spacing w:val="0"/>
          <w:sz w:val="28"/>
          <w:szCs w:val="28"/>
          <w:shd w:val="clear" w:fill="FFFFFF"/>
        </w:rPr>
        <w:t>，按规定拨入市级社会保障基金财政专户</w:t>
      </w:r>
      <w:r>
        <w:rPr>
          <w:rFonts w:hint="eastAsia" w:ascii="宋体" w:hAnsi="宋体" w:eastAsia="宋体" w:cs="宋体"/>
          <w:i w:val="0"/>
          <w:iCs w:val="0"/>
          <w:caps w:val="0"/>
          <w:color w:val="303133"/>
          <w:spacing w:val="0"/>
          <w:sz w:val="28"/>
          <w:szCs w:val="28"/>
          <w:shd w:val="clear" w:fill="FFFFFF"/>
          <w:lang w:eastAsia="zh-CN"/>
        </w:rPr>
        <w:t>。</w:t>
      </w:r>
      <w:r>
        <w:rPr>
          <w:rFonts w:hint="eastAsia" w:ascii="仿宋_GB2312" w:hAnsi="仿宋_GB2312" w:eastAsia="仿宋_GB2312"/>
          <w:kern w:val="1"/>
          <w:sz w:val="32"/>
          <w:szCs w:val="32"/>
          <w:lang w:val="en-US" w:eastAsia="zh-CN"/>
        </w:rPr>
        <w:t xml:space="preserve">        </w:t>
      </w:r>
    </w:p>
    <w:p>
      <w:pPr>
        <w:numPr>
          <w:ilvl w:val="0"/>
          <w:numId w:val="1"/>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评价年度项目绩效目标设定情况。</w:t>
      </w:r>
    </w:p>
    <w:p>
      <w:pPr>
        <w:numPr>
          <w:ilvl w:val="0"/>
          <w:numId w:val="0"/>
        </w:numPr>
        <w:spacing w:line="600" w:lineRule="exact"/>
        <w:ind w:left="1280" w:hanging="1280" w:hangingChars="400"/>
        <w:rPr>
          <w:rFonts w:hint="eastAsia" w:ascii="宋体" w:hAnsi="宋体" w:eastAsia="宋体" w:cs="宋体"/>
          <w:i w:val="0"/>
          <w:iCs w:val="0"/>
          <w:caps w:val="0"/>
          <w:color w:val="auto"/>
          <w:spacing w:val="0"/>
          <w:sz w:val="28"/>
          <w:szCs w:val="28"/>
          <w:shd w:val="clear" w:fill="F4FAFF"/>
        </w:rPr>
      </w:pPr>
      <w:r>
        <w:rPr>
          <w:rFonts w:hint="eastAsia" w:ascii="仿宋_GB2312" w:hAnsi="仿宋_GB2312" w:eastAsia="仿宋_GB2312"/>
          <w:kern w:val="1"/>
          <w:sz w:val="32"/>
          <w:szCs w:val="32"/>
          <w:lang w:val="en-US" w:eastAsia="zh-CN"/>
        </w:rPr>
        <w:t xml:space="preserve">         </w:t>
      </w:r>
      <w:r>
        <w:rPr>
          <w:rFonts w:hint="eastAsia" w:ascii="宋体" w:hAnsi="宋体" w:cs="宋体"/>
          <w:kern w:val="1"/>
          <w:sz w:val="28"/>
          <w:szCs w:val="28"/>
          <w:lang w:val="en-US" w:eastAsia="zh-CN"/>
        </w:rPr>
        <w:t>总体</w:t>
      </w:r>
      <w:r>
        <w:rPr>
          <w:rFonts w:hint="eastAsia" w:ascii="宋体" w:hAnsi="宋体" w:eastAsia="宋体" w:cs="宋体"/>
          <w:i w:val="0"/>
          <w:iCs w:val="0"/>
          <w:caps w:val="0"/>
          <w:color w:val="auto"/>
          <w:spacing w:val="0"/>
          <w:sz w:val="28"/>
          <w:szCs w:val="28"/>
          <w:shd w:val="clear" w:fill="F4FAFF"/>
        </w:rPr>
        <w:t>目标1:巩固参保率 目标2:稳步提高保障水平 目标3:实现基金收支平衡</w:t>
      </w:r>
    </w:p>
    <w:p>
      <w:pPr>
        <w:numPr>
          <w:ilvl w:val="0"/>
          <w:numId w:val="0"/>
        </w:numPr>
        <w:spacing w:line="600" w:lineRule="exact"/>
        <w:ind w:left="1280" w:hanging="1280" w:hangingChars="400"/>
        <w:jc w:val="both"/>
        <w:rPr>
          <w:rFonts w:hint="eastAsia" w:ascii="仿宋_GB2312" w:hAnsi="仿宋_GB2312" w:eastAsia="仿宋_GB2312"/>
          <w:kern w:val="1"/>
          <w:sz w:val="32"/>
          <w:szCs w:val="32"/>
        </w:rPr>
      </w:pPr>
      <w:r>
        <w:rPr>
          <w:rFonts w:hint="eastAsia" w:ascii="仿宋_GB2312" w:hAnsi="仿宋_GB2312" w:eastAsia="仿宋_GB2312"/>
          <w:kern w:val="1"/>
          <w:sz w:val="32"/>
          <w:szCs w:val="32"/>
          <w:lang w:val="en-US" w:eastAsia="zh-CN"/>
        </w:rPr>
        <w:t xml:space="preserve">        阶段目标</w:t>
      </w:r>
      <w:r>
        <w:rPr>
          <w:rFonts w:hint="eastAsia" w:ascii="宋体" w:hAnsi="宋体" w:eastAsia="宋体" w:cs="宋体"/>
          <w:i w:val="0"/>
          <w:iCs w:val="0"/>
          <w:caps w:val="0"/>
          <w:color w:val="606266"/>
          <w:spacing w:val="0"/>
          <w:kern w:val="0"/>
          <w:sz w:val="28"/>
          <w:szCs w:val="28"/>
          <w:lang w:val="en-US" w:eastAsia="zh-CN" w:bidi="ar"/>
        </w:rPr>
        <w:t>城乡居民基本医疗保险参保率稳定在95%以上， 城</w:t>
      </w:r>
      <w:r>
        <w:rPr>
          <w:rFonts w:hint="eastAsia" w:ascii="宋体" w:hAnsi="宋体" w:cs="宋体"/>
          <w:i w:val="0"/>
          <w:iCs w:val="0"/>
          <w:caps w:val="0"/>
          <w:color w:val="606266"/>
          <w:spacing w:val="0"/>
          <w:kern w:val="0"/>
          <w:sz w:val="28"/>
          <w:szCs w:val="28"/>
          <w:lang w:val="en-US" w:eastAsia="zh-CN" w:bidi="ar"/>
        </w:rPr>
        <w:t>乡</w:t>
      </w:r>
      <w:r>
        <w:rPr>
          <w:rFonts w:hint="eastAsia" w:ascii="宋体" w:hAnsi="宋体" w:eastAsia="宋体" w:cs="宋体"/>
          <w:i w:val="0"/>
          <w:iCs w:val="0"/>
          <w:caps w:val="0"/>
          <w:color w:val="606266"/>
          <w:spacing w:val="0"/>
          <w:kern w:val="0"/>
          <w:sz w:val="28"/>
          <w:szCs w:val="28"/>
          <w:lang w:val="en-US" w:eastAsia="zh-CN" w:bidi="ar"/>
        </w:rPr>
        <w:t>居</w:t>
      </w:r>
      <w:r>
        <w:rPr>
          <w:rFonts w:hint="eastAsia" w:ascii="宋体" w:hAnsi="宋体" w:cs="宋体"/>
          <w:i w:val="0"/>
          <w:iCs w:val="0"/>
          <w:caps w:val="0"/>
          <w:color w:val="606266"/>
          <w:spacing w:val="0"/>
          <w:kern w:val="0"/>
          <w:sz w:val="28"/>
          <w:szCs w:val="28"/>
          <w:lang w:val="en-US" w:eastAsia="zh-CN" w:bidi="ar"/>
        </w:rPr>
        <w:t>民</w:t>
      </w:r>
      <w:r>
        <w:rPr>
          <w:rFonts w:hint="eastAsia" w:ascii="宋体" w:hAnsi="宋体" w:eastAsia="宋体" w:cs="宋体"/>
          <w:i w:val="0"/>
          <w:iCs w:val="0"/>
          <w:caps w:val="0"/>
          <w:color w:val="606266"/>
          <w:spacing w:val="0"/>
          <w:kern w:val="0"/>
          <w:sz w:val="28"/>
          <w:szCs w:val="28"/>
          <w:lang w:val="en-US" w:eastAsia="zh-CN" w:bidi="ar"/>
        </w:rPr>
        <w:t>医保政策范围内住院费用支付比例达到70%左右，逐步缩小差距</w:t>
      </w:r>
      <w:r>
        <w:rPr>
          <w:rFonts w:hint="eastAsia" w:ascii="宋体" w:hAnsi="宋体" w:cs="宋体"/>
          <w:i w:val="0"/>
          <w:iCs w:val="0"/>
          <w:caps w:val="0"/>
          <w:color w:val="606266"/>
          <w:spacing w:val="0"/>
          <w:kern w:val="0"/>
          <w:sz w:val="28"/>
          <w:szCs w:val="28"/>
          <w:lang w:val="en-US" w:eastAsia="zh-CN" w:bidi="ar"/>
        </w:rPr>
        <w:t>。</w:t>
      </w:r>
    </w:p>
    <w:p>
      <w:pPr>
        <w:numPr>
          <w:ilvl w:val="0"/>
          <w:numId w:val="2"/>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绩效自评工作开展情况</w:t>
      </w:r>
    </w:p>
    <w:p>
      <w:pPr>
        <w:numPr>
          <w:ilvl w:val="0"/>
          <w:numId w:val="3"/>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hint="eastAsia" w:ascii="黑体" w:hAnsi="黑体" w:eastAsia="黑体" w:cs="黑体"/>
          <w:kern w:val="1"/>
          <w:sz w:val="32"/>
          <w:szCs w:val="32"/>
          <w:lang w:val="en-US" w:eastAsia="zh-CN"/>
        </w:rPr>
        <w:t xml:space="preserve"> </w:t>
      </w:r>
      <w:r>
        <w:rPr>
          <w:rFonts w:ascii="微软雅黑" w:hAnsi="微软雅黑" w:eastAsia="微软雅黑" w:cs="微软雅黑"/>
          <w:b/>
          <w:bCs/>
          <w:i w:val="0"/>
          <w:iCs w:val="0"/>
          <w:caps w:val="0"/>
          <w:color w:val="333333"/>
          <w:spacing w:val="0"/>
          <w:sz w:val="24"/>
          <w:szCs w:val="24"/>
          <w:shd w:val="clear" w:fill="FFFFFF"/>
        </w:rPr>
        <w:t>绩效评价目的、对象和范围</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评价目的：进一步规范城乡居民医疗保险基金使用和管理，提高基金使用效益。</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 xml:space="preserve"> 评价对象：</w:t>
      </w:r>
      <w:r>
        <w:rPr>
          <w:rFonts w:hint="eastAsia" w:ascii="宋体" w:hAnsi="宋体" w:cs="宋体"/>
          <w:i w:val="0"/>
          <w:iCs w:val="0"/>
          <w:caps w:val="0"/>
          <w:color w:val="333333"/>
          <w:spacing w:val="0"/>
          <w:sz w:val="28"/>
          <w:szCs w:val="28"/>
          <w:shd w:val="clear" w:fill="F5F5F5"/>
          <w:lang w:val="en-US" w:eastAsia="zh-CN"/>
        </w:rPr>
        <w:t>徐闻县</w:t>
      </w:r>
      <w:r>
        <w:rPr>
          <w:rFonts w:hint="eastAsia" w:ascii="宋体" w:hAnsi="宋体" w:eastAsia="宋体" w:cs="宋体"/>
          <w:i w:val="0"/>
          <w:iCs w:val="0"/>
          <w:caps w:val="0"/>
          <w:color w:val="333333"/>
          <w:spacing w:val="0"/>
          <w:sz w:val="28"/>
          <w:szCs w:val="28"/>
          <w:shd w:val="clear" w:fill="F5F5F5"/>
        </w:rPr>
        <w:t>城乡居民基本医疗保险项目资金支出。</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 xml:space="preserve"> 评价范围：开展对城乡居民基本医疗保险项目决策、项目过程、项目效益及参保对象满意度等方面进行评价。</w:t>
      </w:r>
    </w:p>
    <w:p>
      <w:pPr>
        <w:numPr>
          <w:ilvl w:val="0"/>
          <w:numId w:val="3"/>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绩效评价原则、评价指标体系（附表说明）、评价方法、评价标准等。</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采取定量与定性分析相结合原则；采用财政支出项目绩效评价指标；采用目标效益分析法评价。</w:t>
      </w:r>
    </w:p>
    <w:p>
      <w:pPr>
        <w:numPr>
          <w:ilvl w:val="0"/>
          <w:numId w:val="3"/>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绩效评价工作过程</w:t>
      </w:r>
    </w:p>
    <w:p>
      <w:pPr>
        <w:numPr>
          <w:ilvl w:val="0"/>
          <w:numId w:val="0"/>
        </w:numPr>
        <w:spacing w:line="600" w:lineRule="exact"/>
        <w:ind w:left="640" w:leftChars="0" w:firstLine="560" w:firstLineChars="200"/>
        <w:rPr>
          <w:rFonts w:hint="default" w:ascii="黑体" w:hAnsi="黑体" w:eastAsia="黑体" w:cs="黑体"/>
          <w:kern w:val="1"/>
          <w:sz w:val="32"/>
          <w:szCs w:val="32"/>
          <w:lang w:val="en-US" w:eastAsia="zh-CN"/>
        </w:rPr>
      </w:pPr>
      <w:r>
        <w:rPr>
          <w:rFonts w:hint="eastAsia" w:ascii="宋体" w:hAnsi="宋体" w:eastAsia="宋体" w:cs="宋体"/>
          <w:i w:val="0"/>
          <w:iCs w:val="0"/>
          <w:caps w:val="0"/>
          <w:color w:val="333333"/>
          <w:spacing w:val="0"/>
          <w:sz w:val="28"/>
          <w:szCs w:val="28"/>
          <w:shd w:val="clear" w:fill="FFFFFF"/>
        </w:rPr>
        <w:t>成立项目支出绩效评价小组，评价小组严格对照项目支出绩效自评具体指标进行评分</w:t>
      </w:r>
      <w:r>
        <w:rPr>
          <w:rFonts w:hint="eastAsia" w:ascii="宋体" w:hAnsi="宋体" w:eastAsia="宋体" w:cs="宋体"/>
          <w:i w:val="0"/>
          <w:iCs w:val="0"/>
          <w:caps w:val="0"/>
          <w:color w:val="333333"/>
          <w:spacing w:val="0"/>
          <w:sz w:val="28"/>
          <w:szCs w:val="28"/>
          <w:shd w:val="clear" w:fill="FFFFFF"/>
          <w:lang w:eastAsia="zh-CN"/>
        </w:rPr>
        <w:t>，由办公室牵头，</w:t>
      </w:r>
      <w:r>
        <w:rPr>
          <w:rFonts w:hint="eastAsia" w:ascii="宋体" w:hAnsi="宋体" w:eastAsia="宋体" w:cs="宋体"/>
          <w:i w:val="0"/>
          <w:iCs w:val="0"/>
          <w:caps w:val="0"/>
          <w:color w:val="333333"/>
          <w:spacing w:val="0"/>
          <w:sz w:val="28"/>
          <w:szCs w:val="28"/>
          <w:shd w:val="clear" w:fill="FFFFFF"/>
        </w:rPr>
        <w:t>精心准备城乡居民医疗保险项目支出绩效评价工作</w:t>
      </w:r>
      <w:r>
        <w:rPr>
          <w:rFonts w:hint="eastAsia" w:ascii="宋体" w:hAnsi="宋体" w:eastAsia="宋体" w:cs="宋体"/>
          <w:i w:val="0"/>
          <w:iCs w:val="0"/>
          <w:caps w:val="0"/>
          <w:color w:val="333333"/>
          <w:spacing w:val="0"/>
          <w:sz w:val="28"/>
          <w:szCs w:val="28"/>
          <w:shd w:val="clear" w:fill="FFFFFF"/>
          <w:lang w:eastAsia="zh-CN"/>
        </w:rPr>
        <w:t>。</w:t>
      </w:r>
    </w:p>
    <w:p>
      <w:pPr>
        <w:numPr>
          <w:ilvl w:val="0"/>
          <w:numId w:val="2"/>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绩效自评结果</w:t>
      </w:r>
    </w:p>
    <w:p>
      <w:pPr>
        <w:numPr>
          <w:ilvl w:val="0"/>
          <w:numId w:val="0"/>
        </w:numPr>
        <w:spacing w:line="600" w:lineRule="exact"/>
        <w:ind w:left="600" w:leftChars="0"/>
        <w:rPr>
          <w:rFonts w:hint="default" w:ascii="黑体" w:hAnsi="黑体" w:eastAsia="黑体" w:cs="黑体"/>
          <w:kern w:val="1"/>
          <w:sz w:val="32"/>
          <w:szCs w:val="32"/>
          <w:lang w:val="en-US" w:eastAsia="zh-CN"/>
        </w:rPr>
      </w:pPr>
      <w:r>
        <w:rPr>
          <w:rFonts w:hint="eastAsia" w:ascii="黑体" w:hAnsi="黑体" w:eastAsia="黑体" w:cs="黑体"/>
          <w:kern w:val="1"/>
          <w:sz w:val="32"/>
          <w:szCs w:val="32"/>
          <w:lang w:val="en-US" w:eastAsia="zh-CN"/>
        </w:rPr>
        <w:t>自评分数96.7，优。</w:t>
      </w:r>
    </w:p>
    <w:p>
      <w:pPr>
        <w:numPr>
          <w:ilvl w:val="0"/>
          <w:numId w:val="4"/>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项目资金使用绩效</w:t>
      </w:r>
    </w:p>
    <w:p>
      <w:pPr>
        <w:spacing w:line="600" w:lineRule="exact"/>
        <w:ind w:firstLine="600"/>
        <w:rPr>
          <w:rFonts w:hint="eastAsia" w:ascii="仿宋_GB2312" w:hAnsi="仿宋_GB2312" w:eastAsia="仿宋_GB2312" w:cs="Times New Roman"/>
          <w:kern w:val="1"/>
          <w:sz w:val="32"/>
          <w:szCs w:val="32"/>
        </w:rPr>
      </w:pPr>
      <w:r>
        <w:rPr>
          <w:rFonts w:hint="eastAsia" w:ascii="仿宋_GB2312" w:hAnsi="仿宋_GB2312" w:eastAsia="仿宋_GB2312" w:cs="Times New Roman"/>
          <w:kern w:val="1"/>
          <w:sz w:val="32"/>
          <w:szCs w:val="32"/>
        </w:rPr>
        <w:t>（一）资金</w:t>
      </w:r>
      <w:r>
        <w:rPr>
          <w:rFonts w:hint="eastAsia" w:ascii="仿宋_GB2312" w:hAnsi="仿宋_GB2312" w:eastAsia="仿宋_GB2312" w:cs="Times New Roman"/>
          <w:kern w:val="1"/>
          <w:sz w:val="32"/>
          <w:szCs w:val="32"/>
          <w:lang w:val="en-US" w:eastAsia="zh-CN"/>
        </w:rPr>
        <w:t>管理过程</w:t>
      </w:r>
      <w:r>
        <w:rPr>
          <w:rFonts w:hint="eastAsia" w:ascii="仿宋_GB2312" w:hAnsi="仿宋_GB2312" w:eastAsia="仿宋_GB2312" w:cs="Times New Roman"/>
          <w:kern w:val="1"/>
          <w:sz w:val="32"/>
          <w:szCs w:val="32"/>
        </w:rPr>
        <w:t>情况</w:t>
      </w:r>
      <w:bookmarkStart w:id="0" w:name="_GoBack"/>
      <w:bookmarkEnd w:id="0"/>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1.资金</w:t>
      </w:r>
      <w:r>
        <w:rPr>
          <w:rFonts w:hint="eastAsia" w:ascii="仿宋_GB2312" w:hAnsi="仿宋_GB2312" w:eastAsia="仿宋_GB2312"/>
          <w:kern w:val="1"/>
          <w:sz w:val="32"/>
          <w:szCs w:val="32"/>
          <w:lang w:val="en-US" w:eastAsia="zh-CN"/>
        </w:rPr>
        <w:t>管理</w:t>
      </w:r>
      <w:r>
        <w:rPr>
          <w:rFonts w:hint="eastAsia" w:ascii="仿宋_GB2312" w:hAnsi="仿宋_GB2312" w:eastAsia="仿宋_GB2312"/>
          <w:kern w:val="1"/>
          <w:sz w:val="32"/>
          <w:szCs w:val="32"/>
        </w:rPr>
        <w:t>情况。</w:t>
      </w:r>
    </w:p>
    <w:p>
      <w:pPr>
        <w:spacing w:line="600" w:lineRule="exact"/>
        <w:rPr>
          <w:rFonts w:hint="default" w:ascii="仿宋_GB2312" w:hAnsi="仿宋_GB2312" w:eastAsia="宋体"/>
          <w:kern w:val="1"/>
          <w:sz w:val="32"/>
          <w:szCs w:val="32"/>
          <w:lang w:val="en-US" w:eastAsia="zh-CN"/>
        </w:rPr>
      </w:pPr>
      <w:r>
        <w:rPr>
          <w:rFonts w:hint="eastAsia" w:ascii="仿宋_GB2312" w:hAnsi="仿宋_GB2312" w:eastAsia="仿宋_GB2312"/>
          <w:kern w:val="1"/>
          <w:sz w:val="32"/>
          <w:szCs w:val="32"/>
          <w:lang w:val="en-US" w:eastAsia="zh-CN"/>
        </w:rPr>
        <w:t xml:space="preserve">   2023年城乡居民基本医疗保险县级财政补助资金是</w:t>
      </w:r>
      <w:r>
        <w:rPr>
          <w:rFonts w:hint="eastAsia" w:ascii="宋体" w:hAnsi="宋体" w:eastAsia="宋体" w:cs="宋体"/>
          <w:i w:val="0"/>
          <w:iCs w:val="0"/>
          <w:caps w:val="0"/>
          <w:color w:val="303133"/>
          <w:spacing w:val="0"/>
          <w:sz w:val="28"/>
          <w:szCs w:val="28"/>
          <w:shd w:val="clear" w:fill="FFFFFF"/>
        </w:rPr>
        <w:t>252</w:t>
      </w:r>
      <w:r>
        <w:rPr>
          <w:rFonts w:hint="eastAsia" w:ascii="宋体" w:hAnsi="宋体" w:cs="宋体"/>
          <w:i w:val="0"/>
          <w:iCs w:val="0"/>
          <w:caps w:val="0"/>
          <w:color w:val="303133"/>
          <w:spacing w:val="0"/>
          <w:sz w:val="28"/>
          <w:szCs w:val="28"/>
          <w:shd w:val="clear" w:fill="FFFFFF"/>
          <w:lang w:val="en-US" w:eastAsia="zh-CN"/>
        </w:rPr>
        <w:t>3万</w:t>
      </w:r>
      <w:r>
        <w:rPr>
          <w:rFonts w:hint="eastAsia" w:ascii="宋体" w:hAnsi="宋体" w:cs="宋体"/>
          <w:i w:val="0"/>
          <w:iCs w:val="0"/>
          <w:caps w:val="0"/>
          <w:color w:val="303133"/>
          <w:spacing w:val="0"/>
          <w:sz w:val="28"/>
          <w:szCs w:val="28"/>
          <w:shd w:val="clear" w:fill="FFFFFF"/>
          <w:lang w:eastAsia="zh-CN"/>
        </w:rPr>
        <w:t>元，</w:t>
      </w:r>
      <w:r>
        <w:rPr>
          <w:rFonts w:hint="eastAsia" w:ascii="宋体" w:hAnsi="宋体" w:cs="宋体"/>
          <w:i w:val="0"/>
          <w:iCs w:val="0"/>
          <w:caps w:val="0"/>
          <w:color w:val="303133"/>
          <w:spacing w:val="0"/>
          <w:sz w:val="28"/>
          <w:szCs w:val="28"/>
          <w:shd w:val="clear" w:fill="FFFFFF"/>
          <w:lang w:val="en-US" w:eastAsia="zh-CN"/>
        </w:rPr>
        <w:t>2024年预算批复100万，资金到位100万，</w:t>
      </w:r>
      <w:r>
        <w:rPr>
          <w:rFonts w:hint="eastAsia" w:ascii="宋体" w:hAnsi="宋体" w:cs="宋体"/>
          <w:i w:val="0"/>
          <w:iCs w:val="0"/>
          <w:caps w:val="0"/>
          <w:color w:val="303133"/>
          <w:spacing w:val="0"/>
          <w:sz w:val="28"/>
          <w:szCs w:val="28"/>
          <w:shd w:val="clear" w:fill="FFFFFF"/>
          <w:lang w:eastAsia="zh-CN"/>
        </w:rPr>
        <w:t>全年执行</w:t>
      </w:r>
      <w:r>
        <w:rPr>
          <w:rFonts w:hint="eastAsia" w:ascii="宋体" w:hAnsi="宋体" w:cs="宋体"/>
          <w:i w:val="0"/>
          <w:iCs w:val="0"/>
          <w:caps w:val="0"/>
          <w:color w:val="303133"/>
          <w:spacing w:val="0"/>
          <w:sz w:val="28"/>
          <w:szCs w:val="28"/>
          <w:shd w:val="clear" w:fill="FFFFFF"/>
          <w:lang w:val="en-US" w:eastAsia="zh-CN"/>
        </w:rPr>
        <w:t>100万，执行率100%。</w:t>
      </w:r>
    </w:p>
    <w:p>
      <w:pPr>
        <w:numPr>
          <w:ilvl w:val="0"/>
          <w:numId w:val="5"/>
        </w:num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绩效目标管理情况。</w:t>
      </w:r>
    </w:p>
    <w:p>
      <w:pPr>
        <w:numPr>
          <w:ilvl w:val="0"/>
          <w:numId w:val="0"/>
        </w:numPr>
        <w:spacing w:line="600" w:lineRule="exact"/>
        <w:ind w:firstLine="560" w:firstLineChars="200"/>
        <w:rPr>
          <w:rFonts w:hint="eastAsia" w:ascii="仿宋_GB2312" w:hAnsi="仿宋_GB2312" w:eastAsia="仿宋_GB2312"/>
          <w:kern w:val="1"/>
          <w:sz w:val="32"/>
          <w:szCs w:val="32"/>
          <w:lang w:val="en-US" w:eastAsia="zh-CN"/>
        </w:rPr>
      </w:pPr>
      <w:r>
        <w:rPr>
          <w:rFonts w:hint="eastAsia" w:ascii="宋体" w:hAnsi="宋体" w:eastAsia="宋体" w:cs="宋体"/>
          <w:i w:val="0"/>
          <w:iCs w:val="0"/>
          <w:caps w:val="0"/>
          <w:color w:val="333333"/>
          <w:spacing w:val="0"/>
          <w:sz w:val="28"/>
          <w:szCs w:val="28"/>
          <w:shd w:val="clear" w:fill="F5F5F5"/>
        </w:rPr>
        <w:t>贯彻中央医疗保障制度改革有关医疗救助决策部署执行预算绩效管理和资金管理办法，依据中央和国务院深化医疗保障制度改革的意见进行决策，决策符合预算绩效管理要求和资金管理办法，决策程序规范，合规完整。遵照财政部和国家医疗保障局下达的年度总体目标和具体绩效指标，对财政部和国家医疗保障局下达的年度总体目标结合实际进行分解细化，符合预算管理和城乡居民医疗保险资金管理要求。</w:t>
      </w:r>
    </w:p>
    <w:p>
      <w:pPr>
        <w:numPr>
          <w:ilvl w:val="0"/>
          <w:numId w:val="5"/>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lang w:val="en-US" w:eastAsia="zh-CN"/>
        </w:rPr>
        <w:t>事项</w:t>
      </w:r>
      <w:r>
        <w:rPr>
          <w:rFonts w:hint="eastAsia" w:ascii="仿宋_GB2312" w:hAnsi="仿宋_GB2312" w:eastAsia="仿宋_GB2312"/>
          <w:kern w:val="1"/>
          <w:sz w:val="32"/>
          <w:szCs w:val="32"/>
        </w:rPr>
        <w:t>管理情况。</w:t>
      </w:r>
    </w:p>
    <w:p>
      <w:pPr>
        <w:numPr>
          <w:ilvl w:val="0"/>
          <w:numId w:val="6"/>
        </w:numPr>
        <w:spacing w:line="600" w:lineRule="exact"/>
        <w:ind w:left="800" w:leftChars="0" w:firstLine="0" w:firstLineChars="0"/>
        <w:rPr>
          <w:rFonts w:ascii="微软雅黑" w:hAnsi="微软雅黑" w:eastAsia="微软雅黑" w:cs="微软雅黑"/>
          <w:i w:val="0"/>
          <w:iCs w:val="0"/>
          <w:caps w:val="0"/>
          <w:color w:val="333333"/>
          <w:spacing w:val="0"/>
          <w:sz w:val="24"/>
          <w:szCs w:val="24"/>
          <w:shd w:val="clear" w:fill="F5F5F5"/>
        </w:rPr>
      </w:pPr>
      <w:r>
        <w:rPr>
          <w:rFonts w:hint="eastAsia" w:ascii="仿宋_GB2312" w:hAnsi="仿宋_GB2312" w:eastAsia="仿宋_GB2312"/>
          <w:kern w:val="1"/>
          <w:sz w:val="32"/>
          <w:szCs w:val="32"/>
          <w:lang w:val="en-US" w:eastAsia="zh-CN"/>
        </w:rPr>
        <w:t xml:space="preserve"> </w:t>
      </w:r>
      <w:r>
        <w:rPr>
          <w:rFonts w:ascii="微软雅黑" w:hAnsi="微软雅黑" w:eastAsia="微软雅黑" w:cs="微软雅黑"/>
          <w:i w:val="0"/>
          <w:iCs w:val="0"/>
          <w:caps w:val="0"/>
          <w:color w:val="333333"/>
          <w:spacing w:val="0"/>
          <w:sz w:val="24"/>
          <w:szCs w:val="24"/>
          <w:shd w:val="clear" w:fill="F5F5F5"/>
        </w:rPr>
        <w:t>项目管理 （1）政策宣传。通过微信公众号、电视、报纸、宣传单、宣传栏及联点共建活动等多渠道开展医保政策宣传，开展了点对点、面对面的宣传医保政策，坚持正确舆论宣传导向，为项目实施营造良好的发展环境；制定</w:t>
      </w:r>
      <w:r>
        <w:rPr>
          <w:rFonts w:hint="eastAsia" w:ascii="微软雅黑" w:hAnsi="微软雅黑" w:eastAsia="微软雅黑" w:cs="微软雅黑"/>
          <w:i w:val="0"/>
          <w:iCs w:val="0"/>
          <w:caps w:val="0"/>
          <w:color w:val="333333"/>
          <w:spacing w:val="0"/>
          <w:sz w:val="24"/>
          <w:szCs w:val="24"/>
          <w:shd w:val="clear" w:fill="F5F5F5"/>
          <w:lang w:eastAsia="zh-CN"/>
        </w:rPr>
        <w:t>徐闻县</w:t>
      </w:r>
      <w:r>
        <w:rPr>
          <w:rFonts w:ascii="微软雅黑" w:hAnsi="微软雅黑" w:eastAsia="微软雅黑" w:cs="微软雅黑"/>
          <w:i w:val="0"/>
          <w:iCs w:val="0"/>
          <w:caps w:val="0"/>
          <w:color w:val="333333"/>
          <w:spacing w:val="0"/>
          <w:sz w:val="24"/>
          <w:szCs w:val="24"/>
          <w:shd w:val="clear" w:fill="F5F5F5"/>
        </w:rPr>
        <w:t>城乡居民医疗保障经办政务服务事项办事指南，做到医保政策和医保经办规程公开。</w:t>
      </w:r>
    </w:p>
    <w:p>
      <w:pPr>
        <w:numPr>
          <w:ilvl w:val="0"/>
          <w:numId w:val="7"/>
        </w:numPr>
        <w:spacing w:line="600" w:lineRule="exact"/>
        <w:ind w:left="92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台账管理。建立、建全台账管理制度，完善台账管理内容，加强对台账数据的审核，检查台账录入内容，监督台账数据的准确性、及时性和完善性，实现台账与信息系统的无缝对接。档案资料手续完善，档案内容齐全，档案管理规范，数据分析全面、认真、及时，报送资料及时、齐全、真实、准确。</w:t>
      </w:r>
    </w:p>
    <w:p>
      <w:pPr>
        <w:numPr>
          <w:ilvl w:val="0"/>
          <w:numId w:val="7"/>
        </w:numPr>
        <w:spacing w:line="600" w:lineRule="exact"/>
        <w:ind w:left="92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监督检查。202</w:t>
      </w:r>
      <w:r>
        <w:rPr>
          <w:rFonts w:hint="eastAsia" w:ascii="微软雅黑" w:hAnsi="微软雅黑" w:eastAsia="微软雅黑" w:cs="微软雅黑"/>
          <w:i w:val="0"/>
          <w:iCs w:val="0"/>
          <w:caps w:val="0"/>
          <w:color w:val="333333"/>
          <w:spacing w:val="0"/>
          <w:sz w:val="24"/>
          <w:szCs w:val="24"/>
          <w:shd w:val="clear" w:fill="F5F5F5"/>
          <w:lang w:val="en-US" w:eastAsia="zh-CN"/>
        </w:rPr>
        <w:t>4</w:t>
      </w:r>
      <w:r>
        <w:rPr>
          <w:rFonts w:ascii="微软雅黑" w:hAnsi="微软雅黑" w:eastAsia="微软雅黑" w:cs="微软雅黑"/>
          <w:i w:val="0"/>
          <w:iCs w:val="0"/>
          <w:caps w:val="0"/>
          <w:color w:val="333333"/>
          <w:spacing w:val="0"/>
          <w:sz w:val="24"/>
          <w:szCs w:val="24"/>
          <w:shd w:val="clear" w:fill="F5F5F5"/>
        </w:rPr>
        <w:t>年打击欺诈骗保维护基金安全坚持持续推进，开展学习贯彻《医疗保障基金使用监督管理条例》集中宣传月活动。建立、实施全区医保基金监管工作联席会议、驻点督导、社会监督员、举报奖励等一系列制度机制。</w:t>
      </w:r>
    </w:p>
    <w:p>
      <w:pPr>
        <w:numPr>
          <w:ilvl w:val="0"/>
          <w:numId w:val="7"/>
        </w:numPr>
        <w:spacing w:line="600" w:lineRule="exact"/>
        <w:ind w:left="92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信息系统。所有参保群众信息已真实、全面的录入信息系统，且信息系统已实现与定点医疗机构信息系统联网。 </w:t>
      </w:r>
    </w:p>
    <w:p>
      <w:pPr>
        <w:numPr>
          <w:ilvl w:val="0"/>
          <w:numId w:val="6"/>
        </w:numPr>
        <w:spacing w:line="600" w:lineRule="exact"/>
        <w:ind w:left="80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财务管理 </w:t>
      </w:r>
    </w:p>
    <w:p>
      <w:pPr>
        <w:numPr>
          <w:ilvl w:val="0"/>
          <w:numId w:val="0"/>
        </w:numPr>
        <w:spacing w:line="600" w:lineRule="exact"/>
        <w:ind w:left="800" w:left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（1）完善财务制度。为进一步规范基金管理，制订了基金支出管理制度、基金结算内部控制制度、医保基金预、决算管理实行办法、审理结算工作管理制度等一系列财务管理制度。 </w:t>
      </w:r>
    </w:p>
    <w:p>
      <w:pPr>
        <w:numPr>
          <w:ilvl w:val="0"/>
          <w:numId w:val="8"/>
        </w:numPr>
        <w:spacing w:line="600" w:lineRule="exact"/>
        <w:ind w:left="800" w:left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基金使用。我区医保基金使用符合国家财经法规和财务管理制度及专项资金管理办法的规定，基金拨付有完善的审批程序和手续。实行专账管理。未发生违规报销情况，未发生截留、挤占、挪用、虚列支出等情况。 </w:t>
      </w:r>
    </w:p>
    <w:p>
      <w:pPr>
        <w:numPr>
          <w:ilvl w:val="0"/>
          <w:numId w:val="0"/>
        </w:numPr>
        <w:spacing w:line="600" w:lineRule="exact"/>
        <w:ind w:left="718" w:leftChars="342" w:firstLine="0" w:firstLineChars="0"/>
        <w:rPr>
          <w:rFonts w:hint="default" w:ascii="仿宋_GB2312" w:hAnsi="仿宋_GB2312" w:eastAsia="仿宋_GB2312"/>
          <w:kern w:val="1"/>
          <w:sz w:val="32"/>
          <w:szCs w:val="32"/>
          <w:lang w:val="en-US" w:eastAsia="zh-CN"/>
        </w:rPr>
      </w:pPr>
      <w:r>
        <w:rPr>
          <w:rFonts w:ascii="微软雅黑" w:hAnsi="微软雅黑" w:eastAsia="微软雅黑" w:cs="微软雅黑"/>
          <w:i w:val="0"/>
          <w:iCs w:val="0"/>
          <w:caps w:val="0"/>
          <w:color w:val="333333"/>
          <w:spacing w:val="0"/>
          <w:sz w:val="24"/>
          <w:szCs w:val="24"/>
          <w:shd w:val="clear" w:fill="F5F5F5"/>
        </w:rPr>
        <w:t>（3）基金管理。及时编报预决算报表，没有出现预算执行差异较大、赤字、编报错误的现象。基金管理规范，内控制度健全。</w:t>
      </w:r>
    </w:p>
    <w:p>
      <w:pPr>
        <w:numPr>
          <w:ilvl w:val="0"/>
          <w:numId w:val="0"/>
        </w:numPr>
        <w:spacing w:line="600" w:lineRule="exact"/>
        <w:rPr>
          <w:rFonts w:hint="eastAsia" w:ascii="仿宋_GB2312" w:hAnsi="仿宋_GB2312" w:eastAsia="仿宋_GB2312"/>
          <w:kern w:val="1"/>
          <w:sz w:val="32"/>
          <w:szCs w:val="32"/>
          <w:lang w:val="en-US" w:eastAsia="zh-CN"/>
        </w:rPr>
      </w:pP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（二）绩效目标完成情况（结合项目实际，可从总体和分用途分析项目使用绩效）</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1.产出指标完成情况。</w:t>
      </w:r>
    </w:p>
    <w:p>
      <w:pPr>
        <w:spacing w:line="600" w:lineRule="exact"/>
        <w:ind w:firstLine="600"/>
        <w:rPr>
          <w:rFonts w:hint="default" w:ascii="微软雅黑" w:hAnsi="微软雅黑" w:eastAsia="微软雅黑" w:cs="微软雅黑"/>
          <w:i w:val="0"/>
          <w:iCs w:val="0"/>
          <w:caps w:val="0"/>
          <w:color w:val="333333"/>
          <w:spacing w:val="0"/>
          <w:sz w:val="24"/>
          <w:szCs w:val="24"/>
          <w:shd w:val="clear" w:fill="F5F5F5"/>
          <w:lang w:val="en-US" w:eastAsia="zh-CN"/>
        </w:rPr>
      </w:pPr>
      <w:r>
        <w:rPr>
          <w:rFonts w:ascii="微软雅黑" w:hAnsi="微软雅黑" w:eastAsia="微软雅黑" w:cs="微软雅黑"/>
          <w:i w:val="0"/>
          <w:iCs w:val="0"/>
          <w:caps w:val="0"/>
          <w:color w:val="333333"/>
          <w:spacing w:val="0"/>
          <w:sz w:val="24"/>
          <w:szCs w:val="24"/>
          <w:shd w:val="clear" w:fill="F5F5F5"/>
        </w:rPr>
        <w:t xml:space="preserve">1、数量指标 </w:t>
      </w:r>
      <w:r>
        <w:rPr>
          <w:rFonts w:hint="eastAsia" w:ascii="微软雅黑" w:hAnsi="微软雅黑" w:eastAsia="微软雅黑" w:cs="微软雅黑"/>
          <w:i w:val="0"/>
          <w:iCs w:val="0"/>
          <w:caps w:val="0"/>
          <w:color w:val="333333"/>
          <w:spacing w:val="0"/>
          <w:sz w:val="24"/>
          <w:szCs w:val="24"/>
          <w:shd w:val="clear" w:fill="F5F5F5"/>
        </w:rPr>
        <w:t>。</w:t>
      </w:r>
      <w:r>
        <w:rPr>
          <w:rFonts w:hint="eastAsia" w:ascii="微软雅黑" w:hAnsi="微软雅黑" w:eastAsia="微软雅黑" w:cs="微软雅黑"/>
          <w:i w:val="0"/>
          <w:iCs w:val="0"/>
          <w:caps w:val="0"/>
          <w:color w:val="333333"/>
          <w:spacing w:val="0"/>
          <w:sz w:val="24"/>
          <w:szCs w:val="24"/>
          <w:shd w:val="clear" w:fill="F5F5F5"/>
          <w:lang w:val="en-US" w:eastAsia="zh-CN"/>
        </w:rPr>
        <w:t>2023年徐闻县</w:t>
      </w:r>
      <w:r>
        <w:rPr>
          <w:rFonts w:hint="eastAsia" w:ascii="微软雅黑" w:hAnsi="微软雅黑" w:eastAsia="微软雅黑" w:cs="微软雅黑"/>
          <w:i w:val="0"/>
          <w:iCs w:val="0"/>
          <w:caps w:val="0"/>
          <w:color w:val="333333"/>
          <w:spacing w:val="0"/>
          <w:sz w:val="24"/>
          <w:szCs w:val="24"/>
          <w:shd w:val="clear" w:fill="F5F5F5"/>
        </w:rPr>
        <w:t>总计完成参保</w:t>
      </w:r>
      <w:r>
        <w:rPr>
          <w:rFonts w:hint="eastAsia" w:ascii="微软雅黑" w:hAnsi="微软雅黑" w:eastAsia="微软雅黑" w:cs="微软雅黑"/>
          <w:i w:val="0"/>
          <w:iCs w:val="0"/>
          <w:caps w:val="0"/>
          <w:color w:val="333333"/>
          <w:spacing w:val="0"/>
          <w:sz w:val="24"/>
          <w:szCs w:val="24"/>
          <w:shd w:val="clear" w:fill="F5F5F5"/>
          <w:lang w:val="en-US" w:eastAsia="zh-CN"/>
        </w:rPr>
        <w:t>531939</w:t>
      </w:r>
      <w:r>
        <w:rPr>
          <w:rFonts w:hint="eastAsia" w:ascii="微软雅黑" w:hAnsi="微软雅黑" w:eastAsia="微软雅黑" w:cs="微软雅黑"/>
          <w:i w:val="0"/>
          <w:iCs w:val="0"/>
          <w:caps w:val="0"/>
          <w:color w:val="333333"/>
          <w:spacing w:val="0"/>
          <w:sz w:val="24"/>
          <w:szCs w:val="24"/>
          <w:shd w:val="clear" w:fill="F5F5F5"/>
        </w:rPr>
        <w:t>人，完成率98.39%。</w:t>
      </w:r>
      <w:r>
        <w:rPr>
          <w:rFonts w:hint="eastAsia" w:ascii="微软雅黑" w:hAnsi="微软雅黑" w:eastAsia="微软雅黑" w:cs="微软雅黑"/>
          <w:i w:val="0"/>
          <w:iCs w:val="0"/>
          <w:caps w:val="0"/>
          <w:color w:val="333333"/>
          <w:spacing w:val="0"/>
          <w:sz w:val="24"/>
          <w:szCs w:val="24"/>
          <w:shd w:val="clear" w:fill="F5F5F5"/>
          <w:lang w:eastAsia="zh-CN"/>
        </w:rPr>
        <w:t>，各级财政补助</w:t>
      </w:r>
      <w:r>
        <w:rPr>
          <w:rFonts w:hint="eastAsia" w:ascii="微软雅黑" w:hAnsi="微软雅黑" w:eastAsia="微软雅黑" w:cs="微软雅黑"/>
          <w:i w:val="0"/>
          <w:iCs w:val="0"/>
          <w:caps w:val="0"/>
          <w:color w:val="333333"/>
          <w:spacing w:val="0"/>
          <w:sz w:val="24"/>
          <w:szCs w:val="24"/>
          <w:shd w:val="clear" w:fill="F5F5F5"/>
          <w:lang w:val="en-US" w:eastAsia="zh-CN"/>
        </w:rPr>
        <w:t>640元一人。</w:t>
      </w:r>
    </w:p>
    <w:p>
      <w:pPr>
        <w:spacing w:line="600" w:lineRule="exact"/>
        <w:ind w:firstLine="600"/>
        <w:rPr>
          <w:rFonts w:hint="eastAsia" w:ascii="微软雅黑" w:hAnsi="微软雅黑" w:eastAsia="微软雅黑" w:cs="微软雅黑"/>
          <w:i w:val="0"/>
          <w:iCs w:val="0"/>
          <w:caps w:val="0"/>
          <w:color w:val="333333"/>
          <w:spacing w:val="0"/>
          <w:sz w:val="24"/>
          <w:szCs w:val="24"/>
          <w:shd w:val="clear" w:fill="F5F5F5"/>
          <w:lang w:eastAsia="zh-CN"/>
        </w:rPr>
      </w:pPr>
      <w:r>
        <w:rPr>
          <w:rFonts w:ascii="微软雅黑" w:hAnsi="微软雅黑" w:eastAsia="微软雅黑" w:cs="微软雅黑"/>
          <w:i w:val="0"/>
          <w:iCs w:val="0"/>
          <w:caps w:val="0"/>
          <w:color w:val="333333"/>
          <w:spacing w:val="0"/>
          <w:sz w:val="24"/>
          <w:szCs w:val="24"/>
          <w:shd w:val="clear" w:fill="F5F5F5"/>
        </w:rPr>
        <w:t xml:space="preserve"> 2、质量指标</w:t>
      </w:r>
      <w:r>
        <w:rPr>
          <w:rFonts w:hint="eastAsia" w:ascii="微软雅黑" w:hAnsi="微软雅黑" w:eastAsia="微软雅黑" w:cs="微软雅黑"/>
          <w:i w:val="0"/>
          <w:iCs w:val="0"/>
          <w:caps w:val="0"/>
          <w:color w:val="333333"/>
          <w:spacing w:val="0"/>
          <w:sz w:val="24"/>
          <w:szCs w:val="24"/>
          <w:shd w:val="clear" w:fill="F5F5F5"/>
          <w:lang w:eastAsia="zh-CN"/>
        </w:rPr>
        <w:t>。</w:t>
      </w:r>
      <w:r>
        <w:rPr>
          <w:rFonts w:ascii="微软雅黑" w:hAnsi="微软雅黑" w:eastAsia="微软雅黑" w:cs="微软雅黑"/>
          <w:i w:val="0"/>
          <w:iCs w:val="0"/>
          <w:caps w:val="0"/>
          <w:color w:val="333333"/>
          <w:spacing w:val="0"/>
          <w:sz w:val="24"/>
          <w:szCs w:val="24"/>
          <w:shd w:val="clear" w:fill="F5F5F5"/>
        </w:rPr>
        <w:t xml:space="preserve"> 积极推进按人头付费等支付方式改革</w:t>
      </w:r>
      <w:r>
        <w:rPr>
          <w:rFonts w:hint="eastAsia" w:ascii="微软雅黑" w:hAnsi="微软雅黑" w:eastAsia="微软雅黑" w:cs="微软雅黑"/>
          <w:i w:val="0"/>
          <w:iCs w:val="0"/>
          <w:caps w:val="0"/>
          <w:color w:val="333333"/>
          <w:spacing w:val="0"/>
          <w:sz w:val="24"/>
          <w:szCs w:val="24"/>
          <w:shd w:val="clear" w:fill="F5F5F5"/>
          <w:lang w:eastAsia="zh-CN"/>
        </w:rPr>
        <w:t>，参保人政策范围内住院费用报销比例</w:t>
      </w:r>
      <w:r>
        <w:rPr>
          <w:rFonts w:hint="eastAsia" w:ascii="微软雅黑" w:hAnsi="微软雅黑" w:eastAsia="微软雅黑" w:cs="微软雅黑"/>
          <w:i w:val="0"/>
          <w:iCs w:val="0"/>
          <w:caps w:val="0"/>
          <w:color w:val="333333"/>
          <w:spacing w:val="0"/>
          <w:sz w:val="24"/>
          <w:szCs w:val="24"/>
          <w:shd w:val="clear" w:fill="F5F5F5"/>
          <w:lang w:val="en-US" w:eastAsia="zh-CN"/>
        </w:rPr>
        <w:t>70，参保人住院费用实际报销比例≥55%</w:t>
      </w:r>
      <w:r>
        <w:rPr>
          <w:rFonts w:hint="eastAsia" w:ascii="微软雅黑" w:hAnsi="微软雅黑" w:eastAsia="微软雅黑" w:cs="微软雅黑"/>
          <w:i w:val="0"/>
          <w:iCs w:val="0"/>
          <w:caps w:val="0"/>
          <w:color w:val="333333"/>
          <w:spacing w:val="0"/>
          <w:sz w:val="24"/>
          <w:szCs w:val="24"/>
          <w:shd w:val="clear" w:fill="F5F5F5"/>
          <w:lang w:eastAsia="zh-CN"/>
        </w:rPr>
        <w:t>。</w:t>
      </w:r>
    </w:p>
    <w:p>
      <w:pPr>
        <w:spacing w:line="600" w:lineRule="exact"/>
        <w:ind w:left="479" w:leftChars="228" w:firstLine="240" w:firstLineChars="100"/>
        <w:rPr>
          <w:rFonts w:hint="eastAsia" w:ascii="仿宋_GB2312" w:hAnsi="仿宋_GB2312" w:eastAsia="仿宋_GB2312"/>
          <w:kern w:val="1"/>
          <w:sz w:val="32"/>
          <w:szCs w:val="32"/>
          <w:lang w:eastAsia="zh-CN"/>
        </w:rPr>
      </w:pPr>
      <w:r>
        <w:rPr>
          <w:rFonts w:hint="eastAsia" w:ascii="微软雅黑" w:hAnsi="微软雅黑" w:eastAsia="微软雅黑" w:cs="微软雅黑"/>
          <w:i w:val="0"/>
          <w:iCs w:val="0"/>
          <w:caps w:val="0"/>
          <w:color w:val="333333"/>
          <w:spacing w:val="0"/>
          <w:sz w:val="24"/>
          <w:szCs w:val="24"/>
          <w:shd w:val="clear" w:fill="F5F5F5"/>
          <w:lang w:val="en-US" w:eastAsia="zh-CN"/>
        </w:rPr>
        <w:t>3、</w:t>
      </w:r>
      <w:r>
        <w:rPr>
          <w:rFonts w:ascii="微软雅黑" w:hAnsi="微软雅黑" w:eastAsia="微软雅黑" w:cs="微软雅黑"/>
          <w:i w:val="0"/>
          <w:iCs w:val="0"/>
          <w:caps w:val="0"/>
          <w:color w:val="333333"/>
          <w:spacing w:val="0"/>
          <w:sz w:val="24"/>
          <w:szCs w:val="24"/>
          <w:shd w:val="clear" w:fill="F5F5F5"/>
        </w:rPr>
        <w:t xml:space="preserve">成本指标 </w:t>
      </w:r>
      <w:r>
        <w:rPr>
          <w:rFonts w:hint="eastAsia" w:ascii="微软雅黑" w:hAnsi="微软雅黑" w:eastAsia="微软雅黑" w:cs="微软雅黑"/>
          <w:i w:val="0"/>
          <w:iCs w:val="0"/>
          <w:caps w:val="0"/>
          <w:color w:val="333333"/>
          <w:spacing w:val="0"/>
          <w:sz w:val="24"/>
          <w:szCs w:val="24"/>
          <w:shd w:val="clear" w:fill="F5F5F5"/>
          <w:lang w:eastAsia="zh-CN"/>
        </w:rPr>
        <w:t>。预算成本控制，不超过预算。</w:t>
      </w:r>
    </w:p>
    <w:p>
      <w:pPr>
        <w:numPr>
          <w:ilvl w:val="0"/>
          <w:numId w:val="9"/>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效益指标完成情况。</w:t>
      </w:r>
    </w:p>
    <w:p>
      <w:pPr>
        <w:spacing w:line="600" w:lineRule="exact"/>
        <w:ind w:firstLine="600"/>
        <w:rPr>
          <w:rFonts w:hint="default" w:ascii="仿宋_GB2312" w:hAnsi="仿宋_GB2312" w:eastAsia="仿宋_GB2312"/>
          <w:kern w:val="1"/>
          <w:sz w:val="32"/>
          <w:szCs w:val="32"/>
          <w:lang w:val="en-US" w:eastAsia="zh-CN"/>
        </w:rPr>
      </w:pPr>
      <w:r>
        <w:rPr>
          <w:rFonts w:ascii="微软雅黑" w:hAnsi="微软雅黑" w:eastAsia="微软雅黑" w:cs="微软雅黑"/>
          <w:i w:val="0"/>
          <w:iCs w:val="0"/>
          <w:caps w:val="0"/>
          <w:color w:val="333333"/>
          <w:spacing w:val="0"/>
          <w:sz w:val="24"/>
          <w:szCs w:val="24"/>
          <w:shd w:val="clear" w:fill="F5F5F5"/>
        </w:rPr>
        <w:t xml:space="preserve"> </w:t>
      </w:r>
      <w:r>
        <w:rPr>
          <w:rFonts w:hint="eastAsia" w:ascii="微软雅黑" w:hAnsi="微软雅黑" w:eastAsia="微软雅黑" w:cs="微软雅黑"/>
          <w:i w:val="0"/>
          <w:iCs w:val="0"/>
          <w:caps w:val="0"/>
          <w:color w:val="333333"/>
          <w:spacing w:val="0"/>
          <w:sz w:val="24"/>
          <w:szCs w:val="24"/>
          <w:shd w:val="clear" w:fill="F5F5F5"/>
          <w:lang w:val="en-US" w:eastAsia="zh-CN"/>
        </w:rPr>
        <w:t>1、</w:t>
      </w:r>
      <w:r>
        <w:rPr>
          <w:rFonts w:ascii="微软雅黑" w:hAnsi="微软雅黑" w:eastAsia="微软雅黑" w:cs="微软雅黑"/>
          <w:i w:val="0"/>
          <w:iCs w:val="0"/>
          <w:caps w:val="0"/>
          <w:color w:val="333333"/>
          <w:spacing w:val="0"/>
          <w:sz w:val="24"/>
          <w:szCs w:val="24"/>
          <w:shd w:val="clear" w:fill="F5F5F5"/>
        </w:rPr>
        <w:t>服务对象满意度 参保群众对工作满意度达≥</w:t>
      </w:r>
      <w:r>
        <w:rPr>
          <w:rFonts w:hint="eastAsia" w:ascii="微软雅黑" w:hAnsi="微软雅黑" w:eastAsia="微软雅黑" w:cs="微软雅黑"/>
          <w:i w:val="0"/>
          <w:iCs w:val="0"/>
          <w:caps w:val="0"/>
          <w:color w:val="333333"/>
          <w:spacing w:val="0"/>
          <w:sz w:val="24"/>
          <w:szCs w:val="24"/>
          <w:shd w:val="clear" w:fill="F5F5F5"/>
          <w:lang w:val="en-US" w:eastAsia="zh-CN"/>
        </w:rPr>
        <w:t>85</w:t>
      </w:r>
      <w:r>
        <w:rPr>
          <w:rFonts w:ascii="微软雅黑" w:hAnsi="微软雅黑" w:eastAsia="微软雅黑" w:cs="微软雅黑"/>
          <w:i w:val="0"/>
          <w:iCs w:val="0"/>
          <w:caps w:val="0"/>
          <w:color w:val="333333"/>
          <w:spacing w:val="0"/>
          <w:sz w:val="24"/>
          <w:szCs w:val="24"/>
          <w:shd w:val="clear" w:fill="F5F5F5"/>
        </w:rPr>
        <w:t>%，政策知晓率达≥</w:t>
      </w:r>
      <w:r>
        <w:rPr>
          <w:rFonts w:hint="eastAsia" w:ascii="微软雅黑" w:hAnsi="微软雅黑" w:eastAsia="微软雅黑" w:cs="微软雅黑"/>
          <w:i w:val="0"/>
          <w:iCs w:val="0"/>
          <w:caps w:val="0"/>
          <w:color w:val="333333"/>
          <w:spacing w:val="0"/>
          <w:sz w:val="24"/>
          <w:szCs w:val="24"/>
          <w:shd w:val="clear" w:fill="F5F5F5"/>
          <w:lang w:val="en-US" w:eastAsia="zh-CN"/>
        </w:rPr>
        <w:t>85</w:t>
      </w:r>
      <w:r>
        <w:rPr>
          <w:rFonts w:ascii="微软雅黑" w:hAnsi="微软雅黑" w:eastAsia="微软雅黑" w:cs="微软雅黑"/>
          <w:i w:val="0"/>
          <w:iCs w:val="0"/>
          <w:caps w:val="0"/>
          <w:color w:val="333333"/>
          <w:spacing w:val="0"/>
          <w:sz w:val="24"/>
          <w:szCs w:val="24"/>
          <w:shd w:val="clear" w:fill="F5F5F5"/>
        </w:rPr>
        <w:t>%。</w:t>
      </w:r>
    </w:p>
    <w:p>
      <w:pPr>
        <w:numPr>
          <w:ilvl w:val="0"/>
          <w:numId w:val="0"/>
        </w:numPr>
        <w:spacing w:line="600" w:lineRule="exact"/>
        <w:rPr>
          <w:rFonts w:hint="eastAsia" w:ascii="黑体" w:hAnsi="黑体" w:eastAsia="黑体" w:cs="黑体"/>
          <w:kern w:val="1"/>
          <w:sz w:val="32"/>
          <w:szCs w:val="32"/>
        </w:rPr>
      </w:pPr>
      <w:r>
        <w:rPr>
          <w:rFonts w:hint="eastAsia" w:ascii="黑体" w:hAnsi="黑体" w:eastAsia="黑体" w:cs="黑体"/>
          <w:kern w:val="1"/>
          <w:sz w:val="32"/>
          <w:szCs w:val="32"/>
        </w:rPr>
        <w:t>五、主要经验、存在的问题和偏离绩效目标的原因分析</w:t>
      </w:r>
    </w:p>
    <w:p>
      <w:pPr>
        <w:spacing w:line="600" w:lineRule="exact"/>
        <w:ind w:firstLine="600"/>
        <w:rPr>
          <w:rFonts w:ascii="微软雅黑" w:hAnsi="微软雅黑" w:eastAsia="微软雅黑" w:cs="微软雅黑"/>
          <w:i w:val="0"/>
          <w:iCs w:val="0"/>
          <w:caps w:val="0"/>
          <w:color w:val="333333"/>
          <w:spacing w:val="0"/>
          <w:sz w:val="24"/>
          <w:szCs w:val="24"/>
          <w:shd w:val="clear" w:fill="F5F5F5"/>
        </w:rPr>
      </w:pPr>
      <w:r>
        <w:rPr>
          <w:rFonts w:hint="eastAsia" w:ascii="微软雅黑" w:hAnsi="微软雅黑" w:eastAsia="微软雅黑" w:cs="微软雅黑"/>
          <w:i w:val="0"/>
          <w:iCs w:val="0"/>
          <w:caps w:val="0"/>
          <w:color w:val="333333"/>
          <w:spacing w:val="0"/>
          <w:sz w:val="24"/>
          <w:szCs w:val="24"/>
          <w:shd w:val="clear" w:fill="F5F5F5"/>
          <w:lang w:val="en-US" w:eastAsia="zh-CN"/>
        </w:rPr>
        <w:t>1、</w:t>
      </w:r>
      <w:r>
        <w:rPr>
          <w:rFonts w:ascii="微软雅黑" w:hAnsi="微软雅黑" w:eastAsia="微软雅黑" w:cs="微软雅黑"/>
          <w:i w:val="0"/>
          <w:iCs w:val="0"/>
          <w:caps w:val="0"/>
          <w:color w:val="333333"/>
          <w:spacing w:val="0"/>
          <w:sz w:val="24"/>
          <w:szCs w:val="24"/>
          <w:shd w:val="clear" w:fill="F5F5F5"/>
        </w:rPr>
        <w:t>城乡居民医保个人缴费标</w:t>
      </w:r>
      <w:r>
        <w:rPr>
          <w:rFonts w:hint="eastAsia" w:ascii="微软雅黑" w:hAnsi="微软雅黑" w:eastAsia="微软雅黑" w:cs="微软雅黑"/>
          <w:i w:val="0"/>
          <w:iCs w:val="0"/>
          <w:caps w:val="0"/>
          <w:color w:val="333333"/>
          <w:spacing w:val="0"/>
          <w:sz w:val="24"/>
          <w:szCs w:val="24"/>
          <w:shd w:val="clear" w:fill="F5F5F5"/>
          <w:lang w:eastAsia="zh-CN"/>
        </w:rPr>
        <w:t>准</w:t>
      </w:r>
      <w:r>
        <w:rPr>
          <w:rFonts w:ascii="微软雅黑" w:hAnsi="微软雅黑" w:eastAsia="微软雅黑" w:cs="微软雅黑"/>
          <w:i w:val="0"/>
          <w:iCs w:val="0"/>
          <w:caps w:val="0"/>
          <w:color w:val="333333"/>
          <w:spacing w:val="0"/>
          <w:sz w:val="24"/>
          <w:szCs w:val="24"/>
          <w:shd w:val="clear" w:fill="F5F5F5"/>
        </w:rPr>
        <w:t>高，群众反响大</w:t>
      </w:r>
    </w:p>
    <w:p>
      <w:pPr>
        <w:spacing w:line="600" w:lineRule="exact"/>
        <w:ind w:firstLine="600"/>
        <w:rPr>
          <w:rFonts w:hint="eastAsia" w:ascii="黑体" w:hAnsi="黑体" w:eastAsia="黑体" w:cs="黑体"/>
          <w:kern w:val="1"/>
          <w:sz w:val="32"/>
          <w:szCs w:val="32"/>
        </w:rPr>
      </w:pPr>
      <w:r>
        <w:rPr>
          <w:rFonts w:ascii="微软雅黑" w:hAnsi="微软雅黑" w:eastAsia="微软雅黑" w:cs="微软雅黑"/>
          <w:i w:val="0"/>
          <w:iCs w:val="0"/>
          <w:caps w:val="0"/>
          <w:color w:val="333333"/>
          <w:spacing w:val="0"/>
          <w:sz w:val="24"/>
          <w:szCs w:val="24"/>
          <w:shd w:val="clear" w:fill="F5F5F5"/>
        </w:rPr>
        <w:t>筹资标准高，群众对政策产生了疑惑，同时普遍反应负担过重，增加了工作难度，降低了参保率。</w:t>
      </w:r>
    </w:p>
    <w:p>
      <w:pPr>
        <w:numPr>
          <w:ilvl w:val="0"/>
          <w:numId w:val="4"/>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改进意见</w:t>
      </w:r>
    </w:p>
    <w:p>
      <w:pPr>
        <w:numPr>
          <w:ilvl w:val="0"/>
          <w:numId w:val="0"/>
        </w:numPr>
        <w:spacing w:line="600" w:lineRule="exact"/>
        <w:ind w:firstLine="480" w:firstLineChars="200"/>
        <w:rPr>
          <w:rFonts w:hint="eastAsia" w:ascii="黑体" w:hAnsi="黑体" w:eastAsia="黑体" w:cs="黑体"/>
          <w:kern w:val="1"/>
          <w:sz w:val="32"/>
          <w:szCs w:val="32"/>
        </w:rPr>
      </w:pPr>
      <w:r>
        <w:rPr>
          <w:rFonts w:ascii="微软雅黑" w:hAnsi="微软雅黑" w:eastAsia="微软雅黑" w:cs="微软雅黑"/>
          <w:i w:val="0"/>
          <w:iCs w:val="0"/>
          <w:caps w:val="0"/>
          <w:color w:val="333333"/>
          <w:spacing w:val="0"/>
          <w:sz w:val="24"/>
          <w:szCs w:val="24"/>
          <w:shd w:val="clear" w:fill="F5F5F5"/>
        </w:rPr>
        <w:t>建立健全筹集机制，确保资金足额到位。城乡居民医疗保险是一项利民、惠民政策，参保人员的个人缴费占基金的比例较小，资金筹集主要靠各级财政补助投入，希望政府加大对城乡居民医保的资金投入，提高医疗报销比例，切实减轻城乡居民负担。</w:t>
      </w:r>
    </w:p>
    <w:p>
      <w:pPr>
        <w:numPr>
          <w:ilvl w:val="0"/>
          <w:numId w:val="4"/>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绩效自评结果拟应用和公开情况</w:t>
      </w:r>
    </w:p>
    <w:p>
      <w:pPr>
        <w:snapToGrid w:val="0"/>
        <w:spacing w:line="360" w:lineRule="auto"/>
        <w:ind w:firstLine="420" w:firstLineChars="200"/>
        <w:rPr>
          <w:rFonts w:hint="eastAsia" w:ascii="黑体" w:hAnsi="黑体" w:eastAsia="黑体" w:cs="黑体"/>
          <w:bCs/>
          <w:sz w:val="32"/>
          <w:szCs w:val="32"/>
        </w:rPr>
      </w:pPr>
      <w:r>
        <w:rPr>
          <w:rFonts w:hint="eastAsia" w:ascii="微软雅黑" w:hAnsi="微软雅黑" w:eastAsia="微软雅黑" w:cs="微软雅黑"/>
          <w:i w:val="0"/>
          <w:iCs w:val="0"/>
          <w:caps w:val="0"/>
          <w:color w:val="333333"/>
          <w:spacing w:val="0"/>
          <w:sz w:val="21"/>
          <w:szCs w:val="21"/>
          <w:shd w:val="clear" w:fill="F1F1F1"/>
        </w:rPr>
        <w:t>我单位将对绩效自评中发现的问题认真分析、整改落实，不断提高转移支付资金使用效益，并严格按照相关工作要求对绩效自评结果进行公开。</w:t>
      </w:r>
    </w:p>
    <w:p>
      <w:pPr>
        <w:numPr>
          <w:ilvl w:val="0"/>
          <w:numId w:val="0"/>
        </w:numPr>
        <w:spacing w:line="600" w:lineRule="exact"/>
        <w:ind w:left="600" w:leftChars="0"/>
        <w:rPr>
          <w:rFonts w:hint="eastAsia" w:ascii="黑体" w:hAnsi="黑体" w:eastAsia="黑体" w:cs="黑体"/>
          <w:kern w:val="1"/>
          <w:sz w:val="32"/>
          <w:szCs w:val="32"/>
        </w:rPr>
      </w:pPr>
    </w:p>
    <w:p>
      <w:pPr>
        <w:snapToGrid w:val="0"/>
        <w:spacing w:line="360" w:lineRule="auto"/>
        <w:ind w:firstLine="640" w:firstLineChars="200"/>
        <w:rPr>
          <w:rFonts w:hint="eastAsia" w:ascii="黑体" w:hAnsi="黑体" w:eastAsia="黑体" w:cs="黑体"/>
          <w:bCs/>
          <w:sz w:val="32"/>
          <w:szCs w:val="32"/>
        </w:rPr>
      </w:pPr>
    </w:p>
    <w:p/>
    <w:sectPr>
      <w:headerReference r:id="rId3" w:type="default"/>
      <w:footerReference r:id="rId4" w:type="default"/>
      <w:footerReference r:id="rId5" w:type="even"/>
      <w:pgSz w:w="11906" w:h="16838"/>
      <w:pgMar w:top="1440" w:right="146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CFC2EB"/>
    <w:multiLevelType w:val="singleLevel"/>
    <w:tmpl w:val="85CFC2EB"/>
    <w:lvl w:ilvl="0" w:tentative="0">
      <w:start w:val="2"/>
      <w:numFmt w:val="chineseCounting"/>
      <w:suff w:val="nothing"/>
      <w:lvlText w:val="%1、"/>
      <w:lvlJc w:val="left"/>
      <w:rPr>
        <w:rFonts w:hint="eastAsia"/>
      </w:rPr>
    </w:lvl>
  </w:abstractNum>
  <w:abstractNum w:abstractNumId="1">
    <w:nsid w:val="9FD3EFD7"/>
    <w:multiLevelType w:val="singleLevel"/>
    <w:tmpl w:val="9FD3EFD7"/>
    <w:lvl w:ilvl="0" w:tentative="0">
      <w:start w:val="2"/>
      <w:numFmt w:val="decimal"/>
      <w:suff w:val="nothing"/>
      <w:lvlText w:val="（%1）"/>
      <w:lvlJc w:val="left"/>
    </w:lvl>
  </w:abstractNum>
  <w:abstractNum w:abstractNumId="2">
    <w:nsid w:val="B7A40315"/>
    <w:multiLevelType w:val="singleLevel"/>
    <w:tmpl w:val="B7A40315"/>
    <w:lvl w:ilvl="0" w:tentative="0">
      <w:start w:val="1"/>
      <w:numFmt w:val="decimal"/>
      <w:suff w:val="nothing"/>
      <w:lvlText w:val="%1、"/>
      <w:lvlJc w:val="left"/>
      <w:pPr>
        <w:ind w:left="800" w:leftChars="0" w:firstLine="0" w:firstLineChars="0"/>
      </w:pPr>
    </w:lvl>
  </w:abstractNum>
  <w:abstractNum w:abstractNumId="3">
    <w:nsid w:val="E911BCB5"/>
    <w:multiLevelType w:val="singleLevel"/>
    <w:tmpl w:val="E911BCB5"/>
    <w:lvl w:ilvl="0" w:tentative="0">
      <w:start w:val="2"/>
      <w:numFmt w:val="decimal"/>
      <w:suff w:val="nothing"/>
      <w:lvlText w:val="（%1）"/>
      <w:lvlJc w:val="left"/>
      <w:pPr>
        <w:ind w:left="920" w:leftChars="0" w:firstLine="0" w:firstLineChars="0"/>
      </w:pPr>
    </w:lvl>
  </w:abstractNum>
  <w:abstractNum w:abstractNumId="4">
    <w:nsid w:val="FD7DE5A6"/>
    <w:multiLevelType w:val="singleLevel"/>
    <w:tmpl w:val="FD7DE5A6"/>
    <w:lvl w:ilvl="0" w:tentative="0">
      <w:start w:val="2"/>
      <w:numFmt w:val="decimal"/>
      <w:lvlText w:val="%1."/>
      <w:lvlJc w:val="left"/>
      <w:pPr>
        <w:tabs>
          <w:tab w:val="left" w:pos="312"/>
        </w:tabs>
      </w:pPr>
    </w:lvl>
  </w:abstractNum>
  <w:abstractNum w:abstractNumId="5">
    <w:nsid w:val="13B81656"/>
    <w:multiLevelType w:val="singleLevel"/>
    <w:tmpl w:val="13B81656"/>
    <w:lvl w:ilvl="0" w:tentative="0">
      <w:start w:val="2"/>
      <w:numFmt w:val="decimal"/>
      <w:lvlText w:val="%1."/>
      <w:lvlJc w:val="left"/>
      <w:pPr>
        <w:tabs>
          <w:tab w:val="left" w:pos="312"/>
        </w:tabs>
      </w:pPr>
    </w:lvl>
  </w:abstractNum>
  <w:abstractNum w:abstractNumId="6">
    <w:nsid w:val="308ECBEE"/>
    <w:multiLevelType w:val="singleLevel"/>
    <w:tmpl w:val="308ECBEE"/>
    <w:lvl w:ilvl="0" w:tentative="0">
      <w:start w:val="1"/>
      <w:numFmt w:val="chineseCounting"/>
      <w:suff w:val="nothing"/>
      <w:lvlText w:val="（%1）"/>
      <w:lvlJc w:val="left"/>
      <w:pPr>
        <w:ind w:left="640" w:leftChars="0" w:firstLine="0" w:firstLineChars="0"/>
      </w:pPr>
      <w:rPr>
        <w:rFonts w:hint="eastAsia"/>
      </w:rPr>
    </w:lvl>
  </w:abstractNum>
  <w:abstractNum w:abstractNumId="7">
    <w:nsid w:val="496C264D"/>
    <w:multiLevelType w:val="singleLevel"/>
    <w:tmpl w:val="496C264D"/>
    <w:lvl w:ilvl="0" w:tentative="0">
      <w:start w:val="2"/>
      <w:numFmt w:val="chineseCounting"/>
      <w:suff w:val="nothing"/>
      <w:lvlText w:val="（%1）"/>
      <w:lvlJc w:val="left"/>
      <w:rPr>
        <w:rFonts w:hint="eastAsia"/>
      </w:rPr>
    </w:lvl>
  </w:abstractNum>
  <w:abstractNum w:abstractNumId="8">
    <w:nsid w:val="5F0BE44D"/>
    <w:multiLevelType w:val="singleLevel"/>
    <w:tmpl w:val="5F0BE44D"/>
    <w:lvl w:ilvl="0" w:tentative="0">
      <w:start w:val="4"/>
      <w:numFmt w:val="chineseCounting"/>
      <w:suff w:val="nothing"/>
      <w:lvlText w:val="%1、"/>
      <w:lvlJc w:val="left"/>
    </w:lvl>
  </w:abstractNum>
  <w:num w:numId="1">
    <w:abstractNumId w:val="7"/>
  </w:num>
  <w:num w:numId="2">
    <w:abstractNumId w:val="0"/>
  </w:num>
  <w:num w:numId="3">
    <w:abstractNumId w:val="6"/>
  </w:num>
  <w:num w:numId="4">
    <w:abstractNumId w:val="8"/>
  </w:num>
  <w:num w:numId="5">
    <w:abstractNumId w:val="4"/>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6543D6"/>
    <w:rsid w:val="01C40DDD"/>
    <w:rsid w:val="026543D6"/>
    <w:rsid w:val="07FA6CD5"/>
    <w:rsid w:val="129465AA"/>
    <w:rsid w:val="38D3529A"/>
    <w:rsid w:val="3A9A0F33"/>
    <w:rsid w:val="3DF74897"/>
    <w:rsid w:val="3FF55818"/>
    <w:rsid w:val="50CE5D21"/>
    <w:rsid w:val="5DC956D2"/>
    <w:rsid w:val="73522870"/>
    <w:rsid w:val="7B5E6787"/>
    <w:rsid w:val="7C7A5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1965</Words>
  <Characters>2047</Characters>
  <Lines>0</Lines>
  <Paragraphs>0</Paragraphs>
  <TotalTime>13</TotalTime>
  <ScaleCrop>false</ScaleCrop>
  <LinksUpToDate>false</LinksUpToDate>
  <CharactersWithSpaces>2093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2025-10-28T08:22:00Z</dcterms:created>
  <dc:creator> 荃欣</dc:creator>
  <cp:lastModifiedBy>Administrator</cp:lastModifiedBy>
  <dcterms:modified xsi:type="dcterms:W3CDTF">2025-10-30T03:06:29Z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A454816705FC41BCA40AE7778B4DFE0D_11</vt:lpwstr>
  </property>
  <property fmtid="{D5CDD505-2E9C-101B-9397-08002B2CF9AE}" pid="4" name="KSOTemplateDocerSaveRecord">
    <vt:lpwstr>eyJoZGlkIjoiNmI0MjJmN2Y3Njg0MWRiNWVhMjliMDY0YTliYzg4M2YiLCJ1c2VySWQiOiIyNDg0MDgzMzEifQ==</vt:lpwstr>
  </property>
</Properties>
</file>