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项目支出绩效自评报告</w:t>
      </w:r>
    </w:p>
    <w:p>
      <w:pPr>
        <w:spacing w:line="620" w:lineRule="exact"/>
        <w:jc w:val="center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（参考格式）</w:t>
      </w: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20" w:lineRule="exact"/>
        <w:ind w:firstLine="960" w:firstLineChars="300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项目名称：离休干部医疗费</w:t>
      </w:r>
    </w:p>
    <w:p>
      <w:pPr>
        <w:spacing w:line="620" w:lineRule="exact"/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评价年度：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</w:t>
      </w:r>
    </w:p>
    <w:p>
      <w:pPr>
        <w:spacing w:line="620" w:lineRule="exact"/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评价单位</w:t>
      </w:r>
      <w:r>
        <w:rPr>
          <w:rFonts w:hint="eastAsia" w:ascii="仿宋_GB2312" w:eastAsia="仿宋_GB2312"/>
          <w:sz w:val="32"/>
          <w:szCs w:val="32"/>
        </w:rPr>
        <w:t>（公章）：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徐闻县医疗保障局</w:t>
      </w:r>
    </w:p>
    <w:p>
      <w:pPr>
        <w:spacing w:line="620" w:lineRule="exact"/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2025年10月28日</w:t>
      </w:r>
    </w:p>
    <w:p>
      <w:pPr>
        <w:spacing w:line="6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一、基本情况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（一）项目概况。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用于全县42名离休干部、81名一至六级伤残军人、4名孤寡老人进行门诊费用和住院费报销。</w:t>
      </w:r>
    </w:p>
    <w:p>
      <w:pPr>
        <w:numPr>
          <w:ilvl w:val="0"/>
          <w:numId w:val="1"/>
        </w:num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评价年度项目绩效目标设定情况。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 xml:space="preserve"> 支付全县42名离休干部、81名一至六级伤残军人、4名孤寡老人进行门诊费用和住院费报销，完成单位职能效益。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二、绩效自评工作开展情况</w:t>
      </w:r>
    </w:p>
    <w:p>
      <w:pPr>
        <w:numPr>
          <w:ilvl w:val="0"/>
          <w:numId w:val="2"/>
        </w:numPr>
        <w:spacing w:line="600" w:lineRule="exact"/>
        <w:ind w:left="640" w:leftChars="0" w:firstLine="0" w:firstLineChars="0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绩效评价目的、对象和范围</w:t>
      </w:r>
    </w:p>
    <w:p>
      <w:pPr>
        <w:spacing w:line="620" w:lineRule="exact"/>
        <w:ind w:firstLine="840" w:firstLineChars="3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>评价目的：进一步规范</w:t>
      </w:r>
      <w:r>
        <w:rPr>
          <w:rFonts w:hint="eastAsia" w:ascii="仿宋_GB2312" w:eastAsia="仿宋_GB2312"/>
          <w:sz w:val="32"/>
          <w:szCs w:val="32"/>
        </w:rPr>
        <w:t>离休干部医疗费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>使用和管理，提高基金使用效益。</w:t>
      </w:r>
    </w:p>
    <w:p>
      <w:pPr>
        <w:spacing w:line="620" w:lineRule="exact"/>
        <w:ind w:firstLine="840" w:firstLineChars="3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 xml:space="preserve"> 评价对象：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  <w:lang w:val="en-US" w:eastAsia="zh-CN"/>
        </w:rPr>
        <w:t>徐闻县</w:t>
      </w:r>
      <w:r>
        <w:rPr>
          <w:rFonts w:hint="eastAsia" w:ascii="仿宋_GB2312" w:eastAsia="仿宋_GB2312"/>
          <w:sz w:val="32"/>
          <w:szCs w:val="32"/>
        </w:rPr>
        <w:t>离休干部医疗费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>项目资金支出。</w:t>
      </w:r>
    </w:p>
    <w:p>
      <w:pPr>
        <w:spacing w:line="620" w:lineRule="exact"/>
        <w:ind w:firstLine="840" w:firstLineChars="3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 xml:space="preserve"> 评价范围：开展对</w:t>
      </w:r>
      <w:r>
        <w:rPr>
          <w:rFonts w:hint="eastAsia" w:ascii="仿宋_GB2312" w:eastAsia="仿宋_GB2312"/>
          <w:sz w:val="32"/>
          <w:szCs w:val="32"/>
        </w:rPr>
        <w:t>离休干部医疗费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>项目决策、项目过程、项目效益及参保对象满意度等方面进行评价。</w:t>
      </w:r>
    </w:p>
    <w:p>
      <w:pPr>
        <w:numPr>
          <w:ilvl w:val="0"/>
          <w:numId w:val="2"/>
        </w:numPr>
        <w:spacing w:line="600" w:lineRule="exact"/>
        <w:ind w:left="640" w:leftChars="0" w:firstLine="0" w:firstLineChars="0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绩效评价原则、评价指标体系（附表说明）、评价方法、评价标准等。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5F5F5"/>
        </w:rPr>
        <w:t>采取定量与定性分析相结合原则；采用财政支出项目绩效评价指标；采用目标效益分析法评价。</w:t>
      </w:r>
    </w:p>
    <w:p>
      <w:pPr>
        <w:numPr>
          <w:ilvl w:val="0"/>
          <w:numId w:val="2"/>
        </w:numPr>
        <w:spacing w:line="600" w:lineRule="exact"/>
        <w:ind w:left="640" w:leftChars="0" w:firstLine="0" w:firstLineChars="0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绩效评价工作过程</w:t>
      </w:r>
    </w:p>
    <w:p>
      <w:pPr>
        <w:spacing w:line="620" w:lineRule="exact"/>
        <w:ind w:firstLine="840" w:firstLineChars="3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成立项目支出绩效评价小组，评价小组严格对照项目支出绩效自评具体指标进行评分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，由办公室牵头，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精心准备</w:t>
      </w:r>
      <w:r>
        <w:rPr>
          <w:rFonts w:hint="eastAsia" w:ascii="仿宋_GB2312" w:eastAsia="仿宋_GB2312"/>
          <w:sz w:val="32"/>
          <w:szCs w:val="32"/>
        </w:rPr>
        <w:t>离休干部医疗费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项目支出绩效评价工作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三、绩效自评结果</w:t>
      </w:r>
    </w:p>
    <w:p>
      <w:pPr>
        <w:spacing w:line="600" w:lineRule="exact"/>
        <w:ind w:firstLine="600"/>
        <w:rPr>
          <w:rFonts w:hint="default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自评分数84分，良。</w:t>
      </w:r>
    </w:p>
    <w:p>
      <w:pPr>
        <w:numPr>
          <w:ilvl w:val="0"/>
          <w:numId w:val="3"/>
        </w:num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项目资金使用绩效</w:t>
      </w:r>
    </w:p>
    <w:p>
      <w:pPr>
        <w:spacing w:line="600" w:lineRule="exact"/>
        <w:ind w:firstLine="600"/>
        <w:rPr>
          <w:rFonts w:hint="eastAsia" w:ascii="仿宋_GB2312" w:hAnsi="仿宋_GB2312" w:eastAsia="仿宋_GB2312" w:cs="Times New Roman"/>
          <w:kern w:val="1"/>
          <w:sz w:val="32"/>
          <w:szCs w:val="32"/>
        </w:rPr>
      </w:pPr>
      <w:r>
        <w:rPr>
          <w:rFonts w:hint="eastAsia" w:ascii="仿宋_GB2312" w:hAnsi="仿宋_GB2312" w:eastAsia="仿宋_GB2312" w:cs="Times New Roman"/>
          <w:kern w:val="1"/>
          <w:sz w:val="32"/>
          <w:szCs w:val="32"/>
        </w:rPr>
        <w:t>（一）资金</w:t>
      </w:r>
      <w:r>
        <w:rPr>
          <w:rFonts w:hint="eastAsia" w:ascii="仿宋_GB2312" w:hAnsi="仿宋_GB2312" w:eastAsia="仿宋_GB2312" w:cs="Times New Roman"/>
          <w:kern w:val="1"/>
          <w:sz w:val="32"/>
          <w:szCs w:val="32"/>
          <w:lang w:val="en-US" w:eastAsia="zh-CN"/>
        </w:rPr>
        <w:t>管理过程</w:t>
      </w:r>
      <w:r>
        <w:rPr>
          <w:rFonts w:hint="eastAsia" w:ascii="仿宋_GB2312" w:hAnsi="仿宋_GB2312" w:eastAsia="仿宋_GB2312" w:cs="Times New Roman"/>
          <w:kern w:val="1"/>
          <w:sz w:val="32"/>
          <w:szCs w:val="32"/>
        </w:rPr>
        <w:t>情况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1.资金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情况。</w:t>
      </w:r>
    </w:p>
    <w:p>
      <w:pPr>
        <w:spacing w:line="600" w:lineRule="exact"/>
        <w:ind w:firstLine="600"/>
        <w:rPr>
          <w:rFonts w:hint="default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2024年离休干部项目预算资金240万元，实际支出123.42万元，执行率为51.25%</w:t>
      </w:r>
      <w:bookmarkStart w:id="0" w:name="_GoBack"/>
      <w:bookmarkEnd w:id="0"/>
    </w:p>
    <w:p>
      <w:pPr>
        <w:numPr>
          <w:ilvl w:val="0"/>
          <w:numId w:val="4"/>
        </w:num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绩效目标管理情况。</w:t>
      </w:r>
    </w:p>
    <w:p>
      <w:pPr>
        <w:numPr>
          <w:ilvl w:val="0"/>
          <w:numId w:val="0"/>
        </w:numPr>
        <w:spacing w:line="600" w:lineRule="exact"/>
        <w:rPr>
          <w:rFonts w:hint="default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 xml:space="preserve">    依据徐府[2012]132号文件，离休干部医疗费由县财政预算安排的离休干部医疗费、企业离休干部医疗统筹金和上级财政部门离休干部医疗费补助组成，县财政局按月划拨给县公医办单列管理，做到专款专用。</w:t>
      </w:r>
    </w:p>
    <w:p>
      <w:pPr>
        <w:numPr>
          <w:ilvl w:val="0"/>
          <w:numId w:val="4"/>
        </w:numPr>
        <w:spacing w:line="600" w:lineRule="exact"/>
        <w:ind w:left="0" w:leftChars="0" w:firstLine="600" w:firstLineChars="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事项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管理情况。</w:t>
      </w:r>
    </w:p>
    <w:p>
      <w:pPr>
        <w:numPr>
          <w:ilvl w:val="0"/>
          <w:numId w:val="0"/>
        </w:numPr>
        <w:spacing w:line="600" w:lineRule="exact"/>
        <w:ind w:left="600" w:leftChars="0" w:firstLine="280" w:firstLineChars="100"/>
        <w:rPr>
          <w:rFonts w:hint="eastAsia" w:ascii="宋体" w:hAnsi="宋体" w:eastAsia="宋体" w:cs="宋体"/>
          <w:kern w:val="1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8"/>
          <w:szCs w:val="28"/>
          <w:shd w:val="clear" w:fill="FFFFFF"/>
        </w:rPr>
        <w:t>在项目资金发放工作中，建立了符合财务会计制度的离休干部医疗经费资金管理制度，专项管理、拨付规范、发放及时。</w:t>
      </w:r>
    </w:p>
    <w:p>
      <w:pPr>
        <w:numPr>
          <w:ilvl w:val="0"/>
          <w:numId w:val="1"/>
        </w:numPr>
        <w:spacing w:line="600" w:lineRule="exact"/>
        <w:ind w:left="0" w:leftChars="0" w:firstLine="600" w:firstLineChars="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绩效目标完成情况</w:t>
      </w:r>
    </w:p>
    <w:p>
      <w:pPr>
        <w:numPr>
          <w:ilvl w:val="0"/>
          <w:numId w:val="5"/>
        </w:numPr>
        <w:spacing w:line="600" w:lineRule="exact"/>
        <w:ind w:left="600" w:leftChars="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产出指标完成情况。</w:t>
      </w:r>
    </w:p>
    <w:p>
      <w:pPr>
        <w:numPr>
          <w:ilvl w:val="0"/>
          <w:numId w:val="6"/>
        </w:numPr>
        <w:spacing w:line="600" w:lineRule="exact"/>
        <w:ind w:left="640" w:leftChars="0" w:firstLine="0" w:firstLineChars="0"/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数量指标。24年纳入36人，住院129人，住院金额127.50万，门诊报销94人次，支出71.8万</w:t>
      </w:r>
    </w:p>
    <w:p>
      <w:pPr>
        <w:numPr>
          <w:ilvl w:val="0"/>
          <w:numId w:val="6"/>
        </w:numPr>
        <w:spacing w:line="600" w:lineRule="exact"/>
        <w:ind w:left="640" w:leftChars="0" w:firstLine="0" w:firstLineChars="0"/>
        <w:rPr>
          <w:rFonts w:hint="default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质量指标。报销范围之内的药费实报实销，报销范围之外的药费，由个人自负。</w:t>
      </w:r>
    </w:p>
    <w:p>
      <w:pPr>
        <w:numPr>
          <w:ilvl w:val="0"/>
          <w:numId w:val="6"/>
        </w:numPr>
        <w:spacing w:line="600" w:lineRule="exact"/>
        <w:ind w:left="640" w:leftChars="0" w:firstLine="0" w:firstLineChars="0"/>
        <w:rPr>
          <w:rFonts w:hint="default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时效指标。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年全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县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离休老干部实现了出院及时报销，保障了其医保待遇。</w:t>
      </w:r>
    </w:p>
    <w:p>
      <w:pPr>
        <w:numPr>
          <w:ilvl w:val="0"/>
          <w:numId w:val="5"/>
        </w:numPr>
        <w:spacing w:line="600" w:lineRule="exact"/>
        <w:ind w:left="600" w:leftChars="0" w:firstLine="0" w:firstLineChars="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效益指标完成情况。</w:t>
      </w:r>
    </w:p>
    <w:p>
      <w:pPr>
        <w:numPr>
          <w:ilvl w:val="0"/>
          <w:numId w:val="0"/>
        </w:numPr>
        <w:spacing w:line="600" w:lineRule="exact"/>
        <w:ind w:left="600" w:leftChars="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切实保障了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离休老干部待遇不降低，是政府关心老干部的有效体现。</w:t>
      </w:r>
    </w:p>
    <w:p>
      <w:pPr>
        <w:numPr>
          <w:ilvl w:val="0"/>
          <w:numId w:val="5"/>
        </w:numPr>
        <w:spacing w:line="600" w:lineRule="exact"/>
        <w:ind w:left="600" w:leftChars="0" w:firstLine="0" w:firstLineChars="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五、主要经验、存在的问题和偏离绩效目标的原因分析</w:t>
      </w: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1"/>
          <w:sz w:val="32"/>
          <w:szCs w:val="32"/>
          <w:lang w:eastAsia="zh-CN"/>
        </w:rPr>
        <w:t>由于财政资金缺乏，不能及时支付离休干部医疗费。</w:t>
      </w:r>
    </w:p>
    <w:p>
      <w:pPr>
        <w:numPr>
          <w:ilvl w:val="0"/>
          <w:numId w:val="3"/>
        </w:numPr>
        <w:spacing w:line="600" w:lineRule="exact"/>
        <w:ind w:left="0" w:leftChars="0" w:firstLine="600" w:firstLineChars="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改进意见</w:t>
      </w:r>
    </w:p>
    <w:p>
      <w:pPr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kern w:val="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1"/>
          <w:sz w:val="32"/>
          <w:szCs w:val="32"/>
          <w:lang w:eastAsia="zh-CN"/>
        </w:rPr>
        <w:t>无</w:t>
      </w: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七、绩效自评结果拟应用和公开情况</w:t>
      </w:r>
    </w:p>
    <w:p>
      <w:pPr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1F1F1"/>
        </w:rPr>
        <w:t>我单位将对绩效自评中发现的问题认真分析、整改落实，不断提高转移支付资金使用效益，并严格按照相关工作要求对绩效自评结果进行公开。</w:t>
      </w:r>
    </w:p>
    <w:p>
      <w:pPr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466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2E0C4A"/>
    <w:multiLevelType w:val="singleLevel"/>
    <w:tmpl w:val="A82E0C4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B6E85E"/>
    <w:multiLevelType w:val="singleLevel"/>
    <w:tmpl w:val="C7B6E85E"/>
    <w:lvl w:ilvl="0" w:tentative="0">
      <w:start w:val="1"/>
      <w:numFmt w:val="decimal"/>
      <w:suff w:val="nothing"/>
      <w:lvlText w:val="（%1）"/>
      <w:lvlJc w:val="left"/>
      <w:pPr>
        <w:ind w:left="640" w:leftChars="0" w:firstLine="0" w:firstLineChars="0"/>
      </w:pPr>
    </w:lvl>
  </w:abstractNum>
  <w:abstractNum w:abstractNumId="2">
    <w:nsid w:val="308ECBEE"/>
    <w:multiLevelType w:val="singleLevel"/>
    <w:tmpl w:val="308ECBEE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3">
    <w:nsid w:val="30922D69"/>
    <w:multiLevelType w:val="singleLevel"/>
    <w:tmpl w:val="30922D6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4235CA9"/>
    <w:multiLevelType w:val="singleLevel"/>
    <w:tmpl w:val="54235C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F0BE44D"/>
    <w:multiLevelType w:val="singleLevel"/>
    <w:tmpl w:val="5F0BE44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6401E"/>
    <w:rsid w:val="174E4C92"/>
    <w:rsid w:val="2084019A"/>
    <w:rsid w:val="26A76454"/>
    <w:rsid w:val="270F7B34"/>
    <w:rsid w:val="2AAD1B5F"/>
    <w:rsid w:val="2C8E2C44"/>
    <w:rsid w:val="2D56401E"/>
    <w:rsid w:val="386115E2"/>
    <w:rsid w:val="3F5A172D"/>
    <w:rsid w:val="516177CB"/>
    <w:rsid w:val="5C4F0B13"/>
    <w:rsid w:val="5FAB1213"/>
    <w:rsid w:val="60A1795D"/>
    <w:rsid w:val="6E65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958</Words>
  <Characters>999</Characters>
  <Lines>0</Lines>
  <Paragraphs>0</Paragraphs>
  <TotalTime>13</TotalTime>
  <ScaleCrop>false</ScaleCrop>
  <LinksUpToDate>false</LinksUpToDate>
  <CharactersWithSpaces>1010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2025-10-28T09:01:00Z</dcterms:created>
  <dc:creator>Administrator</dc:creator>
  <cp:lastModifiedBy>Administrator</cp:lastModifiedBy>
  <dcterms:modified xsi:type="dcterms:W3CDTF">2025-10-31T07:31:10Z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896C1888F8404BF2B724AA3232E916CE</vt:lpwstr>
  </property>
  <property fmtid="{D5CDD505-2E9C-101B-9397-08002B2CF9AE}" pid="4" name="KSOTemplateDocerSaveRecord">
    <vt:lpwstr>eyJoZGlkIjoiNmI0MjJmN2Y3Njg0MWRiNWVhMjliMDY0YTliYzg4M2YiLCJ1c2VySWQiOiIyNDg0MDgzMzEifQ==</vt:lpwstr>
  </property>
</Properties>
</file>