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1D7AA">
      <w:pPr>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 xml:space="preserve">  </w:t>
      </w:r>
    </w:p>
    <w:p w14:paraId="2920B313">
      <w:pPr>
        <w:jc w:val="center"/>
        <w:rPr>
          <w:rFonts w:hint="eastAsia" w:ascii="仿宋_GB2312" w:hAnsi="宋体" w:eastAsia="仿宋_GB2312" w:cs="宋体"/>
          <w:b/>
          <w:sz w:val="44"/>
          <w:szCs w:val="44"/>
          <w:lang w:val="en-US" w:eastAsia="zh-CN"/>
        </w:rPr>
      </w:pPr>
      <w:r>
        <w:rPr>
          <w:rFonts w:hint="eastAsia" w:ascii="宋体" w:hAnsi="宋体" w:eastAsia="宋体" w:cs="宋体"/>
          <w:b/>
          <w:bCs/>
          <w:kern w:val="0"/>
          <w:sz w:val="24"/>
          <w:szCs w:val="24"/>
          <w:lang w:val="en-US" w:eastAsia="zh-CN" w:bidi="ar"/>
        </w:rPr>
        <w:t xml:space="preserve"> </w:t>
      </w:r>
      <w:r>
        <w:rPr>
          <w:rFonts w:hint="eastAsia" w:ascii="仿宋_GB2312" w:hAnsi="宋体" w:eastAsia="仿宋_GB2312" w:cs="宋体"/>
          <w:b/>
          <w:sz w:val="44"/>
          <w:szCs w:val="44"/>
          <w:lang w:val="en-US" w:eastAsia="zh-CN"/>
        </w:rPr>
        <w:t xml:space="preserve"> 2024年中国人民政治协商会议广东省徐闻县委员会办公室“三公</w:t>
      </w:r>
      <w:r>
        <w:rPr>
          <w:rFonts w:hint="default" w:ascii="仿宋_GB2312" w:hAnsi="宋体" w:eastAsia="仿宋_GB2312" w:cs="宋体"/>
          <w:b/>
          <w:sz w:val="44"/>
          <w:szCs w:val="44"/>
          <w:lang w:val="en-US" w:eastAsia="zh-CN"/>
        </w:rPr>
        <w:t>”</w:t>
      </w:r>
      <w:r>
        <w:rPr>
          <w:rFonts w:hint="eastAsia" w:ascii="仿宋_GB2312" w:hAnsi="宋体" w:eastAsia="仿宋_GB2312" w:cs="宋体"/>
          <w:b/>
          <w:sz w:val="44"/>
          <w:szCs w:val="44"/>
          <w:lang w:val="en-US" w:eastAsia="zh-CN"/>
        </w:rPr>
        <w:t>经费决算情况说明</w:t>
      </w:r>
    </w:p>
    <w:p w14:paraId="6B0071A3">
      <w:pPr>
        <w:jc w:val="both"/>
        <w:rPr>
          <w:rFonts w:hint="eastAsia" w:ascii="仿宋_GB2312" w:hAnsi="仿宋_GB2312" w:eastAsia="仿宋_GB2312" w:cs="仿宋_GB2312"/>
          <w:b/>
          <w:bCs/>
          <w:i w:val="0"/>
          <w:iCs w:val="0"/>
          <w:caps w:val="0"/>
          <w:color w:val="525252"/>
          <w:spacing w:val="13"/>
          <w:kern w:val="0"/>
          <w:sz w:val="32"/>
          <w:szCs w:val="32"/>
          <w:lang w:val="en-US" w:eastAsia="zh-CN" w:bidi="ar"/>
        </w:rPr>
      </w:pPr>
    </w:p>
    <w:p w14:paraId="2CECB6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宋体" w:hAnsi="宋体" w:eastAsia="宋体" w:cs="宋体"/>
          <w:i w:val="0"/>
          <w:iCs w:val="0"/>
          <w:caps w:val="0"/>
          <w:color w:val="999999"/>
          <w:spacing w:val="15"/>
          <w:sz w:val="24"/>
          <w:szCs w:val="24"/>
        </w:rPr>
      </w:pPr>
      <w:r>
        <w:rPr>
          <w:rFonts w:hint="eastAsia" w:ascii="宋体" w:hAnsi="宋体" w:cs="宋体"/>
          <w:kern w:val="0"/>
          <w:sz w:val="20"/>
          <w:szCs w:val="20"/>
          <w:lang w:val="en-US" w:eastAsia="zh-CN"/>
        </w:rPr>
        <w:t>表9</w:t>
      </w:r>
    </w:p>
    <w:p w14:paraId="72568DE4">
      <w:pPr>
        <w:jc w:val="center"/>
        <w:rPr>
          <w:rFonts w:hint="eastAsia" w:ascii="宋体" w:hAnsi="宋体" w:cs="宋体"/>
          <w:b/>
          <w:kern w:val="0"/>
          <w:sz w:val="32"/>
          <w:szCs w:val="32"/>
        </w:rPr>
      </w:pPr>
      <w:r>
        <w:rPr>
          <w:rFonts w:hint="eastAsia" w:ascii="宋体" w:hAnsi="宋体" w:cs="宋体"/>
          <w:b/>
          <w:kern w:val="0"/>
          <w:sz w:val="32"/>
          <w:szCs w:val="32"/>
          <w:lang w:val="en-US" w:eastAsia="zh-CN"/>
        </w:rPr>
        <w:t>财政拨款“三公”经费支出决算表</w:t>
      </w:r>
    </w:p>
    <w:p w14:paraId="7EE41662">
      <w:pPr>
        <w:spacing w:line="288" w:lineRule="auto"/>
        <w:jc w:val="left"/>
        <w:rPr>
          <w:rFonts w:hint="eastAsia" w:ascii="宋体" w:hAnsi="宋体" w:cs="宋体"/>
          <w:kern w:val="0"/>
          <w:sz w:val="20"/>
          <w:szCs w:val="20"/>
        </w:rPr>
      </w:pPr>
      <w:r>
        <w:rPr>
          <w:rFonts w:hint="eastAsia" w:ascii="宋体" w:hAnsi="宋体" w:cs="宋体"/>
          <w:kern w:val="0"/>
          <w:sz w:val="20"/>
          <w:szCs w:val="20"/>
          <w:lang w:val="en-US" w:eastAsia="zh-CN"/>
        </w:rPr>
        <w:t>部门：中国人民政治协商会议广东省徐闻县委员会办公室</w:t>
      </w:r>
    </w:p>
    <w:p w14:paraId="59F1C048">
      <w:pPr>
        <w:widowControl/>
        <w:jc w:val="right"/>
        <w:rPr>
          <w:rFonts w:hint="eastAsia" w:ascii="宋体" w:hAnsi="宋体" w:cs="宋体"/>
          <w:kern w:val="0"/>
          <w:szCs w:val="21"/>
          <w:lang w:val="en-US" w:eastAsia="zh-CN"/>
        </w:rPr>
      </w:pPr>
      <w:r>
        <w:rPr>
          <w:rFonts w:hint="eastAsia" w:ascii="宋体" w:hAnsi="宋体" w:cs="宋体"/>
          <w:kern w:val="0"/>
          <w:szCs w:val="21"/>
          <w:lang w:val="en-US" w:eastAsia="zh-CN"/>
        </w:rPr>
        <w:t>单位：万元</w:t>
      </w:r>
    </w:p>
    <w:tbl>
      <w:tblPr>
        <w:tblStyle w:val="4"/>
        <w:tblW w:w="14059" w:type="dxa"/>
        <w:tblCellSpacing w:w="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0" w:type="dxa"/>
          <w:left w:w="0" w:type="dxa"/>
          <w:bottom w:w="0" w:type="dxa"/>
          <w:right w:w="0" w:type="dxa"/>
        </w:tblCellMar>
      </w:tblPr>
      <w:tblGrid>
        <w:gridCol w:w="754"/>
        <w:gridCol w:w="1350"/>
        <w:gridCol w:w="825"/>
        <w:gridCol w:w="9"/>
        <w:gridCol w:w="1260"/>
        <w:gridCol w:w="6"/>
        <w:gridCol w:w="1797"/>
        <w:gridCol w:w="1038"/>
        <w:gridCol w:w="870"/>
        <w:gridCol w:w="1170"/>
        <w:gridCol w:w="753"/>
        <w:gridCol w:w="1404"/>
        <w:gridCol w:w="1815"/>
        <w:gridCol w:w="3"/>
        <w:gridCol w:w="1005"/>
      </w:tblGrid>
      <w:tr w14:paraId="7541F6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0" w:type="dxa"/>
            <w:bottom w:w="0" w:type="dxa"/>
            <w:right w:w="0" w:type="dxa"/>
          </w:tblCellMar>
        </w:tblPrEx>
        <w:trPr>
          <w:trHeight w:val="232" w:hRule="atLeast"/>
          <w:tblHeader/>
          <w:tblCellSpacing w:w="0" w:type="dxa"/>
        </w:trPr>
        <w:tc>
          <w:tcPr>
            <w:tcW w:w="7039" w:type="dxa"/>
            <w:gridSpan w:val="8"/>
            <w:tcBorders>
              <w:tl2br w:val="nil"/>
              <w:tr2bl w:val="nil"/>
            </w:tcBorders>
            <w:shd w:val="clear" w:color="auto" w:fill="auto"/>
            <w:vAlign w:val="center"/>
          </w:tcPr>
          <w:p w14:paraId="16A6A35B">
            <w:pPr>
              <w:widowControl/>
              <w:jc w:val="center"/>
              <w:rPr>
                <w:rFonts w:hint="eastAsia" w:ascii="宋体" w:hAnsi="宋体" w:cs="宋体"/>
                <w:kern w:val="0"/>
                <w:szCs w:val="21"/>
              </w:rPr>
            </w:pPr>
            <w:r>
              <w:rPr>
                <w:rFonts w:hint="eastAsia" w:ascii="宋体" w:hAnsi="宋体" w:cs="宋体"/>
                <w:kern w:val="0"/>
                <w:szCs w:val="21"/>
                <w:lang w:val="en-US" w:eastAsia="zh-CN"/>
              </w:rPr>
              <w:t>预算数</w:t>
            </w:r>
          </w:p>
        </w:tc>
        <w:tc>
          <w:tcPr>
            <w:tcW w:w="7020" w:type="dxa"/>
            <w:gridSpan w:val="7"/>
            <w:tcBorders>
              <w:tl2br w:val="nil"/>
              <w:tr2bl w:val="nil"/>
            </w:tcBorders>
            <w:shd w:val="clear" w:color="auto" w:fill="auto"/>
            <w:vAlign w:val="center"/>
          </w:tcPr>
          <w:p w14:paraId="3073C3D3">
            <w:pPr>
              <w:widowControl/>
              <w:jc w:val="center"/>
              <w:rPr>
                <w:rFonts w:hint="eastAsia" w:ascii="宋体" w:hAnsi="宋体" w:cs="宋体"/>
                <w:kern w:val="0"/>
                <w:szCs w:val="21"/>
              </w:rPr>
            </w:pPr>
            <w:r>
              <w:rPr>
                <w:rFonts w:hint="eastAsia" w:ascii="宋体" w:hAnsi="宋体" w:cs="宋体"/>
                <w:kern w:val="0"/>
                <w:szCs w:val="21"/>
                <w:lang w:val="en-US" w:eastAsia="zh-CN"/>
              </w:rPr>
              <w:t>决算数</w:t>
            </w:r>
          </w:p>
        </w:tc>
      </w:tr>
      <w:tr w14:paraId="026CE3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0" w:type="dxa"/>
            <w:bottom w:w="0" w:type="dxa"/>
            <w:right w:w="0" w:type="dxa"/>
          </w:tblCellMar>
        </w:tblPrEx>
        <w:trPr>
          <w:trHeight w:val="232" w:hRule="atLeast"/>
          <w:tblHeader/>
          <w:tblCellSpacing w:w="0" w:type="dxa"/>
        </w:trPr>
        <w:tc>
          <w:tcPr>
            <w:tcW w:w="754" w:type="dxa"/>
            <w:vMerge w:val="restart"/>
            <w:tcBorders>
              <w:tl2br w:val="nil"/>
              <w:tr2bl w:val="nil"/>
            </w:tcBorders>
            <w:shd w:val="clear" w:color="auto" w:fill="auto"/>
            <w:vAlign w:val="center"/>
          </w:tcPr>
          <w:p w14:paraId="426F1436">
            <w:pPr>
              <w:widowControl/>
              <w:jc w:val="center"/>
              <w:rPr>
                <w:rFonts w:hint="eastAsia" w:ascii="宋体" w:hAnsi="宋体" w:cs="宋体"/>
                <w:kern w:val="0"/>
                <w:szCs w:val="21"/>
              </w:rPr>
            </w:pPr>
            <w:r>
              <w:rPr>
                <w:rFonts w:hint="eastAsia" w:ascii="宋体" w:hAnsi="宋体" w:cs="宋体"/>
                <w:kern w:val="0"/>
                <w:szCs w:val="21"/>
                <w:lang w:val="en-US" w:eastAsia="zh-CN"/>
              </w:rPr>
              <w:t>合计</w:t>
            </w:r>
          </w:p>
        </w:tc>
        <w:tc>
          <w:tcPr>
            <w:tcW w:w="1350" w:type="dxa"/>
            <w:vMerge w:val="restart"/>
            <w:tcBorders>
              <w:tl2br w:val="nil"/>
              <w:tr2bl w:val="nil"/>
            </w:tcBorders>
            <w:shd w:val="clear" w:color="auto" w:fill="auto"/>
            <w:vAlign w:val="center"/>
          </w:tcPr>
          <w:p w14:paraId="2A717FF5">
            <w:pPr>
              <w:widowControl/>
              <w:jc w:val="center"/>
              <w:rPr>
                <w:rFonts w:hint="eastAsia" w:ascii="宋体" w:hAnsi="宋体" w:cs="宋体"/>
                <w:kern w:val="0"/>
                <w:szCs w:val="21"/>
              </w:rPr>
            </w:pPr>
            <w:r>
              <w:rPr>
                <w:rFonts w:hint="eastAsia" w:ascii="宋体" w:hAnsi="宋体" w:cs="宋体"/>
                <w:kern w:val="0"/>
                <w:szCs w:val="21"/>
                <w:lang w:val="en-US" w:eastAsia="zh-CN"/>
              </w:rPr>
              <w:t>因公出国（境）费</w:t>
            </w:r>
          </w:p>
        </w:tc>
        <w:tc>
          <w:tcPr>
            <w:tcW w:w="3897" w:type="dxa"/>
            <w:gridSpan w:val="5"/>
            <w:tcBorders>
              <w:tl2br w:val="nil"/>
              <w:tr2bl w:val="nil"/>
            </w:tcBorders>
            <w:shd w:val="clear" w:color="auto" w:fill="auto"/>
            <w:vAlign w:val="center"/>
          </w:tcPr>
          <w:p w14:paraId="169524D3">
            <w:pPr>
              <w:widowControl/>
              <w:jc w:val="center"/>
              <w:rPr>
                <w:rFonts w:hint="eastAsia" w:ascii="宋体" w:hAnsi="宋体" w:cs="宋体"/>
                <w:kern w:val="0"/>
                <w:szCs w:val="21"/>
              </w:rPr>
            </w:pPr>
            <w:r>
              <w:rPr>
                <w:rFonts w:hint="eastAsia" w:ascii="宋体" w:hAnsi="宋体" w:cs="宋体"/>
                <w:kern w:val="0"/>
                <w:szCs w:val="21"/>
                <w:lang w:val="en-US" w:eastAsia="zh-CN"/>
              </w:rPr>
              <w:t>公务用车购置及运行维护费</w:t>
            </w:r>
          </w:p>
        </w:tc>
        <w:tc>
          <w:tcPr>
            <w:tcW w:w="1038" w:type="dxa"/>
            <w:vMerge w:val="restart"/>
            <w:tcBorders>
              <w:tl2br w:val="nil"/>
              <w:tr2bl w:val="nil"/>
            </w:tcBorders>
            <w:shd w:val="clear" w:color="auto" w:fill="auto"/>
            <w:vAlign w:val="center"/>
          </w:tcPr>
          <w:p w14:paraId="3F0D2035">
            <w:pPr>
              <w:widowControl/>
              <w:jc w:val="center"/>
              <w:rPr>
                <w:rFonts w:hint="eastAsia" w:ascii="宋体" w:hAnsi="宋体" w:cs="宋体"/>
                <w:kern w:val="0"/>
                <w:szCs w:val="21"/>
              </w:rPr>
            </w:pPr>
            <w:r>
              <w:rPr>
                <w:rFonts w:hint="eastAsia" w:ascii="宋体" w:hAnsi="宋体" w:cs="宋体"/>
                <w:kern w:val="0"/>
                <w:szCs w:val="21"/>
                <w:lang w:val="en-US" w:eastAsia="zh-CN"/>
              </w:rPr>
              <w:t>公务接待费</w:t>
            </w:r>
          </w:p>
        </w:tc>
        <w:tc>
          <w:tcPr>
            <w:tcW w:w="870" w:type="dxa"/>
            <w:vMerge w:val="restart"/>
            <w:tcBorders>
              <w:tl2br w:val="nil"/>
              <w:tr2bl w:val="nil"/>
            </w:tcBorders>
            <w:shd w:val="clear" w:color="auto" w:fill="auto"/>
            <w:vAlign w:val="center"/>
          </w:tcPr>
          <w:p w14:paraId="09F4BB8E">
            <w:pPr>
              <w:widowControl/>
              <w:jc w:val="center"/>
              <w:rPr>
                <w:rFonts w:hint="eastAsia" w:ascii="宋体" w:hAnsi="宋体" w:cs="宋体"/>
                <w:kern w:val="0"/>
                <w:szCs w:val="21"/>
              </w:rPr>
            </w:pPr>
            <w:r>
              <w:rPr>
                <w:rFonts w:hint="eastAsia" w:ascii="宋体" w:hAnsi="宋体" w:cs="宋体"/>
                <w:kern w:val="0"/>
                <w:szCs w:val="21"/>
                <w:lang w:val="en-US" w:eastAsia="zh-CN"/>
              </w:rPr>
              <w:t>合计</w:t>
            </w:r>
          </w:p>
        </w:tc>
        <w:tc>
          <w:tcPr>
            <w:tcW w:w="1170" w:type="dxa"/>
            <w:vMerge w:val="restart"/>
            <w:tcBorders>
              <w:tl2br w:val="nil"/>
              <w:tr2bl w:val="nil"/>
            </w:tcBorders>
            <w:shd w:val="clear" w:color="auto" w:fill="auto"/>
            <w:vAlign w:val="center"/>
          </w:tcPr>
          <w:p w14:paraId="4277FCE7">
            <w:pPr>
              <w:widowControl/>
              <w:jc w:val="center"/>
              <w:rPr>
                <w:rFonts w:hint="eastAsia" w:ascii="宋体" w:hAnsi="宋体" w:cs="宋体"/>
                <w:kern w:val="0"/>
                <w:szCs w:val="21"/>
              </w:rPr>
            </w:pPr>
            <w:r>
              <w:rPr>
                <w:rFonts w:hint="eastAsia" w:ascii="宋体" w:hAnsi="宋体" w:cs="宋体"/>
                <w:kern w:val="0"/>
                <w:szCs w:val="21"/>
                <w:lang w:val="en-US" w:eastAsia="zh-CN"/>
              </w:rPr>
              <w:t>因公出国（境）费</w:t>
            </w:r>
          </w:p>
        </w:tc>
        <w:tc>
          <w:tcPr>
            <w:tcW w:w="3972" w:type="dxa"/>
            <w:gridSpan w:val="3"/>
            <w:tcBorders>
              <w:tl2br w:val="nil"/>
              <w:tr2bl w:val="nil"/>
            </w:tcBorders>
            <w:shd w:val="clear" w:color="auto" w:fill="auto"/>
            <w:vAlign w:val="center"/>
          </w:tcPr>
          <w:p w14:paraId="768EBF1C">
            <w:pPr>
              <w:widowControl/>
              <w:jc w:val="center"/>
              <w:rPr>
                <w:rFonts w:hint="eastAsia" w:ascii="宋体" w:hAnsi="宋体" w:cs="宋体"/>
                <w:kern w:val="0"/>
                <w:szCs w:val="21"/>
              </w:rPr>
            </w:pPr>
            <w:r>
              <w:rPr>
                <w:rFonts w:hint="eastAsia" w:ascii="宋体" w:hAnsi="宋体" w:cs="宋体"/>
                <w:kern w:val="0"/>
                <w:szCs w:val="21"/>
                <w:lang w:val="en-US" w:eastAsia="zh-CN"/>
              </w:rPr>
              <w:t>公务用车购置及运行维护费</w:t>
            </w:r>
          </w:p>
        </w:tc>
        <w:tc>
          <w:tcPr>
            <w:tcW w:w="1008" w:type="dxa"/>
            <w:gridSpan w:val="2"/>
            <w:vMerge w:val="restart"/>
            <w:tcBorders>
              <w:tl2br w:val="nil"/>
              <w:tr2bl w:val="nil"/>
            </w:tcBorders>
            <w:shd w:val="clear" w:color="auto" w:fill="auto"/>
            <w:vAlign w:val="center"/>
          </w:tcPr>
          <w:p w14:paraId="07379625">
            <w:pPr>
              <w:widowControl/>
              <w:jc w:val="center"/>
              <w:rPr>
                <w:rFonts w:hint="eastAsia" w:ascii="宋体" w:hAnsi="宋体" w:cs="宋体"/>
                <w:kern w:val="0"/>
                <w:szCs w:val="21"/>
              </w:rPr>
            </w:pPr>
            <w:r>
              <w:rPr>
                <w:rFonts w:hint="eastAsia" w:ascii="宋体" w:hAnsi="宋体" w:cs="宋体"/>
                <w:kern w:val="0"/>
                <w:szCs w:val="21"/>
                <w:lang w:val="en-US" w:eastAsia="zh-CN"/>
              </w:rPr>
              <w:t>公务接待费</w:t>
            </w:r>
          </w:p>
        </w:tc>
      </w:tr>
      <w:tr w14:paraId="448DF8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0" w:type="dxa"/>
            <w:bottom w:w="0" w:type="dxa"/>
            <w:right w:w="0" w:type="dxa"/>
          </w:tblCellMar>
        </w:tblPrEx>
        <w:trPr>
          <w:trHeight w:val="232" w:hRule="atLeast"/>
          <w:tblHeader/>
          <w:tblCellSpacing w:w="0" w:type="dxa"/>
        </w:trPr>
        <w:tc>
          <w:tcPr>
            <w:tcW w:w="754" w:type="dxa"/>
            <w:vMerge w:val="continue"/>
            <w:tcBorders>
              <w:tl2br w:val="nil"/>
              <w:tr2bl w:val="nil"/>
            </w:tcBorders>
            <w:shd w:val="clear" w:color="auto" w:fill="auto"/>
            <w:vAlign w:val="center"/>
          </w:tcPr>
          <w:p w14:paraId="024CA41B">
            <w:pPr>
              <w:widowControl/>
              <w:jc w:val="center"/>
              <w:rPr>
                <w:rFonts w:hint="eastAsia" w:ascii="宋体" w:hAnsi="宋体" w:cs="宋体"/>
                <w:kern w:val="0"/>
                <w:szCs w:val="21"/>
              </w:rPr>
            </w:pPr>
          </w:p>
        </w:tc>
        <w:tc>
          <w:tcPr>
            <w:tcW w:w="1350" w:type="dxa"/>
            <w:vMerge w:val="continue"/>
            <w:tcBorders>
              <w:tl2br w:val="nil"/>
              <w:tr2bl w:val="nil"/>
            </w:tcBorders>
            <w:shd w:val="clear" w:color="auto" w:fill="auto"/>
            <w:vAlign w:val="center"/>
          </w:tcPr>
          <w:p w14:paraId="41761A8F">
            <w:pPr>
              <w:widowControl/>
              <w:jc w:val="center"/>
              <w:rPr>
                <w:rFonts w:hint="eastAsia" w:ascii="宋体" w:hAnsi="宋体" w:cs="宋体"/>
                <w:kern w:val="0"/>
                <w:szCs w:val="21"/>
              </w:rPr>
            </w:pPr>
          </w:p>
        </w:tc>
        <w:tc>
          <w:tcPr>
            <w:tcW w:w="834" w:type="dxa"/>
            <w:gridSpan w:val="2"/>
            <w:tcBorders>
              <w:tl2br w:val="nil"/>
              <w:tr2bl w:val="nil"/>
            </w:tcBorders>
            <w:shd w:val="clear" w:color="auto" w:fill="auto"/>
            <w:vAlign w:val="center"/>
          </w:tcPr>
          <w:p w14:paraId="30816CB3">
            <w:pPr>
              <w:widowControl/>
              <w:jc w:val="center"/>
              <w:rPr>
                <w:rFonts w:hint="eastAsia" w:ascii="宋体" w:hAnsi="宋体" w:cs="宋体"/>
                <w:kern w:val="0"/>
                <w:szCs w:val="21"/>
              </w:rPr>
            </w:pPr>
            <w:r>
              <w:rPr>
                <w:rFonts w:hint="eastAsia" w:ascii="宋体" w:hAnsi="宋体" w:cs="宋体"/>
                <w:kern w:val="0"/>
                <w:szCs w:val="21"/>
                <w:lang w:val="en-US" w:eastAsia="zh-CN"/>
              </w:rPr>
              <w:t>小计</w:t>
            </w:r>
          </w:p>
        </w:tc>
        <w:tc>
          <w:tcPr>
            <w:tcW w:w="1260" w:type="dxa"/>
            <w:tcBorders>
              <w:tl2br w:val="nil"/>
              <w:tr2bl w:val="nil"/>
            </w:tcBorders>
            <w:shd w:val="clear" w:color="auto" w:fill="auto"/>
            <w:vAlign w:val="center"/>
          </w:tcPr>
          <w:p w14:paraId="1A363A73">
            <w:pPr>
              <w:widowControl/>
              <w:jc w:val="center"/>
              <w:rPr>
                <w:rFonts w:hint="eastAsia" w:ascii="宋体" w:hAnsi="宋体" w:cs="宋体"/>
                <w:kern w:val="0"/>
                <w:szCs w:val="21"/>
              </w:rPr>
            </w:pPr>
            <w:r>
              <w:rPr>
                <w:rFonts w:hint="eastAsia" w:ascii="宋体" w:hAnsi="宋体" w:cs="宋体"/>
                <w:kern w:val="0"/>
                <w:szCs w:val="21"/>
                <w:lang w:val="en-US" w:eastAsia="zh-CN"/>
              </w:rPr>
              <w:t>公务用车购置费</w:t>
            </w:r>
          </w:p>
        </w:tc>
        <w:tc>
          <w:tcPr>
            <w:tcW w:w="1803" w:type="dxa"/>
            <w:gridSpan w:val="2"/>
            <w:tcBorders>
              <w:tl2br w:val="nil"/>
              <w:tr2bl w:val="nil"/>
            </w:tcBorders>
            <w:shd w:val="clear" w:color="auto" w:fill="auto"/>
            <w:vAlign w:val="center"/>
          </w:tcPr>
          <w:p w14:paraId="10B7D774">
            <w:pPr>
              <w:widowControl/>
              <w:jc w:val="center"/>
              <w:rPr>
                <w:rFonts w:hint="eastAsia" w:ascii="宋体" w:hAnsi="宋体" w:cs="宋体"/>
                <w:kern w:val="0"/>
                <w:szCs w:val="21"/>
              </w:rPr>
            </w:pPr>
            <w:r>
              <w:rPr>
                <w:rFonts w:hint="eastAsia" w:ascii="宋体" w:hAnsi="宋体" w:cs="宋体"/>
                <w:kern w:val="0"/>
                <w:szCs w:val="21"/>
                <w:lang w:val="en-US" w:eastAsia="zh-CN"/>
              </w:rPr>
              <w:t>公务用车运行维护费</w:t>
            </w:r>
          </w:p>
        </w:tc>
        <w:tc>
          <w:tcPr>
            <w:tcW w:w="1038" w:type="dxa"/>
            <w:vMerge w:val="continue"/>
            <w:tcBorders>
              <w:tl2br w:val="nil"/>
              <w:tr2bl w:val="nil"/>
            </w:tcBorders>
            <w:shd w:val="clear" w:color="auto" w:fill="auto"/>
            <w:vAlign w:val="center"/>
          </w:tcPr>
          <w:p w14:paraId="2CC21105">
            <w:pPr>
              <w:widowControl/>
              <w:jc w:val="center"/>
              <w:rPr>
                <w:rFonts w:hint="eastAsia" w:ascii="宋体" w:hAnsi="宋体" w:cs="宋体"/>
                <w:kern w:val="0"/>
                <w:szCs w:val="21"/>
              </w:rPr>
            </w:pPr>
          </w:p>
        </w:tc>
        <w:tc>
          <w:tcPr>
            <w:tcW w:w="870" w:type="dxa"/>
            <w:vMerge w:val="continue"/>
            <w:tcBorders>
              <w:tl2br w:val="nil"/>
              <w:tr2bl w:val="nil"/>
            </w:tcBorders>
            <w:shd w:val="clear" w:color="auto" w:fill="auto"/>
            <w:vAlign w:val="center"/>
          </w:tcPr>
          <w:p w14:paraId="7354081F">
            <w:pPr>
              <w:widowControl/>
              <w:jc w:val="center"/>
              <w:rPr>
                <w:rFonts w:hint="eastAsia" w:ascii="宋体" w:hAnsi="宋体" w:cs="宋体"/>
                <w:kern w:val="0"/>
                <w:szCs w:val="21"/>
              </w:rPr>
            </w:pPr>
          </w:p>
        </w:tc>
        <w:tc>
          <w:tcPr>
            <w:tcW w:w="1170" w:type="dxa"/>
            <w:vMerge w:val="continue"/>
            <w:tcBorders>
              <w:tl2br w:val="nil"/>
              <w:tr2bl w:val="nil"/>
            </w:tcBorders>
            <w:shd w:val="clear" w:color="auto" w:fill="auto"/>
            <w:vAlign w:val="center"/>
          </w:tcPr>
          <w:p w14:paraId="5463A527">
            <w:pPr>
              <w:widowControl/>
              <w:jc w:val="center"/>
              <w:rPr>
                <w:rFonts w:hint="eastAsia" w:ascii="宋体" w:hAnsi="宋体" w:cs="宋体"/>
                <w:kern w:val="0"/>
                <w:szCs w:val="21"/>
              </w:rPr>
            </w:pPr>
          </w:p>
        </w:tc>
        <w:tc>
          <w:tcPr>
            <w:tcW w:w="753" w:type="dxa"/>
            <w:tcBorders>
              <w:tl2br w:val="nil"/>
              <w:tr2bl w:val="nil"/>
            </w:tcBorders>
            <w:shd w:val="clear" w:color="auto" w:fill="auto"/>
            <w:vAlign w:val="center"/>
          </w:tcPr>
          <w:p w14:paraId="7141E444">
            <w:pPr>
              <w:widowControl/>
              <w:jc w:val="center"/>
              <w:rPr>
                <w:rFonts w:hint="eastAsia" w:ascii="宋体" w:hAnsi="宋体" w:cs="宋体"/>
                <w:kern w:val="0"/>
                <w:szCs w:val="21"/>
              </w:rPr>
            </w:pPr>
            <w:r>
              <w:rPr>
                <w:rFonts w:hint="eastAsia" w:ascii="宋体" w:hAnsi="宋体" w:cs="宋体"/>
                <w:kern w:val="0"/>
                <w:szCs w:val="21"/>
                <w:lang w:val="en-US" w:eastAsia="zh-CN"/>
              </w:rPr>
              <w:t>小计</w:t>
            </w:r>
          </w:p>
        </w:tc>
        <w:tc>
          <w:tcPr>
            <w:tcW w:w="1404" w:type="dxa"/>
            <w:tcBorders>
              <w:tl2br w:val="nil"/>
              <w:tr2bl w:val="nil"/>
            </w:tcBorders>
            <w:shd w:val="clear" w:color="auto" w:fill="auto"/>
            <w:vAlign w:val="center"/>
          </w:tcPr>
          <w:p w14:paraId="614D70F8">
            <w:pPr>
              <w:widowControl/>
              <w:jc w:val="center"/>
              <w:rPr>
                <w:rFonts w:hint="eastAsia" w:ascii="宋体" w:hAnsi="宋体" w:cs="宋体"/>
                <w:kern w:val="0"/>
                <w:szCs w:val="21"/>
              </w:rPr>
            </w:pPr>
            <w:r>
              <w:rPr>
                <w:rFonts w:hint="eastAsia" w:ascii="宋体" w:hAnsi="宋体" w:cs="宋体"/>
                <w:kern w:val="0"/>
                <w:szCs w:val="21"/>
                <w:lang w:val="en-US" w:eastAsia="zh-CN"/>
              </w:rPr>
              <w:t>公务用车购置费</w:t>
            </w:r>
          </w:p>
        </w:tc>
        <w:tc>
          <w:tcPr>
            <w:tcW w:w="1815" w:type="dxa"/>
            <w:tcBorders>
              <w:tl2br w:val="nil"/>
              <w:tr2bl w:val="nil"/>
            </w:tcBorders>
            <w:shd w:val="clear" w:color="auto" w:fill="auto"/>
            <w:vAlign w:val="center"/>
          </w:tcPr>
          <w:p w14:paraId="5119B7AD">
            <w:pPr>
              <w:widowControl/>
              <w:jc w:val="center"/>
              <w:rPr>
                <w:rFonts w:hint="eastAsia" w:ascii="宋体" w:hAnsi="宋体" w:cs="宋体"/>
                <w:kern w:val="0"/>
                <w:szCs w:val="21"/>
              </w:rPr>
            </w:pPr>
            <w:r>
              <w:rPr>
                <w:rFonts w:hint="eastAsia" w:ascii="宋体" w:hAnsi="宋体" w:cs="宋体"/>
                <w:kern w:val="0"/>
                <w:szCs w:val="21"/>
                <w:lang w:val="en-US" w:eastAsia="zh-CN"/>
              </w:rPr>
              <w:t>公务用车运行维护费</w:t>
            </w:r>
          </w:p>
        </w:tc>
        <w:tc>
          <w:tcPr>
            <w:tcW w:w="1008" w:type="dxa"/>
            <w:gridSpan w:val="2"/>
            <w:vMerge w:val="continue"/>
            <w:tcBorders>
              <w:tl2br w:val="nil"/>
              <w:tr2bl w:val="nil"/>
            </w:tcBorders>
            <w:shd w:val="clear" w:color="auto" w:fill="auto"/>
            <w:vAlign w:val="center"/>
          </w:tcPr>
          <w:p w14:paraId="0ADA9A4C">
            <w:pPr>
              <w:widowControl/>
              <w:jc w:val="center"/>
              <w:rPr>
                <w:rFonts w:hint="eastAsia" w:ascii="宋体" w:hAnsi="宋体" w:cs="宋体"/>
                <w:kern w:val="0"/>
                <w:szCs w:val="21"/>
              </w:rPr>
            </w:pPr>
          </w:p>
        </w:tc>
      </w:tr>
      <w:tr w14:paraId="5D251C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trHeight w:val="327" w:hRule="atLeast"/>
          <w:tblCellSpacing w:w="0" w:type="dxa"/>
        </w:trPr>
        <w:tc>
          <w:tcPr>
            <w:tcW w:w="754" w:type="dxa"/>
            <w:tcBorders>
              <w:tl2br w:val="nil"/>
              <w:tr2bl w:val="nil"/>
            </w:tcBorders>
            <w:shd w:val="clear" w:color="auto" w:fill="FFFFFF"/>
            <w:vAlign w:val="center"/>
          </w:tcPr>
          <w:p w14:paraId="2192DC50">
            <w:pPr>
              <w:widowControl/>
              <w:jc w:val="center"/>
              <w:rPr>
                <w:rFonts w:hint="eastAsia" w:ascii="宋体" w:hAnsi="宋体" w:cs="宋体"/>
                <w:kern w:val="0"/>
                <w:szCs w:val="21"/>
              </w:rPr>
            </w:pPr>
            <w:r>
              <w:rPr>
                <w:rFonts w:hint="eastAsia" w:ascii="宋体" w:hAnsi="宋体" w:cs="宋体"/>
                <w:kern w:val="0"/>
                <w:szCs w:val="21"/>
                <w:lang w:val="en-US" w:eastAsia="zh-CN"/>
              </w:rPr>
              <w:t>1</w:t>
            </w:r>
          </w:p>
        </w:tc>
        <w:tc>
          <w:tcPr>
            <w:tcW w:w="1350" w:type="dxa"/>
            <w:tcBorders>
              <w:tl2br w:val="nil"/>
              <w:tr2bl w:val="nil"/>
            </w:tcBorders>
            <w:shd w:val="clear" w:color="auto" w:fill="FFFFFF"/>
            <w:vAlign w:val="center"/>
          </w:tcPr>
          <w:p w14:paraId="2E008630">
            <w:pPr>
              <w:widowControl/>
              <w:jc w:val="center"/>
              <w:rPr>
                <w:rFonts w:hint="eastAsia" w:ascii="宋体" w:hAnsi="宋体" w:cs="宋体"/>
                <w:kern w:val="0"/>
                <w:szCs w:val="21"/>
              </w:rPr>
            </w:pPr>
            <w:r>
              <w:rPr>
                <w:rFonts w:hint="eastAsia" w:ascii="宋体" w:hAnsi="宋体" w:cs="宋体"/>
                <w:kern w:val="0"/>
                <w:szCs w:val="21"/>
                <w:lang w:val="en-US" w:eastAsia="zh-CN"/>
              </w:rPr>
              <w:t>2</w:t>
            </w:r>
          </w:p>
        </w:tc>
        <w:tc>
          <w:tcPr>
            <w:tcW w:w="825" w:type="dxa"/>
            <w:tcBorders>
              <w:tl2br w:val="nil"/>
              <w:tr2bl w:val="nil"/>
            </w:tcBorders>
            <w:shd w:val="clear" w:color="auto" w:fill="FFFFFF"/>
            <w:vAlign w:val="center"/>
          </w:tcPr>
          <w:p w14:paraId="645A295F">
            <w:pPr>
              <w:widowControl/>
              <w:jc w:val="center"/>
              <w:rPr>
                <w:rFonts w:hint="eastAsia" w:ascii="宋体" w:hAnsi="宋体" w:cs="宋体"/>
                <w:kern w:val="0"/>
                <w:szCs w:val="21"/>
              </w:rPr>
            </w:pPr>
            <w:r>
              <w:rPr>
                <w:rFonts w:hint="eastAsia" w:ascii="宋体" w:hAnsi="宋体" w:cs="宋体"/>
                <w:kern w:val="0"/>
                <w:szCs w:val="21"/>
                <w:lang w:val="en-US" w:eastAsia="zh-CN"/>
              </w:rPr>
              <w:t>3</w:t>
            </w:r>
          </w:p>
        </w:tc>
        <w:tc>
          <w:tcPr>
            <w:tcW w:w="1275" w:type="dxa"/>
            <w:gridSpan w:val="3"/>
            <w:tcBorders>
              <w:tl2br w:val="nil"/>
              <w:tr2bl w:val="nil"/>
            </w:tcBorders>
            <w:shd w:val="clear" w:color="auto" w:fill="FFFFFF"/>
            <w:vAlign w:val="center"/>
          </w:tcPr>
          <w:p w14:paraId="15F3FA8B">
            <w:pPr>
              <w:widowControl/>
              <w:jc w:val="center"/>
              <w:rPr>
                <w:rFonts w:hint="eastAsia" w:ascii="宋体" w:hAnsi="宋体" w:cs="宋体"/>
                <w:kern w:val="0"/>
                <w:szCs w:val="21"/>
              </w:rPr>
            </w:pPr>
            <w:r>
              <w:rPr>
                <w:rFonts w:hint="eastAsia" w:ascii="宋体" w:hAnsi="宋体" w:cs="宋体"/>
                <w:kern w:val="0"/>
                <w:szCs w:val="21"/>
                <w:lang w:val="en-US" w:eastAsia="zh-CN"/>
              </w:rPr>
              <w:t>4</w:t>
            </w:r>
          </w:p>
        </w:tc>
        <w:tc>
          <w:tcPr>
            <w:tcW w:w="1797" w:type="dxa"/>
            <w:tcBorders>
              <w:tl2br w:val="nil"/>
              <w:tr2bl w:val="nil"/>
            </w:tcBorders>
            <w:shd w:val="clear" w:color="auto" w:fill="FFFFFF"/>
            <w:vAlign w:val="center"/>
          </w:tcPr>
          <w:p w14:paraId="355A466F">
            <w:pPr>
              <w:widowControl/>
              <w:jc w:val="center"/>
              <w:rPr>
                <w:rFonts w:hint="eastAsia" w:ascii="宋体" w:hAnsi="宋体" w:cs="宋体"/>
                <w:kern w:val="0"/>
                <w:szCs w:val="21"/>
              </w:rPr>
            </w:pPr>
            <w:r>
              <w:rPr>
                <w:rFonts w:hint="eastAsia" w:ascii="宋体" w:hAnsi="宋体" w:cs="宋体"/>
                <w:kern w:val="0"/>
                <w:szCs w:val="21"/>
                <w:lang w:val="en-US" w:eastAsia="zh-CN"/>
              </w:rPr>
              <w:t>5</w:t>
            </w:r>
          </w:p>
        </w:tc>
        <w:tc>
          <w:tcPr>
            <w:tcW w:w="1038" w:type="dxa"/>
            <w:tcBorders>
              <w:tl2br w:val="nil"/>
              <w:tr2bl w:val="nil"/>
            </w:tcBorders>
            <w:shd w:val="clear" w:color="auto" w:fill="FFFFFF"/>
            <w:vAlign w:val="center"/>
          </w:tcPr>
          <w:p w14:paraId="56AF10F9">
            <w:pPr>
              <w:widowControl/>
              <w:jc w:val="center"/>
              <w:rPr>
                <w:rFonts w:hint="eastAsia" w:ascii="宋体" w:hAnsi="宋体" w:cs="宋体"/>
                <w:kern w:val="0"/>
                <w:szCs w:val="21"/>
              </w:rPr>
            </w:pPr>
            <w:r>
              <w:rPr>
                <w:rFonts w:hint="eastAsia" w:ascii="宋体" w:hAnsi="宋体" w:cs="宋体"/>
                <w:kern w:val="0"/>
                <w:szCs w:val="21"/>
                <w:lang w:val="en-US" w:eastAsia="zh-CN"/>
              </w:rPr>
              <w:t>6</w:t>
            </w:r>
          </w:p>
        </w:tc>
        <w:tc>
          <w:tcPr>
            <w:tcW w:w="870" w:type="dxa"/>
            <w:tcBorders>
              <w:tl2br w:val="nil"/>
              <w:tr2bl w:val="nil"/>
            </w:tcBorders>
            <w:shd w:val="clear" w:color="auto" w:fill="FFFFFF"/>
            <w:vAlign w:val="center"/>
          </w:tcPr>
          <w:p w14:paraId="3D1164D2">
            <w:pPr>
              <w:widowControl/>
              <w:jc w:val="center"/>
              <w:rPr>
                <w:rFonts w:hint="eastAsia" w:ascii="宋体" w:hAnsi="宋体" w:cs="宋体"/>
                <w:kern w:val="0"/>
                <w:szCs w:val="21"/>
              </w:rPr>
            </w:pPr>
            <w:r>
              <w:rPr>
                <w:rFonts w:hint="eastAsia" w:ascii="宋体" w:hAnsi="宋体" w:cs="宋体"/>
                <w:kern w:val="0"/>
                <w:szCs w:val="21"/>
                <w:lang w:val="en-US" w:eastAsia="zh-CN"/>
              </w:rPr>
              <w:t>7</w:t>
            </w:r>
          </w:p>
        </w:tc>
        <w:tc>
          <w:tcPr>
            <w:tcW w:w="1170" w:type="dxa"/>
            <w:tcBorders>
              <w:tl2br w:val="nil"/>
              <w:tr2bl w:val="nil"/>
            </w:tcBorders>
            <w:shd w:val="clear" w:color="auto" w:fill="FFFFFF"/>
            <w:vAlign w:val="center"/>
          </w:tcPr>
          <w:p w14:paraId="67179590">
            <w:pPr>
              <w:widowControl/>
              <w:jc w:val="center"/>
              <w:rPr>
                <w:rFonts w:hint="eastAsia" w:ascii="宋体" w:hAnsi="宋体" w:cs="宋体"/>
                <w:kern w:val="0"/>
                <w:szCs w:val="21"/>
              </w:rPr>
            </w:pPr>
            <w:r>
              <w:rPr>
                <w:rFonts w:hint="eastAsia" w:ascii="宋体" w:hAnsi="宋体" w:cs="宋体"/>
                <w:kern w:val="0"/>
                <w:szCs w:val="21"/>
                <w:lang w:val="en-US" w:eastAsia="zh-CN"/>
              </w:rPr>
              <w:t>8</w:t>
            </w:r>
          </w:p>
        </w:tc>
        <w:tc>
          <w:tcPr>
            <w:tcW w:w="753" w:type="dxa"/>
            <w:tcBorders>
              <w:tl2br w:val="nil"/>
              <w:tr2bl w:val="nil"/>
            </w:tcBorders>
            <w:shd w:val="clear" w:color="auto" w:fill="FFFFFF"/>
            <w:vAlign w:val="center"/>
          </w:tcPr>
          <w:p w14:paraId="28369969">
            <w:pPr>
              <w:widowControl/>
              <w:jc w:val="center"/>
              <w:rPr>
                <w:rFonts w:hint="eastAsia" w:ascii="宋体" w:hAnsi="宋体" w:cs="宋体"/>
                <w:kern w:val="0"/>
                <w:szCs w:val="21"/>
              </w:rPr>
            </w:pPr>
            <w:r>
              <w:rPr>
                <w:rFonts w:hint="eastAsia" w:ascii="宋体" w:hAnsi="宋体" w:cs="宋体"/>
                <w:kern w:val="0"/>
                <w:szCs w:val="21"/>
                <w:lang w:val="en-US" w:eastAsia="zh-CN"/>
              </w:rPr>
              <w:t>9</w:t>
            </w:r>
          </w:p>
        </w:tc>
        <w:tc>
          <w:tcPr>
            <w:tcW w:w="1404" w:type="dxa"/>
            <w:tcBorders>
              <w:tl2br w:val="nil"/>
              <w:tr2bl w:val="nil"/>
            </w:tcBorders>
            <w:shd w:val="clear" w:color="auto" w:fill="FFFFFF"/>
            <w:vAlign w:val="center"/>
          </w:tcPr>
          <w:p w14:paraId="0F9125CF">
            <w:pPr>
              <w:widowControl/>
              <w:jc w:val="center"/>
              <w:rPr>
                <w:rFonts w:hint="eastAsia" w:ascii="宋体" w:hAnsi="宋体" w:cs="宋体"/>
                <w:kern w:val="0"/>
                <w:szCs w:val="21"/>
              </w:rPr>
            </w:pPr>
            <w:r>
              <w:rPr>
                <w:rFonts w:hint="eastAsia" w:ascii="宋体" w:hAnsi="宋体" w:cs="宋体"/>
                <w:kern w:val="0"/>
                <w:szCs w:val="21"/>
                <w:lang w:val="en-US" w:eastAsia="zh-CN"/>
              </w:rPr>
              <w:t>10</w:t>
            </w:r>
          </w:p>
        </w:tc>
        <w:tc>
          <w:tcPr>
            <w:tcW w:w="1818" w:type="dxa"/>
            <w:gridSpan w:val="2"/>
            <w:tcBorders>
              <w:tl2br w:val="nil"/>
              <w:tr2bl w:val="nil"/>
            </w:tcBorders>
            <w:shd w:val="clear" w:color="auto" w:fill="FFFFFF"/>
            <w:vAlign w:val="center"/>
          </w:tcPr>
          <w:p w14:paraId="18F7E236">
            <w:pPr>
              <w:widowControl/>
              <w:jc w:val="center"/>
              <w:rPr>
                <w:rFonts w:hint="eastAsia" w:ascii="宋体" w:hAnsi="宋体" w:cs="宋体"/>
                <w:kern w:val="0"/>
                <w:szCs w:val="21"/>
              </w:rPr>
            </w:pPr>
            <w:r>
              <w:rPr>
                <w:rFonts w:hint="eastAsia" w:ascii="宋体" w:hAnsi="宋体" w:cs="宋体"/>
                <w:kern w:val="0"/>
                <w:szCs w:val="21"/>
                <w:lang w:val="en-US" w:eastAsia="zh-CN"/>
              </w:rPr>
              <w:t>11</w:t>
            </w:r>
          </w:p>
        </w:tc>
        <w:tc>
          <w:tcPr>
            <w:tcW w:w="1005" w:type="dxa"/>
            <w:tcBorders>
              <w:tl2br w:val="nil"/>
              <w:tr2bl w:val="nil"/>
            </w:tcBorders>
            <w:shd w:val="clear" w:color="auto" w:fill="FFFFFF"/>
            <w:vAlign w:val="center"/>
          </w:tcPr>
          <w:p w14:paraId="489F9DB5">
            <w:pPr>
              <w:widowControl/>
              <w:jc w:val="center"/>
              <w:rPr>
                <w:rFonts w:hint="eastAsia" w:ascii="宋体" w:hAnsi="宋体" w:cs="宋体"/>
                <w:kern w:val="0"/>
                <w:szCs w:val="21"/>
              </w:rPr>
            </w:pPr>
            <w:r>
              <w:rPr>
                <w:rFonts w:hint="eastAsia" w:ascii="宋体" w:hAnsi="宋体" w:cs="宋体"/>
                <w:kern w:val="0"/>
                <w:szCs w:val="21"/>
                <w:lang w:val="en-US" w:eastAsia="zh-CN"/>
              </w:rPr>
              <w:t>12</w:t>
            </w:r>
          </w:p>
        </w:tc>
      </w:tr>
      <w:tr w14:paraId="230E57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blCellMar>
            <w:top w:w="0" w:type="dxa"/>
            <w:left w:w="0" w:type="dxa"/>
            <w:bottom w:w="0" w:type="dxa"/>
            <w:right w:w="0" w:type="dxa"/>
          </w:tblCellMar>
        </w:tblPrEx>
        <w:trPr>
          <w:trHeight w:val="327" w:hRule="atLeast"/>
          <w:tblCellSpacing w:w="0" w:type="dxa"/>
        </w:trPr>
        <w:tc>
          <w:tcPr>
            <w:tcW w:w="754" w:type="dxa"/>
            <w:tcBorders>
              <w:tl2br w:val="nil"/>
              <w:tr2bl w:val="nil"/>
            </w:tcBorders>
            <w:shd w:val="clear" w:color="auto" w:fill="FFFFFF"/>
            <w:vAlign w:val="center"/>
          </w:tcPr>
          <w:p w14:paraId="1D064ABE">
            <w:pPr>
              <w:widowControl/>
              <w:jc w:val="center"/>
              <w:rPr>
                <w:rFonts w:hint="default" w:ascii="宋体" w:hAnsi="宋体" w:cs="宋体"/>
                <w:kern w:val="0"/>
                <w:szCs w:val="21"/>
                <w:lang w:val="en-US"/>
              </w:rPr>
            </w:pPr>
            <w:r>
              <w:rPr>
                <w:rFonts w:hint="eastAsia" w:ascii="宋体" w:hAnsi="宋体" w:cs="宋体"/>
                <w:kern w:val="0"/>
                <w:szCs w:val="21"/>
                <w:lang w:val="en-US" w:eastAsia="zh-CN"/>
              </w:rPr>
              <w:t>15.96</w:t>
            </w:r>
          </w:p>
        </w:tc>
        <w:tc>
          <w:tcPr>
            <w:tcW w:w="1350" w:type="dxa"/>
            <w:tcBorders>
              <w:tl2br w:val="nil"/>
              <w:tr2bl w:val="nil"/>
            </w:tcBorders>
            <w:shd w:val="clear" w:color="auto" w:fill="FFFFFF"/>
            <w:vAlign w:val="center"/>
          </w:tcPr>
          <w:p w14:paraId="520E8C63">
            <w:pPr>
              <w:widowControl/>
              <w:jc w:val="center"/>
              <w:rPr>
                <w:rFonts w:hint="default" w:ascii="宋体" w:hAnsi="宋体" w:cs="宋体"/>
                <w:kern w:val="0"/>
                <w:szCs w:val="21"/>
                <w:lang w:val="en-US"/>
              </w:rPr>
            </w:pPr>
            <w:r>
              <w:rPr>
                <w:rFonts w:hint="eastAsia" w:ascii="宋体" w:hAnsi="宋体" w:cs="宋体"/>
                <w:kern w:val="0"/>
                <w:szCs w:val="21"/>
                <w:lang w:val="en-US" w:eastAsia="zh-CN"/>
              </w:rPr>
              <w:t>0.29</w:t>
            </w:r>
          </w:p>
        </w:tc>
        <w:tc>
          <w:tcPr>
            <w:tcW w:w="825" w:type="dxa"/>
            <w:tcBorders>
              <w:tl2br w:val="nil"/>
              <w:tr2bl w:val="nil"/>
            </w:tcBorders>
            <w:shd w:val="clear" w:color="auto" w:fill="FFFFFF"/>
            <w:vAlign w:val="center"/>
          </w:tcPr>
          <w:p w14:paraId="2E212824">
            <w:pPr>
              <w:widowControl/>
              <w:jc w:val="center"/>
              <w:rPr>
                <w:rFonts w:hint="default" w:ascii="宋体" w:hAnsi="宋体" w:cs="宋体"/>
                <w:kern w:val="0"/>
                <w:szCs w:val="21"/>
                <w:lang w:val="en-US"/>
              </w:rPr>
            </w:pPr>
            <w:r>
              <w:rPr>
                <w:rFonts w:hint="eastAsia" w:ascii="宋体" w:hAnsi="宋体" w:cs="宋体"/>
                <w:kern w:val="0"/>
                <w:szCs w:val="21"/>
                <w:lang w:val="en-US" w:eastAsia="zh-CN"/>
              </w:rPr>
              <w:t>13.28</w:t>
            </w:r>
          </w:p>
        </w:tc>
        <w:tc>
          <w:tcPr>
            <w:tcW w:w="1275" w:type="dxa"/>
            <w:gridSpan w:val="3"/>
            <w:tcBorders>
              <w:tl2br w:val="nil"/>
              <w:tr2bl w:val="nil"/>
            </w:tcBorders>
            <w:shd w:val="clear" w:color="auto" w:fill="FFFFFF"/>
            <w:vAlign w:val="center"/>
          </w:tcPr>
          <w:p w14:paraId="2AB5AE2C">
            <w:pPr>
              <w:widowControl/>
              <w:jc w:val="center"/>
              <w:rPr>
                <w:rFonts w:hint="eastAsia" w:ascii="宋体" w:hAnsi="宋体" w:cs="宋体"/>
                <w:kern w:val="0"/>
                <w:szCs w:val="21"/>
              </w:rPr>
            </w:pPr>
            <w:r>
              <w:rPr>
                <w:rFonts w:hint="eastAsia" w:ascii="宋体" w:hAnsi="宋体" w:cs="宋体"/>
                <w:kern w:val="0"/>
                <w:szCs w:val="21"/>
                <w:lang w:val="en-US" w:eastAsia="zh-CN"/>
              </w:rPr>
              <w:t>0.00</w:t>
            </w:r>
          </w:p>
        </w:tc>
        <w:tc>
          <w:tcPr>
            <w:tcW w:w="1797" w:type="dxa"/>
            <w:tcBorders>
              <w:tl2br w:val="nil"/>
              <w:tr2bl w:val="nil"/>
            </w:tcBorders>
            <w:shd w:val="clear" w:color="auto" w:fill="FFFFFF"/>
            <w:vAlign w:val="center"/>
          </w:tcPr>
          <w:p w14:paraId="6C552235">
            <w:pPr>
              <w:widowControl/>
              <w:jc w:val="center"/>
              <w:rPr>
                <w:rFonts w:hint="default" w:ascii="宋体" w:hAnsi="宋体" w:cs="宋体"/>
                <w:kern w:val="0"/>
                <w:szCs w:val="21"/>
                <w:lang w:val="en-US"/>
              </w:rPr>
            </w:pPr>
            <w:r>
              <w:rPr>
                <w:rFonts w:hint="eastAsia" w:ascii="宋体" w:hAnsi="宋体" w:cs="宋体"/>
                <w:kern w:val="0"/>
                <w:szCs w:val="21"/>
                <w:lang w:val="en-US" w:eastAsia="zh-CN"/>
              </w:rPr>
              <w:t>13.28</w:t>
            </w:r>
          </w:p>
        </w:tc>
        <w:tc>
          <w:tcPr>
            <w:tcW w:w="1038" w:type="dxa"/>
            <w:tcBorders>
              <w:tl2br w:val="nil"/>
              <w:tr2bl w:val="nil"/>
            </w:tcBorders>
            <w:shd w:val="clear" w:color="auto" w:fill="FFFFFF"/>
            <w:vAlign w:val="center"/>
          </w:tcPr>
          <w:p w14:paraId="1D8B7CDB">
            <w:pPr>
              <w:widowControl/>
              <w:jc w:val="center"/>
              <w:rPr>
                <w:rFonts w:hint="default" w:ascii="宋体" w:hAnsi="宋体" w:cs="宋体"/>
                <w:kern w:val="0"/>
                <w:szCs w:val="21"/>
                <w:lang w:val="en-US"/>
              </w:rPr>
            </w:pPr>
            <w:r>
              <w:rPr>
                <w:rFonts w:hint="eastAsia" w:ascii="宋体" w:hAnsi="宋体" w:cs="宋体"/>
                <w:kern w:val="0"/>
                <w:szCs w:val="21"/>
                <w:lang w:val="en-US" w:eastAsia="zh-CN"/>
              </w:rPr>
              <w:t>2.38</w:t>
            </w:r>
          </w:p>
        </w:tc>
        <w:tc>
          <w:tcPr>
            <w:tcW w:w="870" w:type="dxa"/>
            <w:tcBorders>
              <w:tl2br w:val="nil"/>
              <w:tr2bl w:val="nil"/>
            </w:tcBorders>
            <w:shd w:val="clear" w:color="auto" w:fill="FFFFFF"/>
            <w:vAlign w:val="center"/>
          </w:tcPr>
          <w:p w14:paraId="7210DC4E">
            <w:pPr>
              <w:widowControl/>
              <w:jc w:val="center"/>
              <w:rPr>
                <w:rFonts w:hint="default" w:ascii="宋体" w:hAnsi="宋体" w:cs="宋体"/>
                <w:kern w:val="0"/>
                <w:szCs w:val="21"/>
                <w:lang w:val="en-US"/>
              </w:rPr>
            </w:pPr>
            <w:r>
              <w:rPr>
                <w:rFonts w:hint="eastAsia" w:ascii="宋体" w:hAnsi="宋体" w:cs="宋体"/>
                <w:kern w:val="0"/>
                <w:szCs w:val="21"/>
                <w:lang w:val="en-US" w:eastAsia="zh-CN"/>
              </w:rPr>
              <w:t>15.96</w:t>
            </w:r>
          </w:p>
        </w:tc>
        <w:tc>
          <w:tcPr>
            <w:tcW w:w="1170" w:type="dxa"/>
            <w:tcBorders>
              <w:tl2br w:val="nil"/>
              <w:tr2bl w:val="nil"/>
            </w:tcBorders>
            <w:shd w:val="clear" w:color="auto" w:fill="FFFFFF"/>
            <w:vAlign w:val="center"/>
          </w:tcPr>
          <w:p w14:paraId="73871CAA">
            <w:pPr>
              <w:widowControl/>
              <w:jc w:val="center"/>
              <w:rPr>
                <w:rFonts w:hint="default" w:ascii="宋体" w:hAnsi="宋体" w:cs="宋体"/>
                <w:kern w:val="0"/>
                <w:szCs w:val="21"/>
                <w:lang w:val="en-US"/>
              </w:rPr>
            </w:pPr>
            <w:r>
              <w:rPr>
                <w:rFonts w:hint="eastAsia" w:ascii="宋体" w:hAnsi="宋体" w:cs="宋体"/>
                <w:kern w:val="0"/>
                <w:szCs w:val="21"/>
                <w:lang w:val="en-US" w:eastAsia="zh-CN"/>
              </w:rPr>
              <w:t>0.29</w:t>
            </w:r>
          </w:p>
        </w:tc>
        <w:tc>
          <w:tcPr>
            <w:tcW w:w="753" w:type="dxa"/>
            <w:tcBorders>
              <w:tl2br w:val="nil"/>
              <w:tr2bl w:val="nil"/>
            </w:tcBorders>
            <w:shd w:val="clear" w:color="auto" w:fill="FFFFFF"/>
            <w:vAlign w:val="center"/>
          </w:tcPr>
          <w:p w14:paraId="7FACEBCE">
            <w:pPr>
              <w:widowControl/>
              <w:jc w:val="center"/>
              <w:rPr>
                <w:rFonts w:hint="default" w:ascii="宋体" w:hAnsi="宋体" w:cs="宋体"/>
                <w:kern w:val="0"/>
                <w:szCs w:val="21"/>
                <w:lang w:val="en-US"/>
              </w:rPr>
            </w:pPr>
            <w:r>
              <w:rPr>
                <w:rFonts w:hint="eastAsia" w:ascii="宋体" w:hAnsi="宋体" w:cs="宋体"/>
                <w:kern w:val="0"/>
                <w:szCs w:val="21"/>
                <w:lang w:val="en-US" w:eastAsia="zh-CN"/>
              </w:rPr>
              <w:t>13.28</w:t>
            </w:r>
          </w:p>
        </w:tc>
        <w:tc>
          <w:tcPr>
            <w:tcW w:w="1404" w:type="dxa"/>
            <w:tcBorders>
              <w:tl2br w:val="nil"/>
              <w:tr2bl w:val="nil"/>
            </w:tcBorders>
            <w:shd w:val="clear" w:color="auto" w:fill="FFFFFF"/>
            <w:vAlign w:val="center"/>
          </w:tcPr>
          <w:p w14:paraId="38114951">
            <w:pPr>
              <w:widowControl/>
              <w:jc w:val="center"/>
              <w:rPr>
                <w:rFonts w:hint="eastAsia" w:ascii="宋体" w:hAnsi="宋体" w:cs="宋体"/>
                <w:kern w:val="0"/>
                <w:szCs w:val="21"/>
              </w:rPr>
            </w:pPr>
            <w:r>
              <w:rPr>
                <w:rFonts w:hint="eastAsia" w:ascii="宋体" w:hAnsi="宋体" w:cs="宋体"/>
                <w:kern w:val="0"/>
                <w:szCs w:val="21"/>
                <w:lang w:val="en-US" w:eastAsia="zh-CN"/>
              </w:rPr>
              <w:t>0.00</w:t>
            </w:r>
          </w:p>
        </w:tc>
        <w:tc>
          <w:tcPr>
            <w:tcW w:w="1818" w:type="dxa"/>
            <w:gridSpan w:val="2"/>
            <w:tcBorders>
              <w:tl2br w:val="nil"/>
              <w:tr2bl w:val="nil"/>
            </w:tcBorders>
            <w:shd w:val="clear" w:color="auto" w:fill="FFFFFF"/>
            <w:vAlign w:val="center"/>
          </w:tcPr>
          <w:p w14:paraId="7C91675F">
            <w:pPr>
              <w:widowControl/>
              <w:jc w:val="center"/>
              <w:rPr>
                <w:rFonts w:hint="default" w:ascii="宋体" w:hAnsi="宋体" w:cs="宋体"/>
                <w:kern w:val="0"/>
                <w:szCs w:val="21"/>
                <w:lang w:val="en-US"/>
              </w:rPr>
            </w:pPr>
            <w:r>
              <w:rPr>
                <w:rFonts w:hint="eastAsia" w:ascii="宋体" w:hAnsi="宋体" w:cs="宋体"/>
                <w:kern w:val="0"/>
                <w:szCs w:val="21"/>
                <w:lang w:val="en-US" w:eastAsia="zh-CN"/>
              </w:rPr>
              <w:t>13.28</w:t>
            </w:r>
          </w:p>
        </w:tc>
        <w:tc>
          <w:tcPr>
            <w:tcW w:w="1005" w:type="dxa"/>
            <w:tcBorders>
              <w:tl2br w:val="nil"/>
              <w:tr2bl w:val="nil"/>
            </w:tcBorders>
            <w:shd w:val="clear" w:color="auto" w:fill="FFFFFF"/>
            <w:vAlign w:val="center"/>
          </w:tcPr>
          <w:p w14:paraId="127501E0">
            <w:pPr>
              <w:widowControl/>
              <w:jc w:val="center"/>
              <w:rPr>
                <w:rFonts w:hint="default" w:ascii="宋体" w:hAnsi="宋体" w:cs="宋体"/>
                <w:kern w:val="0"/>
                <w:szCs w:val="21"/>
                <w:lang w:val="en-US"/>
              </w:rPr>
            </w:pPr>
            <w:r>
              <w:rPr>
                <w:rFonts w:hint="eastAsia" w:ascii="宋体" w:hAnsi="宋体" w:cs="宋体"/>
                <w:kern w:val="0"/>
                <w:szCs w:val="21"/>
                <w:lang w:val="en-US" w:eastAsia="zh-CN"/>
              </w:rPr>
              <w:t>2.38</w:t>
            </w:r>
          </w:p>
        </w:tc>
      </w:tr>
    </w:tbl>
    <w:p w14:paraId="6CC1A9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 xml:space="preserve">注：本表反映部门本年度财政拨款“三公”经费支出预决算情况。其中，预算数为“三公”经费全年预算数，反映按规定程序调整后的预算数；决算数是包括当年财政拨款和以前年度结转资金安排的实际支出。 </w:t>
      </w:r>
    </w:p>
    <w:p w14:paraId="6BD163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hAnsi="仿宋_GB2312" w:eastAsia="仿宋_GB2312" w:cs="仿宋_GB2312"/>
          <w:b/>
          <w:bCs/>
          <w:i w:val="0"/>
          <w:iCs w:val="0"/>
          <w:caps w:val="0"/>
          <w:color w:val="525252"/>
          <w:spacing w:val="13"/>
          <w:kern w:val="0"/>
          <w:sz w:val="32"/>
          <w:szCs w:val="32"/>
          <w:lang w:val="en-US" w:eastAsia="zh-CN" w:bidi="ar"/>
        </w:rPr>
      </w:pPr>
    </w:p>
    <w:p w14:paraId="69B2B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（一）“三公”经费财政拨款支出决算总体情况说明</w:t>
      </w:r>
    </w:p>
    <w:p w14:paraId="1B9973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中国人民政治协商会议广东省徐闻县委员会办公室2024年度“三公”经费财政拨款支出决算为15.96万元，完成全年预算15.96万元的100%，比上年决算数减少1.53万元，下降8.7%。其中：因公出国（境）费支出决算为0.29万元，完成预算0.29万元的100%，比上年决算数增加0.29万元，增长--（基数为0，不可比）；公务用车购置及运行维护费支出决算为13.28万元，完成预算13.28万元的100%，比上年决算数减少1.93万元，下降12.7%；其中：公务用车购置支出决算为0万元，完成预算0万元的--%（基数为0，不可比），比上年决算数增加0万元，增长--（基数为0，不可比）；公务用车运行维护费支出决算为13.28万元，完成预算13.28万元的100%，比上年决算数减少1.93万元，下降12.7%；公务接待费支出决算为2.38万元，完成预算2.38万元的100%，比上年决算数增加0.11万元，增长4.9%。</w:t>
      </w:r>
    </w:p>
    <w:p w14:paraId="2AC0B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2024年度“三公”经费支出决算等于预算数的主要情况：认真贯彻落实中央八项规定精神和厉行节约的要求，从严控制“三公”经费开支，全年实际支出控制在预算内。</w:t>
      </w:r>
    </w:p>
    <w:p w14:paraId="7C78E4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2024年度“三公”经费支出决算小于上年决算数的主要情况：认真贯彻落实中央八项规定精神和厉行节约的要求，从严控制“三公”经费开支，全年实际支出决算数比上年决算数有所节约。</w:t>
      </w:r>
    </w:p>
    <w:p w14:paraId="3E952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_GB2312" w:hAnsi="仿宋_GB2312" w:eastAsia="仿宋_GB2312" w:cs="仿宋_GB2312"/>
          <w:color w:val="auto"/>
          <w:kern w:val="0"/>
          <w:sz w:val="32"/>
          <w:szCs w:val="32"/>
          <w:lang w:val="en-US" w:eastAsia="zh-CN" w:bidi="ar"/>
        </w:rPr>
      </w:pPr>
    </w:p>
    <w:p w14:paraId="48E2AE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（二）“三公”经费财政拨款支出决算具体情况说明</w:t>
      </w:r>
    </w:p>
    <w:p w14:paraId="4929ED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2024年度“三公”经费财政拨款支出决算中，因公出国（境）费0.29万元，占1.8%；公务用车购置及运行维护费支出13.28万元，占83.3%；公务接待费支出2.38万元，占14.9%。具体情况如下：</w:t>
      </w:r>
    </w:p>
    <w:p w14:paraId="2EFFF0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1.因公出国（境）费支出0.29万元。全年使用财政拨款安排出国（境）团组1个、累计1人次。开支内容是：赴港参加湛江市政协历届港澳委员联谊会第二届就职典礼仪式会议支出0.29万元，主要用于车费、差旅费等。</w:t>
      </w:r>
    </w:p>
    <w:p w14:paraId="2142DB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2.公务用车购置及运行维护费支出13.28万元，其中：公务用车购置支出为0万元，公务用车购置数0辆。公务用车运行维护费支出13.28万元，公务用车保有量为6辆，主要用于日常公务用车运行维护。</w:t>
      </w:r>
    </w:p>
    <w:p w14:paraId="2C8C58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3.公务接待费支出2.38万元，主要用于上级来访和调研工作，共接待国外、境外来访团组0个，来访外宾0人次；发生国内接待11次，接待人数共146人。主要包括上级来访和调研工作。</w:t>
      </w:r>
    </w:p>
    <w:p w14:paraId="0FE33387">
      <w:bookmarkStart w:id="0" w:name="_GoBack"/>
      <w:bookmarkEnd w:id="0"/>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YzVjOGZhZGRjODE5YzNjZWI2NjdjOGUyYmJiZTIifQ=="/>
  </w:docVars>
  <w:rsids>
    <w:rsidRoot w:val="0A1420C1"/>
    <w:rsid w:val="0166457E"/>
    <w:rsid w:val="01C33F97"/>
    <w:rsid w:val="07D75401"/>
    <w:rsid w:val="0A1420C1"/>
    <w:rsid w:val="0B820F78"/>
    <w:rsid w:val="100504DF"/>
    <w:rsid w:val="12C3786D"/>
    <w:rsid w:val="1BF111AD"/>
    <w:rsid w:val="286A598B"/>
    <w:rsid w:val="311C5D0F"/>
    <w:rsid w:val="327B0795"/>
    <w:rsid w:val="3457491A"/>
    <w:rsid w:val="3676199F"/>
    <w:rsid w:val="36C92A4D"/>
    <w:rsid w:val="39BB12C9"/>
    <w:rsid w:val="3B245E6D"/>
    <w:rsid w:val="3C914F60"/>
    <w:rsid w:val="544C4305"/>
    <w:rsid w:val="56516083"/>
    <w:rsid w:val="57476D14"/>
    <w:rsid w:val="62525E42"/>
    <w:rsid w:val="69A37869"/>
    <w:rsid w:val="73540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1101</Words>
  <Characters>1269</Characters>
  <Lines>0</Lines>
  <Paragraphs>0</Paragraphs>
  <TotalTime>41</TotalTime>
  <ScaleCrop>false</ScaleCrop>
  <LinksUpToDate>false</LinksUpToDate>
  <CharactersWithSpaces>1274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2024-10-09T02:21:00Z</dcterms:created>
  <dc:creator>Administrator</dc:creator>
  <cp:lastModifiedBy>净罗</cp:lastModifiedBy>
  <cp:lastPrinted>2024-10-12T02:37:00Z</cp:lastPrinted>
  <dcterms:modified xsi:type="dcterms:W3CDTF">2025-10-03T03:13:18Z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87744647240D4AC9A4557F3A1013600C_11</vt:lpwstr>
  </property>
  <property fmtid="{D5CDD505-2E9C-101B-9397-08002B2CF9AE}" pid="4" name="KSOTemplateDocerSaveRecord">
    <vt:lpwstr>eyJoZGlkIjoiMjBmYzVjOGZhZGRjODE5YzNjZWI2NjdjOGUyYmJiZTIiLCJ1c2VySWQiOiIzMTExMjc0MTgifQ==</vt:lpwstr>
  </property>
</Properties>
</file>