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 xml:space="preserve"> 2024年中国共产主义青年团徐闻县委员会“三公</w:t>
      </w:r>
      <w:r>
        <w:rPr>
          <w:rFonts w:hint="default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：中国共产主义青年团徐闻县委员会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jc w:val="center"/>
        <w:rPr>
          <w:rFonts w:hint="default" w:ascii="仿宋_GB2312" w:hAnsi="宋体" w:eastAsia="仿宋_GB2312" w:cs="宋体"/>
          <w:b w:val="0"/>
          <w:bCs/>
          <w:color w:val="auto"/>
          <w:sz w:val="32"/>
          <w:szCs w:val="32"/>
          <w:lang w:val="en-US" w:eastAsia="zh-CN"/>
        </w:rPr>
      </w:pPr>
    </w:p>
    <w:p w14:paraId="06C9B576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PO_part3A3B2C3GnjdInclude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（一）“三公”经费财政拨款支出决算总体情况说明</w:t>
      </w:r>
    </w:p>
    <w:p w14:paraId="2D11E3A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中国共产主义青年团徐闻县委员会2024年度“三公”经费财政拨款支出决算为1.4万元，完成全年预算1.4万元的100%，比上年决算数增加0万元，增长0%。其中：因公出国（境）费支出决算为0万元，完成预算0万元的--%（基数为0，不可比），比上年决算数增加0万元，增长--（基数为0，不可比）；公务用车购置及运行维护费支出决算为1.4万元，完成预算1.4万元的100%，比上年决算数增加0万元，增长0%；其中：公务用车购置支出决算为0万元，完成预算0万元的--%（基数为0，不可比），比上年决算数增加0万元，增长--（基数为0，不可比）；公务用车运行维护费支出决算为1.4万元，完成预算1.4万元的100%，比上年决算数增加0万元，增长0%；公务接待费支出决算为0万元，完成预算0万元的--%（基数为0，不可比），比上年决算数增加0万元，增长--（基数为0，不可比）。</w:t>
      </w:r>
    </w:p>
    <w:p w14:paraId="46F11506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2024年度“三公”经费支出决算等于预算数的主要情况：认真贯彻落实中央八项规定精神和厉行节约的要求，从严控制“三公”经费开支，全年支出较上年保持不变。</w:t>
      </w:r>
    </w:p>
    <w:p w14:paraId="4C2E4FDA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2024年度“三公”经费支出决算等于上年决算数的主要情况：本年度“三公”经费支出不变。</w:t>
      </w:r>
    </w:p>
    <w:p w14:paraId="33FD49E6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（二）“三公”经费财政拨款支出决算具体情况说明</w:t>
      </w:r>
    </w:p>
    <w:p w14:paraId="2C4DC7D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2024年度“三公”经费财政拨款支出决算中，因公出国（境）费0万元，占0%；公务用车购置及运行维护费支出1.4万元，占100%；公务接待费支出0万元，占0%。具体情况如下：</w:t>
      </w:r>
    </w:p>
    <w:p w14:paraId="50B6621B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1.因公出国（境）费支出0万元。全年使用财政拨款安排出国（境）团组0个、累计0人次。开支内容包括：无。</w:t>
      </w:r>
    </w:p>
    <w:p w14:paraId="765F19CB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2.公务用车购置及运行维护费支出1.4万元，其中：公务用车购置支出为0万元，公务用车购置数0辆。公务用车运行维护费支出1.4万元，公务用车保有量为1辆，主要用于：公车运行加油及保险。</w:t>
      </w:r>
    </w:p>
    <w:p w14:paraId="098E557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3.公务接待费支出0万元，主要用于无。，共接待国外、境外来访团组0个，来访外宾0人次；发生国内接待0次，接待人数共0人。主要包括：无。</w:t>
      </w:r>
    </w:p>
    <w:p w14:paraId="6A200A71"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"/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EA349B4"/>
    <w:rsid w:val="202D3B9A"/>
    <w:rsid w:val="26811F3C"/>
    <w:rsid w:val="2A297405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1486</Words>
  <Characters>1617</Characters>
  <Lines>0</Lines>
  <Paragraphs>0</Paragraphs>
  <TotalTime>6</TotalTime>
  <ScaleCrop>false</ScaleCrop>
  <LinksUpToDate>false</LinksUpToDate>
  <CharactersWithSpaces>1681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侃玲</cp:lastModifiedBy>
  <dcterms:modified xsi:type="dcterms:W3CDTF">2025-10-10T02:32:13Z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eyJoZGlkIjoiYWJhZjBiMTRmOWVjNDAyZGM0MmM4MzgyOGRiOTVmZTkiLCJ1c2VySWQiOiIyMzQ2MDk1MTUifQ==</vt:lpwstr>
  </property>
</Properties>
</file>