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2024年徐闻县中医医院“三公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徐闻县中医医院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徐闻县中医医院2024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1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1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2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3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9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3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4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5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6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7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7"/>
    </w:p>
    <w:p w14:paraId="3C4336D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28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9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0" w:name="PO_part3A3B1C1Year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本单位本年度没有三公经费财政收入和支出。</w:t>
      </w:r>
    </w:p>
    <w:p w14:paraId="036B636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1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本单位本年度没有三公经费财政收入和支出。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3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4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5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037ACD95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</w:p>
    <w:p w14:paraId="3E58C8B2">
      <w:pPr>
        <w:numPr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8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没有财政拨款购置公车及维护费。</w:t>
      </w:r>
      <w:bookmarkEnd w:id="39"/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0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本年度无公务接待费用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41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2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没有财政拨款接待支出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3"/>
      <w:bookmarkStart w:id="44" w:name="_GoBack"/>
      <w:bookmarkEnd w:id="44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4FCE3"/>
    <w:multiLevelType w:val="singleLevel"/>
    <w:tmpl w:val="25E4FC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321F5B84"/>
    <w:rsid w:val="3A016952"/>
    <w:rsid w:val="45B25BFB"/>
    <w:rsid w:val="6B7D1D88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0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2025-10-13T08:55:11Z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eyJoZGlkIjoiNDUzYzU2ODYyZjZkNGZiYzUwNWE2MjY5NTZlOTQ5NGEifQ==</vt:lpwstr>
  </property>
</Properties>
</file>