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1D7AA">
      <w:pPr>
        <w:jc w:val="center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 </w:t>
      </w:r>
    </w:p>
    <w:p w14:paraId="34A37F4E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 xml:space="preserve"> 2024年徐闻县迈胜水库管理所“三公</w:t>
      </w:r>
      <w:r>
        <w:rPr>
          <w:rFonts w:hint="default" w:ascii="仿宋_GB2312" w:hAnsi="宋体" w:eastAsia="仿宋_GB2312" w:cs="宋体"/>
          <w:b/>
          <w:sz w:val="44"/>
          <w:szCs w:val="44"/>
          <w:lang w:val="en-US" w:eastAsia="zh-CN"/>
        </w:rPr>
        <w:t>”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>经费决算公开</w:t>
      </w:r>
    </w:p>
    <w:p w14:paraId="05AA9E84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p w14:paraId="35F2358F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71"/>
      </w:tblGrid>
      <w:tr w14:paraId="51C0E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3A2F763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表9</w:t>
            </w:r>
          </w:p>
        </w:tc>
      </w:tr>
      <w:tr w14:paraId="2F6BD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CF647BD">
            <w:pPr>
              <w:jc w:val="center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32"/>
                <w:szCs w:val="32"/>
              </w:rPr>
              <w:t>财政拨款“三公”经费支出决算表</w:t>
            </w:r>
          </w:p>
        </w:tc>
      </w:tr>
      <w:tr w14:paraId="57628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0639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4F44F76">
            <w:pPr>
              <w:spacing w:line="288" w:lineRule="auto"/>
              <w:jc w:val="left"/>
              <w:rPr>
                <w:rFonts w:hint="default" w:ascii="宋体" w:hAnsi="宋体" w:cs="宋体" w:eastAsiaTheme="minorEastAsia"/>
                <w:sz w:val="28"/>
                <w:szCs w:val="28"/>
                <w:lang w:val="en-US" w:eastAsia="zh-CN"/>
              </w:rPr>
            </w:pPr>
            <w:bookmarkStart w:id="0" w:name="PO_part2DivName9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部门（单位） </w:t>
            </w:r>
            <w:bookmarkEnd w:id="0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徐闻县迈胜水库管理所</w:t>
            </w:r>
          </w:p>
        </w:tc>
        <w:tc>
          <w:tcPr>
            <w:tcW w:w="353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B02612A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单位：万元</w:t>
            </w:r>
          </w:p>
        </w:tc>
      </w:tr>
      <w:tr w14:paraId="1D80F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7093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6B6D10DB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预算数</w:t>
            </w:r>
          </w:p>
        </w:tc>
        <w:tc>
          <w:tcPr>
            <w:tcW w:w="7081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3C2BAD0C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决算数</w:t>
            </w:r>
          </w:p>
        </w:tc>
      </w:tr>
      <w:tr w14:paraId="7E3E0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restart"/>
            <w:noWrap w:val="0"/>
            <w:vAlign w:val="center"/>
          </w:tcPr>
          <w:p w14:paraId="29F0A20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0626D84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338A4D4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07ADDF4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1BB9B47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184EA397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429628C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71" w:type="dxa"/>
            <w:vMerge w:val="restart"/>
            <w:noWrap w:val="0"/>
            <w:vAlign w:val="center"/>
          </w:tcPr>
          <w:p w14:paraId="3D21A698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</w:tr>
      <w:tr w14:paraId="6D1E2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continue"/>
            <w:noWrap w:val="0"/>
            <w:vAlign w:val="top"/>
          </w:tcPr>
          <w:p w14:paraId="70039CAC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4A38F19C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2D49DFA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57EC8C1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736959D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82" w:type="dxa"/>
            <w:vMerge w:val="continue"/>
            <w:noWrap w:val="0"/>
            <w:vAlign w:val="top"/>
          </w:tcPr>
          <w:p w14:paraId="5083F241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05CDFA52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68EBFA7E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6EFDF3B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6A203E7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46959E6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71" w:type="dxa"/>
            <w:vMerge w:val="continue"/>
            <w:noWrap w:val="0"/>
            <w:vAlign w:val="top"/>
          </w:tcPr>
          <w:p w14:paraId="04470849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</w:tr>
      <w:tr w14:paraId="4E423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07C4178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82" w:type="dxa"/>
            <w:noWrap w:val="0"/>
            <w:vAlign w:val="center"/>
          </w:tcPr>
          <w:p w14:paraId="6644346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2" w:type="dxa"/>
            <w:noWrap w:val="0"/>
            <w:vAlign w:val="center"/>
          </w:tcPr>
          <w:p w14:paraId="5D2058B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182" w:type="dxa"/>
            <w:noWrap w:val="0"/>
            <w:vAlign w:val="center"/>
          </w:tcPr>
          <w:p w14:paraId="7ED6ADD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182" w:type="dxa"/>
            <w:noWrap w:val="0"/>
            <w:vAlign w:val="center"/>
          </w:tcPr>
          <w:p w14:paraId="01E7A8F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182" w:type="dxa"/>
            <w:noWrap w:val="0"/>
            <w:vAlign w:val="center"/>
          </w:tcPr>
          <w:p w14:paraId="1E7B541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182" w:type="dxa"/>
            <w:noWrap w:val="0"/>
            <w:vAlign w:val="center"/>
          </w:tcPr>
          <w:p w14:paraId="2821825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182" w:type="dxa"/>
            <w:noWrap w:val="0"/>
            <w:vAlign w:val="center"/>
          </w:tcPr>
          <w:p w14:paraId="5C68C9B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182" w:type="dxa"/>
            <w:noWrap w:val="0"/>
            <w:vAlign w:val="center"/>
          </w:tcPr>
          <w:p w14:paraId="14E4728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1182" w:type="dxa"/>
            <w:noWrap w:val="0"/>
            <w:vAlign w:val="center"/>
          </w:tcPr>
          <w:p w14:paraId="5C7C198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182" w:type="dxa"/>
            <w:noWrap w:val="0"/>
            <w:vAlign w:val="center"/>
          </w:tcPr>
          <w:p w14:paraId="7701D34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1171" w:type="dxa"/>
            <w:noWrap w:val="0"/>
            <w:vAlign w:val="center"/>
          </w:tcPr>
          <w:p w14:paraId="4D45EE8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</w:t>
            </w:r>
          </w:p>
        </w:tc>
      </w:tr>
      <w:tr w14:paraId="531B1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77D264E3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4D5EABE3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11BE20D0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3F02F800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2FC129E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61F6E8B1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3D00B00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10F93DC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7B78195F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59B24361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74F22B8D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71" w:type="dxa"/>
            <w:noWrap w:val="0"/>
            <w:vAlign w:val="center"/>
          </w:tcPr>
          <w:p w14:paraId="6F7ACF0A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</w:tr>
    </w:tbl>
    <w:p w14:paraId="5D62CBEC"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注：本表反映部门（单位）本年度财政拨款“三公”经费支出预决算情况。其中，预算数为“三公”经费全年预算数，反映按规定程序调整后的预算数；决算数是包括当年财政拨款和以前年度结转资金安排的实际支出。</w:t>
      </w:r>
    </w:p>
    <w:p w14:paraId="081565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3"/>
          <w:kern w:val="0"/>
          <w:sz w:val="32"/>
          <w:szCs w:val="32"/>
          <w:lang w:val="en-US" w:eastAsia="zh-CN" w:bidi="ar"/>
        </w:rPr>
      </w:pPr>
    </w:p>
    <w:p w14:paraId="1399B1CD"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（一）“三公”经费财政拨款支出决算总体情况说明</w:t>
      </w:r>
    </w:p>
    <w:p w14:paraId="4FAC5473">
      <w:pPr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bookmarkStart w:id="1" w:name="PO_part3A3B1C1DivNameYear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徐闻县迈胜水库管理所2024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"/>
      <w:r>
        <w:rPr>
          <w:rFonts w:hint="eastAsia" w:ascii="仿宋_GB2312" w:hAnsi="宋体" w:eastAsia="仿宋_GB2312" w:cs="宋体"/>
          <w:sz w:val="32"/>
          <w:szCs w:val="32"/>
        </w:rPr>
        <w:t>年度“三公”经费财政拨款支出决算为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万元，完成全年预算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万元的</w:t>
      </w:r>
      <w:bookmarkStart w:id="2" w:name="PO_part3A3B1C1Perce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"/>
      <w:r>
        <w:rPr>
          <w:rFonts w:hint="eastAsia" w:ascii="仿宋_GB2312" w:hAnsi="宋体" w:eastAsia="仿宋_GB2312" w:cs="宋体"/>
          <w:sz w:val="32"/>
          <w:szCs w:val="32"/>
        </w:rPr>
        <w:t>，比上年决算数</w:t>
      </w:r>
      <w:bookmarkStart w:id="3" w:name="PO_part3A3B1C1IncAmount1"/>
      <w:r>
        <w:rPr>
          <w:rFonts w:hint="eastAsia" w:ascii="仿宋_GB2312" w:hAnsi="宋体" w:eastAsia="仿宋_GB2312" w:cs="宋体"/>
          <w:sz w:val="32"/>
          <w:szCs w:val="32"/>
        </w:rPr>
        <w:t>增加（减少）</w:t>
      </w:r>
      <w:bookmarkEnd w:id="3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</w:t>
      </w:r>
      <w:bookmarkStart w:id="4" w:name="PO_part3A3B1C1IncPercent1"/>
      <w:r>
        <w:rPr>
          <w:rFonts w:hint="eastAsia" w:ascii="仿宋_GB2312" w:hAnsi="宋体" w:eastAsia="仿宋_GB2312" w:cs="宋体"/>
          <w:sz w:val="32"/>
          <w:szCs w:val="32"/>
        </w:rPr>
        <w:t>增长（下降）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% </w:t>
      </w:r>
      <w:bookmarkEnd w:id="4"/>
      <w:r>
        <w:rPr>
          <w:rFonts w:hint="eastAsia" w:ascii="仿宋_GB2312" w:hAnsi="宋体" w:eastAsia="仿宋_GB2312" w:cs="宋体"/>
          <w:sz w:val="32"/>
          <w:szCs w:val="32"/>
        </w:rPr>
        <w:t>。其中：因公出国（境）费支出决算为</w:t>
      </w:r>
      <w:bookmarkStart w:id="5" w:name="PO_part3A3B1C1qzAmou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5"/>
      <w:r>
        <w:rPr>
          <w:rFonts w:hint="eastAsia" w:ascii="仿宋_GB2312" w:hAnsi="宋体" w:eastAsia="仿宋_GB2312" w:cs="宋体"/>
          <w:sz w:val="32"/>
          <w:szCs w:val="32"/>
        </w:rPr>
        <w:t>万元，完成预算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万元的</w:t>
      </w:r>
      <w:bookmarkStart w:id="6" w:name="PO_part3A3B1C1qzPerce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6"/>
      <w:r>
        <w:rPr>
          <w:rFonts w:hint="eastAsia" w:ascii="仿宋_GB2312" w:hAnsi="宋体" w:eastAsia="仿宋_GB2312" w:cs="宋体"/>
          <w:sz w:val="32"/>
          <w:szCs w:val="32"/>
        </w:rPr>
        <w:t>，比上年决算数</w:t>
      </w:r>
      <w:bookmarkStart w:id="7" w:name="PO_part3A3B1C1IncAmount2"/>
      <w:r>
        <w:rPr>
          <w:rFonts w:hint="eastAsia" w:ascii="仿宋_GB2312" w:hAnsi="宋体" w:eastAsia="仿宋_GB2312" w:cs="宋体"/>
          <w:sz w:val="32"/>
          <w:szCs w:val="32"/>
        </w:rPr>
        <w:t>增加（减少）</w:t>
      </w:r>
      <w:bookmarkEnd w:id="7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</w:t>
      </w:r>
      <w:bookmarkStart w:id="8" w:name="PO_part3A3B1C1IncPercent2"/>
      <w:r>
        <w:rPr>
          <w:rFonts w:hint="eastAsia" w:ascii="仿宋_GB2312" w:hAnsi="宋体" w:eastAsia="仿宋_GB2312" w:cs="宋体"/>
          <w:sz w:val="32"/>
          <w:szCs w:val="32"/>
        </w:rPr>
        <w:t>增长（下降）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8"/>
      <w:r>
        <w:rPr>
          <w:rFonts w:hint="eastAsia" w:ascii="仿宋_GB2312" w:hAnsi="宋体" w:eastAsia="仿宋_GB2312" w:cs="宋体"/>
          <w:sz w:val="32"/>
          <w:szCs w:val="32"/>
        </w:rPr>
        <w:t>；公务用车购置及运行维护费支出决算为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万元，完成预算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万元的</w:t>
      </w:r>
      <w:bookmarkStart w:id="9" w:name="PO_part3A3B1C1qzPercent2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9"/>
      <w:r>
        <w:rPr>
          <w:rFonts w:hint="eastAsia" w:ascii="仿宋_GB2312" w:hAnsi="宋体" w:eastAsia="仿宋_GB2312" w:cs="宋体"/>
          <w:sz w:val="32"/>
          <w:szCs w:val="32"/>
        </w:rPr>
        <w:t>，比上年决算数</w:t>
      </w:r>
      <w:bookmarkStart w:id="10" w:name="PO_part3A3B1C1IncAmount3"/>
      <w:r>
        <w:rPr>
          <w:rFonts w:hint="eastAsia" w:ascii="仿宋_GB2312" w:hAnsi="宋体" w:eastAsia="仿宋_GB2312" w:cs="宋体"/>
          <w:sz w:val="32"/>
          <w:szCs w:val="32"/>
        </w:rPr>
        <w:t>增加（减少）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0"/>
      <w:r>
        <w:rPr>
          <w:rFonts w:hint="eastAsia" w:ascii="仿宋_GB2312" w:hAnsi="宋体" w:eastAsia="仿宋_GB2312" w:cs="宋体"/>
          <w:sz w:val="32"/>
          <w:szCs w:val="32"/>
        </w:rPr>
        <w:t>万元，</w:t>
      </w:r>
      <w:bookmarkStart w:id="11" w:name="PO_part3A3B1C1IncPercent3"/>
      <w:r>
        <w:rPr>
          <w:rFonts w:hint="eastAsia" w:ascii="仿宋_GB2312" w:hAnsi="宋体" w:eastAsia="仿宋_GB2312" w:cs="宋体"/>
          <w:sz w:val="32"/>
          <w:szCs w:val="32"/>
        </w:rPr>
        <w:t>增长（下降）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1"/>
      <w:r>
        <w:rPr>
          <w:rFonts w:hint="eastAsia" w:ascii="仿宋_GB2312" w:hAnsi="宋体" w:eastAsia="仿宋_GB2312" w:cs="宋体"/>
          <w:sz w:val="32"/>
          <w:szCs w:val="32"/>
        </w:rPr>
        <w:t>；其中：公务用车购置支出决算为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万元，完成预算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万元的</w:t>
      </w:r>
      <w:bookmarkStart w:id="12" w:name="PO_part3A3B1C1qzPercent4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2"/>
      <w:r>
        <w:rPr>
          <w:rFonts w:hint="eastAsia" w:ascii="仿宋_GB2312" w:hAnsi="宋体" w:eastAsia="仿宋_GB2312" w:cs="宋体"/>
          <w:sz w:val="32"/>
          <w:szCs w:val="32"/>
        </w:rPr>
        <w:t>，比上年决算数</w:t>
      </w:r>
      <w:bookmarkStart w:id="13" w:name="PO_part3A3B1C1IncAmount4"/>
      <w:r>
        <w:rPr>
          <w:rFonts w:hint="eastAsia" w:ascii="仿宋_GB2312" w:hAnsi="宋体" w:eastAsia="仿宋_GB2312" w:cs="宋体"/>
          <w:sz w:val="32"/>
          <w:szCs w:val="32"/>
        </w:rPr>
        <w:t>增加（减少）</w:t>
      </w:r>
      <w:bookmarkEnd w:id="13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</w:t>
      </w:r>
      <w:bookmarkStart w:id="14" w:name="PO_part3A3B1C1IncPercent4"/>
      <w:r>
        <w:rPr>
          <w:rFonts w:hint="eastAsia" w:ascii="仿宋_GB2312" w:hAnsi="宋体" w:eastAsia="仿宋_GB2312" w:cs="宋体"/>
          <w:sz w:val="32"/>
          <w:szCs w:val="32"/>
        </w:rPr>
        <w:t>增长（下降）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4"/>
      <w:r>
        <w:rPr>
          <w:rFonts w:hint="eastAsia" w:ascii="仿宋_GB2312" w:hAnsi="宋体" w:eastAsia="仿宋_GB2312" w:cs="宋体"/>
          <w:sz w:val="32"/>
          <w:szCs w:val="32"/>
        </w:rPr>
        <w:t>；公务用车运行维护费支出决算为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万元，完成预算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万元的</w:t>
      </w:r>
      <w:bookmarkStart w:id="15" w:name="PO_part3A3B1C1qzPercent5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5"/>
      <w:r>
        <w:rPr>
          <w:rFonts w:hint="eastAsia" w:ascii="仿宋_GB2312" w:hAnsi="宋体" w:eastAsia="仿宋_GB2312" w:cs="宋体"/>
          <w:sz w:val="32"/>
          <w:szCs w:val="32"/>
        </w:rPr>
        <w:t>，比上年决算数</w:t>
      </w:r>
      <w:bookmarkStart w:id="16" w:name="PO_part3A3B1C1IncAmount5"/>
      <w:r>
        <w:rPr>
          <w:rFonts w:hint="eastAsia" w:ascii="仿宋_GB2312" w:hAnsi="宋体" w:eastAsia="仿宋_GB2312" w:cs="宋体"/>
          <w:sz w:val="32"/>
          <w:szCs w:val="32"/>
        </w:rPr>
        <w:t>增加（减少）</w:t>
      </w:r>
      <w:bookmarkEnd w:id="16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</w:t>
      </w:r>
      <w:bookmarkStart w:id="17" w:name="PO_part3A3B1C1IncPercent5"/>
      <w:r>
        <w:rPr>
          <w:rFonts w:hint="eastAsia" w:ascii="仿宋_GB2312" w:hAnsi="宋体" w:eastAsia="仿宋_GB2312" w:cs="宋体"/>
          <w:sz w:val="32"/>
          <w:szCs w:val="32"/>
        </w:rPr>
        <w:t>增长（下降）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7"/>
      <w:r>
        <w:rPr>
          <w:rFonts w:hint="eastAsia" w:ascii="仿宋_GB2312" w:hAnsi="宋体" w:eastAsia="仿宋_GB2312" w:cs="宋体"/>
          <w:sz w:val="32"/>
          <w:szCs w:val="32"/>
        </w:rPr>
        <w:t>；公务接待费支出决算为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万元，完成预算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万元的</w:t>
      </w:r>
      <w:bookmarkStart w:id="18" w:name="PO_part3A3B1C1qzPercent3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8"/>
      <w:r>
        <w:rPr>
          <w:rFonts w:hint="eastAsia" w:ascii="仿宋_GB2312" w:hAnsi="宋体" w:eastAsia="仿宋_GB2312" w:cs="宋体"/>
          <w:sz w:val="32"/>
          <w:szCs w:val="32"/>
        </w:rPr>
        <w:t>，比上年决算数</w:t>
      </w:r>
      <w:bookmarkStart w:id="19" w:name="PO_part3A3B1C1IncAmount6"/>
      <w:r>
        <w:rPr>
          <w:rFonts w:hint="eastAsia" w:ascii="仿宋_GB2312" w:hAnsi="宋体" w:eastAsia="仿宋_GB2312" w:cs="宋体"/>
          <w:sz w:val="32"/>
          <w:szCs w:val="32"/>
        </w:rPr>
        <w:t>增加（减少）</w:t>
      </w:r>
      <w:bookmarkEnd w:id="19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</w:t>
      </w:r>
      <w:bookmarkStart w:id="20" w:name="PO_part3A3B1C1IncPercent6"/>
      <w:r>
        <w:rPr>
          <w:rFonts w:hint="eastAsia" w:ascii="仿宋_GB2312" w:hAnsi="宋体" w:eastAsia="仿宋_GB2312" w:cs="宋体"/>
          <w:sz w:val="32"/>
          <w:szCs w:val="32"/>
        </w:rPr>
        <w:t>增长（下降）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%。 </w:t>
      </w:r>
      <w:bookmarkEnd w:id="20"/>
    </w:p>
    <w:p w14:paraId="32B82A7B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2024年度“三公”经费支出决算等于预算数的主要情况：没有“三公”经费财政拨款支出。</w:t>
      </w:r>
    </w:p>
    <w:p w14:paraId="7CA8C0EF"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（二）“三公”经费财政拨款支出决算具体情况说明</w:t>
      </w:r>
    </w:p>
    <w:p w14:paraId="363181D0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2024年度“三公”经费财政拨款支出决算中，因公出国（境）费0万元，占0%；公务用车购置及运行维护费支出0万元，占0%；公务接待费支出0万元，占0%。具体情况如下：</w:t>
      </w:r>
    </w:p>
    <w:p w14:paraId="6E5277E0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1.因公出国（境）费支出0万元。全年使用财政拨款安排出国（境）团组0个、累计0人次。</w:t>
      </w:r>
    </w:p>
    <w:p w14:paraId="6671B8D8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2.公务用车购置及运行维护费支出0万元，其中：公务用车购置支出为0万元，公务用车购置数0辆。公务用车运行维护费支出0万元，公务用车保有量为0辆，主要用于无公务用车。</w:t>
      </w:r>
    </w:p>
    <w:p w14:paraId="571971EF">
      <w:pPr>
        <w:ind w:firstLine="64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highlight w:val="yellow"/>
          <w:shd w:val="clear" w:fill="FFFFFF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3.公务接待费支出0万元，主要用于无公务接待，共接待国外、境外来访团组0个，来访外宾0人次；发生国内接待0次，接待人数共0人。主要包括无公务接待。</w:t>
      </w:r>
      <w:bookmarkStart w:id="21" w:name="_GoBack"/>
      <w:bookmarkEnd w:id="21"/>
    </w:p>
    <w:p w14:paraId="6A200A71"/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CB36A1"/>
    <w:rsid w:val="202D3B9A"/>
    <w:rsid w:val="26811F3C"/>
    <w:rsid w:val="30BC0D4E"/>
    <w:rsid w:val="45B25BFB"/>
    <w:rsid w:val="514F0008"/>
    <w:rsid w:val="75CB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1458</Words>
  <Characters>1593</Characters>
  <Lines>0</Lines>
  <Paragraphs>0</Paragraphs>
  <TotalTime>9</TotalTime>
  <ScaleCrop>false</ScaleCrop>
  <LinksUpToDate>false</LinksUpToDate>
  <CharactersWithSpaces>1657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2025-10-06T02:55:00Z</dcterms:created>
  <dc:creator>超</dc:creator>
  <cp:lastModifiedBy>xw</cp:lastModifiedBy>
  <dcterms:modified xsi:type="dcterms:W3CDTF">2025-10-13T05:07:02Z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29C3D338A0F747439D9088CFFA86D4E6_11</vt:lpwstr>
  </property>
  <property fmtid="{D5CDD505-2E9C-101B-9397-08002B2CF9AE}" pid="4" name="KSOTemplateDocerSaveRecord">
    <vt:lpwstr>eyJoZGlkIjoiMjRiYzIwNzJjYzAwYTRjZGFiYWI3OWI5ZDQyMDllMWMifQ==</vt:lpwstr>
  </property>
</Properties>
</file>