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2024年徐闻县大水桥水库管理处“三公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徐闻县大水水库管理处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徐闻县大水桥水库管理处2024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1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8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1"/>
    </w:p>
    <w:p w14:paraId="02A21F43">
      <w:pPr>
        <w:keepNext w:val="0"/>
        <w:keepLines w:val="0"/>
        <w:widowControl/>
        <w:suppressLineNumbers w:val="0"/>
        <w:jc w:val="left"/>
      </w:pPr>
      <w:bookmarkStart w:id="22" w:name="PO_part3A3B1C1Year2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2024年度“三公”经费支出决算等于预算数的主要情况：是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与上年持平，无增减变化。</w:t>
      </w:r>
    </w:p>
    <w:bookmarkEnd w:id="22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4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5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6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3E58C8B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人次2.公务用车购置及运行维护费支出</w:t>
      </w:r>
      <w:bookmarkStart w:id="27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无购置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28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无计划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29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0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无计划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1"/>
    </w:p>
    <w:p w14:paraId="6A200A71">
      <w:bookmarkStart w:id="32" w:name="_GoBack"/>
      <w:bookmarkEnd w:id="3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E9876C9"/>
    <w:rsid w:val="1A0F029D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10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eyJoZGlkIjoiYzY2Y2NkNzgzYzVlMDQ0Mjk0NWM4ZmEyN2U3OTVlZTcifQ==</vt:lpwstr>
  </property>
</Properties>
</file>