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91D7AA">
      <w:pPr>
        <w:jc w:val="center"/>
        <w:rPr>
          <w:rFonts w:hint="eastAsia" w:ascii="宋体" w:hAnsi="宋体" w:eastAsia="宋体" w:cs="宋体"/>
          <w:b/>
          <w:bCs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kern w:val="0"/>
          <w:sz w:val="24"/>
          <w:szCs w:val="24"/>
          <w:lang w:val="en-US" w:eastAsia="zh-CN" w:bidi="ar"/>
        </w:rPr>
        <w:t xml:space="preserve">  </w:t>
      </w:r>
    </w:p>
    <w:p w14:paraId="34A37F4E">
      <w:pPr>
        <w:jc w:val="center"/>
        <w:rPr>
          <w:rFonts w:hint="eastAsia" w:ascii="仿宋_GB2312" w:hAnsi="宋体" w:eastAsia="仿宋_GB2312" w:cs="宋体"/>
          <w:b/>
          <w:sz w:val="44"/>
          <w:szCs w:val="44"/>
          <w:lang w:val="en-US" w:eastAsia="zh-CN"/>
        </w:rPr>
      </w:pPr>
      <w:r>
        <w:rPr>
          <w:rFonts w:hint="eastAsia" w:ascii="宋体" w:hAnsi="宋体" w:eastAsia="宋体" w:cs="宋体"/>
          <w:b/>
          <w:bCs/>
          <w:kern w:val="0"/>
          <w:sz w:val="24"/>
          <w:szCs w:val="24"/>
          <w:lang w:val="en-US" w:eastAsia="zh-CN" w:bidi="ar"/>
        </w:rPr>
        <w:t xml:space="preserve"> </w:t>
      </w:r>
      <w:r>
        <w:rPr>
          <w:rFonts w:hint="eastAsia" w:ascii="仿宋_GB2312" w:hAnsi="宋体" w:eastAsia="仿宋_GB2312" w:cs="宋体"/>
          <w:b/>
          <w:sz w:val="44"/>
          <w:szCs w:val="44"/>
          <w:lang w:val="en-US" w:eastAsia="zh-CN"/>
        </w:rPr>
        <w:t xml:space="preserve"> 2024年徐闻县水果蔬菜研究所“三公</w:t>
      </w:r>
      <w:r>
        <w:rPr>
          <w:rFonts w:hint="default" w:ascii="仿宋_GB2312" w:hAnsi="宋体" w:eastAsia="仿宋_GB2312" w:cs="宋体"/>
          <w:b/>
          <w:sz w:val="44"/>
          <w:szCs w:val="44"/>
          <w:lang w:val="en-US" w:eastAsia="zh-CN"/>
        </w:rPr>
        <w:t>”</w:t>
      </w:r>
      <w:r>
        <w:rPr>
          <w:rFonts w:hint="eastAsia" w:ascii="仿宋_GB2312" w:hAnsi="宋体" w:eastAsia="仿宋_GB2312" w:cs="宋体"/>
          <w:b/>
          <w:sz w:val="44"/>
          <w:szCs w:val="44"/>
          <w:lang w:val="en-US" w:eastAsia="zh-CN"/>
        </w:rPr>
        <w:t>经费决算公开</w:t>
      </w:r>
    </w:p>
    <w:p w14:paraId="05AA9E84">
      <w:pPr>
        <w:jc w:val="center"/>
        <w:rPr>
          <w:rFonts w:hint="eastAsia" w:ascii="仿宋_GB2312" w:hAnsi="宋体" w:eastAsia="仿宋_GB2312" w:cs="宋体"/>
          <w:b/>
          <w:sz w:val="44"/>
          <w:szCs w:val="44"/>
          <w:lang w:val="en-US" w:eastAsia="zh-CN"/>
        </w:rPr>
      </w:pPr>
    </w:p>
    <w:p w14:paraId="35F2358F">
      <w:pPr>
        <w:jc w:val="center"/>
        <w:rPr>
          <w:rFonts w:hint="eastAsia" w:ascii="仿宋_GB2312" w:hAnsi="宋体" w:eastAsia="仿宋_GB2312" w:cs="宋体"/>
          <w:b/>
          <w:sz w:val="44"/>
          <w:szCs w:val="44"/>
          <w:lang w:val="en-US" w:eastAsia="zh-CN"/>
        </w:rPr>
      </w:pP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3"/>
        <w:gridCol w:w="1182"/>
        <w:gridCol w:w="1182"/>
        <w:gridCol w:w="1182"/>
        <w:gridCol w:w="1182"/>
        <w:gridCol w:w="1182"/>
        <w:gridCol w:w="1182"/>
        <w:gridCol w:w="1182"/>
        <w:gridCol w:w="1182"/>
        <w:gridCol w:w="1182"/>
        <w:gridCol w:w="1182"/>
        <w:gridCol w:w="1171"/>
      </w:tblGrid>
      <w:tr w14:paraId="51C0E6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</w:trPr>
        <w:tc>
          <w:tcPr>
            <w:tcW w:w="14174" w:type="dxa"/>
            <w:gridSpan w:val="12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03A2F763">
            <w:pPr>
              <w:jc w:val="right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表9</w:t>
            </w:r>
          </w:p>
        </w:tc>
      </w:tr>
      <w:tr w14:paraId="2F6BD1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</w:trPr>
        <w:tc>
          <w:tcPr>
            <w:tcW w:w="14174" w:type="dxa"/>
            <w:gridSpan w:val="12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7CF647BD">
            <w:pPr>
              <w:jc w:val="center"/>
              <w:rPr>
                <w:rFonts w:hint="eastAsia" w:ascii="宋体" w:hAnsi="宋体" w:cs="宋体"/>
                <w:b/>
              </w:rPr>
            </w:pPr>
            <w:r>
              <w:rPr>
                <w:rFonts w:hint="eastAsia" w:ascii="宋体" w:hAnsi="宋体" w:cs="宋体"/>
                <w:b/>
                <w:kern w:val="0"/>
                <w:sz w:val="32"/>
                <w:szCs w:val="32"/>
              </w:rPr>
              <w:t>财政拨款“三公”经费支出决算表</w:t>
            </w:r>
          </w:p>
        </w:tc>
      </w:tr>
      <w:tr w14:paraId="576281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</w:trPr>
        <w:tc>
          <w:tcPr>
            <w:tcW w:w="10639" w:type="dxa"/>
            <w:gridSpan w:val="9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 w14:paraId="54F44F76">
            <w:pPr>
              <w:spacing w:line="288" w:lineRule="auto"/>
              <w:jc w:val="left"/>
              <w:rPr>
                <w:rFonts w:hint="default" w:ascii="宋体" w:hAnsi="宋体" w:cs="宋体" w:eastAsiaTheme="minorEastAsia"/>
                <w:sz w:val="28"/>
                <w:szCs w:val="28"/>
                <w:lang w:val="en-US" w:eastAsia="zh-CN"/>
              </w:rPr>
            </w:pPr>
            <w:bookmarkStart w:id="0" w:name="PO_part2DivName9"/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单位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 xml:space="preserve"> </w:t>
            </w:r>
            <w:bookmarkEnd w:id="0"/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：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徐闻县水果蔬菜研究所</w:t>
            </w:r>
          </w:p>
        </w:tc>
        <w:tc>
          <w:tcPr>
            <w:tcW w:w="353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 w14:paraId="6B02612A">
            <w:pPr>
              <w:jc w:val="right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单位：万元</w:t>
            </w:r>
          </w:p>
        </w:tc>
      </w:tr>
      <w:tr w14:paraId="1D80FE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</w:trPr>
        <w:tc>
          <w:tcPr>
            <w:tcW w:w="7093" w:type="dxa"/>
            <w:gridSpan w:val="6"/>
            <w:tcBorders>
              <w:top w:val="single" w:color="auto" w:sz="4" w:space="0"/>
            </w:tcBorders>
            <w:noWrap w:val="0"/>
            <w:vAlign w:val="center"/>
          </w:tcPr>
          <w:p w14:paraId="6B6D10DB"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预算数</w:t>
            </w:r>
          </w:p>
        </w:tc>
        <w:tc>
          <w:tcPr>
            <w:tcW w:w="7081" w:type="dxa"/>
            <w:gridSpan w:val="6"/>
            <w:tcBorders>
              <w:top w:val="single" w:color="auto" w:sz="4" w:space="0"/>
            </w:tcBorders>
            <w:noWrap w:val="0"/>
            <w:vAlign w:val="center"/>
          </w:tcPr>
          <w:p w14:paraId="3C2BAD0C"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决算数</w:t>
            </w:r>
          </w:p>
        </w:tc>
      </w:tr>
      <w:tr w14:paraId="7E3E09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</w:trPr>
        <w:tc>
          <w:tcPr>
            <w:tcW w:w="1183" w:type="dxa"/>
            <w:vMerge w:val="restart"/>
            <w:noWrap w:val="0"/>
            <w:vAlign w:val="center"/>
          </w:tcPr>
          <w:p w14:paraId="29F0A20A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合计</w:t>
            </w:r>
          </w:p>
        </w:tc>
        <w:tc>
          <w:tcPr>
            <w:tcW w:w="1182" w:type="dxa"/>
            <w:vMerge w:val="restart"/>
            <w:noWrap w:val="0"/>
            <w:vAlign w:val="center"/>
          </w:tcPr>
          <w:p w14:paraId="0626D841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因公出国（境）费</w:t>
            </w:r>
          </w:p>
        </w:tc>
        <w:tc>
          <w:tcPr>
            <w:tcW w:w="3546" w:type="dxa"/>
            <w:gridSpan w:val="3"/>
            <w:noWrap w:val="0"/>
            <w:vAlign w:val="center"/>
          </w:tcPr>
          <w:p w14:paraId="338A4D43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公务用车购置及运行维护费</w:t>
            </w:r>
          </w:p>
        </w:tc>
        <w:tc>
          <w:tcPr>
            <w:tcW w:w="1182" w:type="dxa"/>
            <w:vMerge w:val="restart"/>
            <w:noWrap w:val="0"/>
            <w:vAlign w:val="center"/>
          </w:tcPr>
          <w:p w14:paraId="07ADDF4A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公务接待费</w:t>
            </w:r>
          </w:p>
        </w:tc>
        <w:tc>
          <w:tcPr>
            <w:tcW w:w="1182" w:type="dxa"/>
            <w:vMerge w:val="restart"/>
            <w:noWrap w:val="0"/>
            <w:vAlign w:val="center"/>
          </w:tcPr>
          <w:p w14:paraId="1BB9B470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合计</w:t>
            </w:r>
          </w:p>
        </w:tc>
        <w:tc>
          <w:tcPr>
            <w:tcW w:w="1182" w:type="dxa"/>
            <w:vMerge w:val="restart"/>
            <w:noWrap w:val="0"/>
            <w:vAlign w:val="center"/>
          </w:tcPr>
          <w:p w14:paraId="184EA397"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因公出国（境）费</w:t>
            </w:r>
          </w:p>
        </w:tc>
        <w:tc>
          <w:tcPr>
            <w:tcW w:w="3546" w:type="dxa"/>
            <w:gridSpan w:val="3"/>
            <w:noWrap w:val="0"/>
            <w:vAlign w:val="center"/>
          </w:tcPr>
          <w:p w14:paraId="429628C1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公务用车购置及运行维护费</w:t>
            </w:r>
          </w:p>
        </w:tc>
        <w:tc>
          <w:tcPr>
            <w:tcW w:w="1171" w:type="dxa"/>
            <w:vMerge w:val="restart"/>
            <w:noWrap w:val="0"/>
            <w:vAlign w:val="center"/>
          </w:tcPr>
          <w:p w14:paraId="3D21A698"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公务接待费</w:t>
            </w:r>
          </w:p>
        </w:tc>
      </w:tr>
      <w:tr w14:paraId="6D1E2B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</w:trPr>
        <w:tc>
          <w:tcPr>
            <w:tcW w:w="1183" w:type="dxa"/>
            <w:vMerge w:val="continue"/>
            <w:noWrap w:val="0"/>
            <w:vAlign w:val="top"/>
          </w:tcPr>
          <w:p w14:paraId="70039CAC">
            <w:pPr>
              <w:spacing w:line="288" w:lineRule="auto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182" w:type="dxa"/>
            <w:vMerge w:val="continue"/>
            <w:noWrap w:val="0"/>
            <w:vAlign w:val="top"/>
          </w:tcPr>
          <w:p w14:paraId="4A38F19C">
            <w:pPr>
              <w:spacing w:line="288" w:lineRule="auto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182" w:type="dxa"/>
            <w:noWrap w:val="0"/>
            <w:vAlign w:val="center"/>
          </w:tcPr>
          <w:p w14:paraId="2D49DFAD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小计</w:t>
            </w:r>
          </w:p>
        </w:tc>
        <w:tc>
          <w:tcPr>
            <w:tcW w:w="1182" w:type="dxa"/>
            <w:noWrap w:val="0"/>
            <w:vAlign w:val="center"/>
          </w:tcPr>
          <w:p w14:paraId="57EC8C1A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公务用车</w:t>
            </w:r>
            <w:r>
              <w:rPr>
                <w:rFonts w:hint="eastAsia" w:ascii="宋体" w:hAnsi="宋体" w:cs="宋体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Cs w:val="21"/>
              </w:rPr>
              <w:t>购置费</w:t>
            </w:r>
          </w:p>
        </w:tc>
        <w:tc>
          <w:tcPr>
            <w:tcW w:w="1182" w:type="dxa"/>
            <w:noWrap w:val="0"/>
            <w:vAlign w:val="center"/>
          </w:tcPr>
          <w:p w14:paraId="736959D8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公务用车</w:t>
            </w:r>
            <w:r>
              <w:rPr>
                <w:rFonts w:hint="eastAsia" w:ascii="宋体" w:hAnsi="宋体" w:cs="宋体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Cs w:val="21"/>
              </w:rPr>
              <w:t>运行维护费</w:t>
            </w:r>
          </w:p>
        </w:tc>
        <w:tc>
          <w:tcPr>
            <w:tcW w:w="1182" w:type="dxa"/>
            <w:vMerge w:val="continue"/>
            <w:noWrap w:val="0"/>
            <w:vAlign w:val="top"/>
          </w:tcPr>
          <w:p w14:paraId="5083F241">
            <w:pPr>
              <w:spacing w:line="288" w:lineRule="auto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182" w:type="dxa"/>
            <w:vMerge w:val="continue"/>
            <w:noWrap w:val="0"/>
            <w:vAlign w:val="top"/>
          </w:tcPr>
          <w:p w14:paraId="05CDFA52">
            <w:pPr>
              <w:spacing w:line="288" w:lineRule="auto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182" w:type="dxa"/>
            <w:vMerge w:val="continue"/>
            <w:noWrap w:val="0"/>
            <w:vAlign w:val="top"/>
          </w:tcPr>
          <w:p w14:paraId="68EBFA7E">
            <w:pPr>
              <w:spacing w:line="288" w:lineRule="auto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182" w:type="dxa"/>
            <w:noWrap w:val="0"/>
            <w:vAlign w:val="center"/>
          </w:tcPr>
          <w:p w14:paraId="6EFDF3B7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小计</w:t>
            </w:r>
          </w:p>
        </w:tc>
        <w:tc>
          <w:tcPr>
            <w:tcW w:w="1182" w:type="dxa"/>
            <w:noWrap w:val="0"/>
            <w:vAlign w:val="center"/>
          </w:tcPr>
          <w:p w14:paraId="6A203E7C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公务用车</w:t>
            </w:r>
            <w:r>
              <w:rPr>
                <w:rFonts w:hint="eastAsia" w:ascii="宋体" w:hAnsi="宋体" w:cs="宋体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Cs w:val="21"/>
              </w:rPr>
              <w:t>购置费</w:t>
            </w:r>
          </w:p>
        </w:tc>
        <w:tc>
          <w:tcPr>
            <w:tcW w:w="1182" w:type="dxa"/>
            <w:noWrap w:val="0"/>
            <w:vAlign w:val="center"/>
          </w:tcPr>
          <w:p w14:paraId="46959E65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公务用车</w:t>
            </w:r>
            <w:r>
              <w:rPr>
                <w:rFonts w:hint="eastAsia" w:ascii="宋体" w:hAnsi="宋体" w:cs="宋体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Cs w:val="21"/>
              </w:rPr>
              <w:t>运行维护费</w:t>
            </w:r>
          </w:p>
        </w:tc>
        <w:tc>
          <w:tcPr>
            <w:tcW w:w="1171" w:type="dxa"/>
            <w:vMerge w:val="continue"/>
            <w:noWrap w:val="0"/>
            <w:vAlign w:val="top"/>
          </w:tcPr>
          <w:p w14:paraId="04470849">
            <w:pPr>
              <w:spacing w:line="288" w:lineRule="auto"/>
              <w:rPr>
                <w:rFonts w:hint="eastAsia" w:ascii="宋体" w:hAnsi="宋体" w:cs="宋体"/>
                <w:szCs w:val="21"/>
              </w:rPr>
            </w:pPr>
          </w:p>
        </w:tc>
      </w:tr>
      <w:tr w14:paraId="4E4231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</w:trPr>
        <w:tc>
          <w:tcPr>
            <w:tcW w:w="1183" w:type="dxa"/>
            <w:noWrap w:val="0"/>
            <w:vAlign w:val="center"/>
          </w:tcPr>
          <w:p w14:paraId="07C4178B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</w:t>
            </w:r>
          </w:p>
        </w:tc>
        <w:tc>
          <w:tcPr>
            <w:tcW w:w="1182" w:type="dxa"/>
            <w:noWrap w:val="0"/>
            <w:vAlign w:val="center"/>
          </w:tcPr>
          <w:p w14:paraId="66443467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2</w:t>
            </w:r>
          </w:p>
        </w:tc>
        <w:tc>
          <w:tcPr>
            <w:tcW w:w="1182" w:type="dxa"/>
            <w:noWrap w:val="0"/>
            <w:vAlign w:val="center"/>
          </w:tcPr>
          <w:p w14:paraId="5D2058BD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3</w:t>
            </w:r>
          </w:p>
        </w:tc>
        <w:tc>
          <w:tcPr>
            <w:tcW w:w="1182" w:type="dxa"/>
            <w:noWrap w:val="0"/>
            <w:vAlign w:val="center"/>
          </w:tcPr>
          <w:p w14:paraId="7ED6ADD6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4</w:t>
            </w:r>
          </w:p>
        </w:tc>
        <w:tc>
          <w:tcPr>
            <w:tcW w:w="1182" w:type="dxa"/>
            <w:noWrap w:val="0"/>
            <w:vAlign w:val="center"/>
          </w:tcPr>
          <w:p w14:paraId="01E7A8FA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5</w:t>
            </w:r>
          </w:p>
        </w:tc>
        <w:tc>
          <w:tcPr>
            <w:tcW w:w="1182" w:type="dxa"/>
            <w:noWrap w:val="0"/>
            <w:vAlign w:val="center"/>
          </w:tcPr>
          <w:p w14:paraId="1E7B5419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6</w:t>
            </w:r>
          </w:p>
        </w:tc>
        <w:tc>
          <w:tcPr>
            <w:tcW w:w="1182" w:type="dxa"/>
            <w:noWrap w:val="0"/>
            <w:vAlign w:val="center"/>
          </w:tcPr>
          <w:p w14:paraId="28218258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7</w:t>
            </w:r>
          </w:p>
        </w:tc>
        <w:tc>
          <w:tcPr>
            <w:tcW w:w="1182" w:type="dxa"/>
            <w:noWrap w:val="0"/>
            <w:vAlign w:val="center"/>
          </w:tcPr>
          <w:p w14:paraId="5C68C9B6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8</w:t>
            </w:r>
          </w:p>
        </w:tc>
        <w:tc>
          <w:tcPr>
            <w:tcW w:w="1182" w:type="dxa"/>
            <w:noWrap w:val="0"/>
            <w:vAlign w:val="center"/>
          </w:tcPr>
          <w:p w14:paraId="14E47289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9</w:t>
            </w:r>
          </w:p>
        </w:tc>
        <w:tc>
          <w:tcPr>
            <w:tcW w:w="1182" w:type="dxa"/>
            <w:noWrap w:val="0"/>
            <w:vAlign w:val="center"/>
          </w:tcPr>
          <w:p w14:paraId="5C7C198D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10</w:t>
            </w:r>
          </w:p>
        </w:tc>
        <w:tc>
          <w:tcPr>
            <w:tcW w:w="1182" w:type="dxa"/>
            <w:noWrap w:val="0"/>
            <w:vAlign w:val="center"/>
          </w:tcPr>
          <w:p w14:paraId="7701D34D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11</w:t>
            </w:r>
          </w:p>
        </w:tc>
        <w:tc>
          <w:tcPr>
            <w:tcW w:w="1171" w:type="dxa"/>
            <w:noWrap w:val="0"/>
            <w:vAlign w:val="center"/>
          </w:tcPr>
          <w:p w14:paraId="4D45EE86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12</w:t>
            </w:r>
          </w:p>
        </w:tc>
      </w:tr>
      <w:tr w14:paraId="531B11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</w:trPr>
        <w:tc>
          <w:tcPr>
            <w:tcW w:w="1183" w:type="dxa"/>
            <w:noWrap w:val="0"/>
            <w:vAlign w:val="center"/>
          </w:tcPr>
          <w:p w14:paraId="77D264E3">
            <w:pPr>
              <w:widowControl/>
              <w:jc w:val="righ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1</w:t>
            </w:r>
            <w:r>
              <w:rPr>
                <w:rFonts w:hint="eastAsia" w:ascii="宋体" w:hAnsi="宋体" w:cs="宋体"/>
                <w:kern w:val="0"/>
                <w:szCs w:val="21"/>
              </w:rPr>
              <w:t>.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4</w:t>
            </w:r>
            <w:r>
              <w:rPr>
                <w:rFonts w:hint="eastAsia" w:ascii="宋体" w:hAnsi="宋体" w:cs="宋体"/>
                <w:kern w:val="0"/>
                <w:szCs w:val="21"/>
              </w:rPr>
              <w:t>0</w:t>
            </w:r>
          </w:p>
        </w:tc>
        <w:tc>
          <w:tcPr>
            <w:tcW w:w="1182" w:type="dxa"/>
            <w:noWrap w:val="0"/>
            <w:vAlign w:val="center"/>
          </w:tcPr>
          <w:p w14:paraId="4D5EABE3">
            <w:pPr>
              <w:widowControl/>
              <w:jc w:val="righ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0.00</w:t>
            </w:r>
          </w:p>
        </w:tc>
        <w:tc>
          <w:tcPr>
            <w:tcW w:w="1182" w:type="dxa"/>
            <w:noWrap w:val="0"/>
            <w:vAlign w:val="center"/>
          </w:tcPr>
          <w:p w14:paraId="11BE20D0">
            <w:pPr>
              <w:widowControl/>
              <w:jc w:val="righ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1</w:t>
            </w:r>
            <w:r>
              <w:rPr>
                <w:rFonts w:hint="eastAsia" w:ascii="宋体" w:hAnsi="宋体" w:cs="宋体"/>
                <w:kern w:val="0"/>
                <w:szCs w:val="21"/>
              </w:rPr>
              <w:t>.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4</w:t>
            </w:r>
            <w:r>
              <w:rPr>
                <w:rFonts w:hint="eastAsia" w:ascii="宋体" w:hAnsi="宋体" w:cs="宋体"/>
                <w:kern w:val="0"/>
                <w:szCs w:val="21"/>
              </w:rPr>
              <w:t>0</w:t>
            </w:r>
          </w:p>
        </w:tc>
        <w:tc>
          <w:tcPr>
            <w:tcW w:w="1182" w:type="dxa"/>
            <w:noWrap w:val="0"/>
            <w:vAlign w:val="center"/>
          </w:tcPr>
          <w:p w14:paraId="3F02F800">
            <w:pPr>
              <w:widowControl/>
              <w:jc w:val="righ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0.00</w:t>
            </w:r>
          </w:p>
        </w:tc>
        <w:tc>
          <w:tcPr>
            <w:tcW w:w="1182" w:type="dxa"/>
            <w:noWrap w:val="0"/>
            <w:vAlign w:val="center"/>
          </w:tcPr>
          <w:p w14:paraId="2FC129E7">
            <w:pPr>
              <w:widowControl/>
              <w:jc w:val="righ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1</w:t>
            </w:r>
            <w:r>
              <w:rPr>
                <w:rFonts w:hint="eastAsia" w:ascii="宋体" w:hAnsi="宋体" w:cs="宋体"/>
                <w:kern w:val="0"/>
                <w:szCs w:val="21"/>
              </w:rPr>
              <w:t>.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4</w:t>
            </w:r>
            <w:r>
              <w:rPr>
                <w:rFonts w:hint="eastAsia" w:ascii="宋体" w:hAnsi="宋体" w:cs="宋体"/>
                <w:kern w:val="0"/>
                <w:szCs w:val="21"/>
              </w:rPr>
              <w:t>0</w:t>
            </w:r>
          </w:p>
        </w:tc>
        <w:tc>
          <w:tcPr>
            <w:tcW w:w="1182" w:type="dxa"/>
            <w:noWrap w:val="0"/>
            <w:vAlign w:val="center"/>
          </w:tcPr>
          <w:p w14:paraId="61F6E8B1">
            <w:pPr>
              <w:widowControl/>
              <w:jc w:val="righ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0.00</w:t>
            </w:r>
          </w:p>
        </w:tc>
        <w:tc>
          <w:tcPr>
            <w:tcW w:w="1182" w:type="dxa"/>
            <w:noWrap w:val="0"/>
            <w:vAlign w:val="center"/>
          </w:tcPr>
          <w:p w14:paraId="3D00B007">
            <w:pPr>
              <w:widowControl/>
              <w:jc w:val="righ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1</w:t>
            </w:r>
            <w:r>
              <w:rPr>
                <w:rFonts w:hint="eastAsia" w:ascii="宋体" w:hAnsi="宋体" w:cs="宋体"/>
                <w:kern w:val="0"/>
                <w:szCs w:val="21"/>
              </w:rPr>
              <w:t>.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4</w:t>
            </w:r>
            <w:r>
              <w:rPr>
                <w:rFonts w:hint="eastAsia" w:ascii="宋体" w:hAnsi="宋体" w:cs="宋体"/>
                <w:kern w:val="0"/>
                <w:szCs w:val="21"/>
              </w:rPr>
              <w:t>0</w:t>
            </w:r>
          </w:p>
        </w:tc>
        <w:tc>
          <w:tcPr>
            <w:tcW w:w="1182" w:type="dxa"/>
            <w:noWrap w:val="0"/>
            <w:vAlign w:val="center"/>
          </w:tcPr>
          <w:p w14:paraId="10F93DC7">
            <w:pPr>
              <w:widowControl/>
              <w:jc w:val="righ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0.00</w:t>
            </w:r>
          </w:p>
        </w:tc>
        <w:tc>
          <w:tcPr>
            <w:tcW w:w="1182" w:type="dxa"/>
            <w:noWrap w:val="0"/>
            <w:vAlign w:val="center"/>
          </w:tcPr>
          <w:p w14:paraId="7B78195F">
            <w:pPr>
              <w:widowControl/>
              <w:jc w:val="righ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1</w:t>
            </w:r>
            <w:r>
              <w:rPr>
                <w:rFonts w:hint="eastAsia" w:ascii="宋体" w:hAnsi="宋体" w:cs="宋体"/>
                <w:kern w:val="0"/>
                <w:szCs w:val="21"/>
              </w:rPr>
              <w:t>.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4</w:t>
            </w:r>
            <w:r>
              <w:rPr>
                <w:rFonts w:hint="eastAsia" w:ascii="宋体" w:hAnsi="宋体" w:cs="宋体"/>
                <w:kern w:val="0"/>
                <w:szCs w:val="21"/>
              </w:rPr>
              <w:t>0</w:t>
            </w:r>
          </w:p>
        </w:tc>
        <w:tc>
          <w:tcPr>
            <w:tcW w:w="1182" w:type="dxa"/>
            <w:noWrap w:val="0"/>
            <w:vAlign w:val="center"/>
          </w:tcPr>
          <w:p w14:paraId="59B24361">
            <w:pPr>
              <w:widowControl/>
              <w:jc w:val="righ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0.00</w:t>
            </w:r>
          </w:p>
        </w:tc>
        <w:tc>
          <w:tcPr>
            <w:tcW w:w="1182" w:type="dxa"/>
            <w:noWrap w:val="0"/>
            <w:vAlign w:val="center"/>
          </w:tcPr>
          <w:p w14:paraId="74F22B8D">
            <w:pPr>
              <w:widowControl/>
              <w:jc w:val="righ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1</w:t>
            </w:r>
            <w:r>
              <w:rPr>
                <w:rFonts w:hint="eastAsia" w:ascii="宋体" w:hAnsi="宋体" w:cs="宋体"/>
                <w:kern w:val="0"/>
                <w:szCs w:val="21"/>
              </w:rPr>
              <w:t>.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4</w:t>
            </w:r>
            <w:r>
              <w:rPr>
                <w:rFonts w:hint="eastAsia" w:ascii="宋体" w:hAnsi="宋体" w:cs="宋体"/>
                <w:kern w:val="0"/>
                <w:szCs w:val="21"/>
              </w:rPr>
              <w:t>0</w:t>
            </w:r>
          </w:p>
        </w:tc>
        <w:tc>
          <w:tcPr>
            <w:tcW w:w="1171" w:type="dxa"/>
            <w:noWrap w:val="0"/>
            <w:vAlign w:val="center"/>
          </w:tcPr>
          <w:p w14:paraId="6F7ACF0A">
            <w:pPr>
              <w:widowControl/>
              <w:jc w:val="righ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0.00</w:t>
            </w:r>
          </w:p>
        </w:tc>
      </w:tr>
    </w:tbl>
    <w:p w14:paraId="5D62CBEC">
      <w:pPr>
        <w:spacing w:line="360" w:lineRule="auto"/>
        <w:ind w:firstLine="420" w:firstLineChars="200"/>
        <w:rPr>
          <w:rFonts w:hint="eastAsia"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注：本表反映部门（单位）本年度财政拨款“三公”经费支出预决算情况。其中，预算数为“三公”经费全年预算数，反映按规定程序调整后的预算数；决算数是包括当年财政拨款和以前年度结转资</w:t>
      </w:r>
      <w:bookmarkStart w:id="2" w:name="_GoBack"/>
      <w:bookmarkEnd w:id="2"/>
      <w:r>
        <w:rPr>
          <w:rFonts w:hint="eastAsia" w:ascii="宋体" w:hAnsi="宋体" w:cs="宋体"/>
          <w:szCs w:val="21"/>
        </w:rPr>
        <w:t>金安排的实际支出。</w:t>
      </w:r>
    </w:p>
    <w:p w14:paraId="081565A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left"/>
        <w:rPr>
          <w:rFonts w:hint="default" w:ascii="仿宋_GB2312" w:hAnsi="仿宋_GB2312" w:eastAsia="仿宋_GB2312" w:cs="仿宋_GB2312"/>
          <w:b/>
          <w:bCs/>
          <w:i w:val="0"/>
          <w:iCs w:val="0"/>
          <w:caps w:val="0"/>
          <w:color w:val="525252"/>
          <w:spacing w:val="13"/>
          <w:kern w:val="0"/>
          <w:sz w:val="32"/>
          <w:szCs w:val="32"/>
          <w:lang w:val="en-US" w:eastAsia="zh-CN" w:bidi="ar"/>
        </w:rPr>
      </w:pPr>
    </w:p>
    <w:p w14:paraId="1399B1CD">
      <w:pPr>
        <w:ind w:firstLine="643" w:firstLineChars="200"/>
        <w:rPr>
          <w:rFonts w:hint="eastAsia" w:ascii="仿宋_GB2312" w:hAnsi="宋体" w:eastAsia="仿宋_GB2312" w:cs="宋体"/>
          <w:b/>
          <w:sz w:val="32"/>
          <w:szCs w:val="32"/>
        </w:rPr>
      </w:pPr>
      <w:r>
        <w:rPr>
          <w:rFonts w:hint="eastAsia" w:ascii="仿宋_GB2312" w:hAnsi="宋体" w:eastAsia="仿宋_GB2312" w:cs="宋体"/>
          <w:b/>
          <w:sz w:val="32"/>
          <w:szCs w:val="32"/>
        </w:rPr>
        <w:t>（一）“三公”经费财政拨款支出决算总体情况说明</w:t>
      </w:r>
    </w:p>
    <w:p w14:paraId="6B6AEA6C">
      <w:pPr>
        <w:ind w:firstLine="640" w:firstLineChars="200"/>
        <w:rPr>
          <w:rFonts w:hint="eastAsia" w:ascii="仿宋_GB2312" w:hAnsi="宋体" w:eastAsia="仿宋_GB2312" w:cs="宋体"/>
          <w:sz w:val="32"/>
          <w:szCs w:val="32"/>
          <w:lang w:eastAsia="zh-CN"/>
        </w:rPr>
      </w:pPr>
      <w:r>
        <w:rPr>
          <w:rFonts w:hint="eastAsia" w:ascii="仿宋_GB2312" w:hAnsi="宋体" w:eastAsia="仿宋_GB2312" w:cs="宋体"/>
          <w:sz w:val="32"/>
          <w:szCs w:val="32"/>
        </w:rPr>
        <w:t>徐闻县水果蔬菜研究所2024年度“三公”经费财政拨款支出决算为1.4万元，完成全年预算1.4万元的100%，比上年决算数增加0万元，增长0%。其中：因公出国（境）费支出决算为0万元，完成预算0万元的--%（基数为0，不可比），比上年决算数增加0万元，增长--（基数为0，不可比）；公务用车购置及运行维护费支出决算为1.4万元，完成预算1.4万元的100%，比上年决算数增加0万元，增长0%；其中：公务用车购置支出决算为0万元，完成预算0万元的--%（基数为0，不可比），比上年决算数增加0万元，增长--（基数为0，不可比）；公务用车运行维护费支出决算为1.4万元，完成预算1.4万元的100%，比上年决算数增加0万元，增长0%；公务接待费支出决算为0万元，完成预算0万元的--%（基数为0，不可比），比上年决算数增加0万元，增长--（基数为0，不可比）</w:t>
      </w:r>
      <w:r>
        <w:rPr>
          <w:rFonts w:hint="eastAsia" w:ascii="仿宋_GB2312" w:hAnsi="宋体" w:eastAsia="仿宋_GB2312" w:cs="宋体"/>
          <w:sz w:val="32"/>
          <w:szCs w:val="32"/>
          <w:lang w:eastAsia="zh-CN"/>
        </w:rPr>
        <w:t>。</w:t>
      </w:r>
    </w:p>
    <w:p w14:paraId="33620EA9">
      <w:pPr>
        <w:ind w:firstLine="640" w:firstLineChars="200"/>
        <w:rPr>
          <w:rFonts w:hint="eastAsia" w:ascii="仿宋_GB2312" w:hAnsi="宋体" w:eastAsia="仿宋_GB2312" w:cs="宋体"/>
          <w:sz w:val="32"/>
          <w:szCs w:val="32"/>
        </w:rPr>
      </w:pPr>
      <w:r>
        <w:rPr>
          <w:rFonts w:hint="eastAsia" w:ascii="仿宋_GB2312" w:hAnsi="宋体" w:eastAsia="仿宋_GB2312" w:cs="宋体"/>
          <w:sz w:val="32"/>
          <w:szCs w:val="32"/>
        </w:rPr>
        <w:t>2024年度“三公”经费支出决算等于预算数的主要情况：认真贯彻落实中央八项规定精神和厉行节约的要求，从严控制“三公”经费开支，全年实际支出控制与年初预算数持平。</w:t>
      </w:r>
    </w:p>
    <w:p w14:paraId="2262CA32">
      <w:pPr>
        <w:ind w:firstLine="640" w:firstLineChars="200"/>
        <w:rPr>
          <w:rFonts w:ascii="仿宋_GB2312" w:hAnsi="宋体" w:eastAsia="仿宋_GB2312" w:cs="宋体"/>
          <w:sz w:val="32"/>
          <w:szCs w:val="32"/>
        </w:rPr>
      </w:pPr>
      <w:r>
        <w:rPr>
          <w:rFonts w:hint="eastAsia" w:ascii="仿宋_GB2312" w:hAnsi="宋体" w:eastAsia="仿宋_GB2312" w:cs="宋体"/>
          <w:sz w:val="32"/>
          <w:szCs w:val="32"/>
        </w:rPr>
        <w:t>2024年度“三公”经费支出决算等于上年决算数的主要情况：认真贯彻落实中央八项规定精神和厉行节约的要求，控制三公经费支出与上年一致。</w:t>
      </w:r>
    </w:p>
    <w:p w14:paraId="7CA8C0EF">
      <w:pPr>
        <w:ind w:firstLine="643" w:firstLineChars="200"/>
        <w:rPr>
          <w:rFonts w:hint="eastAsia" w:ascii="仿宋_GB2312" w:hAnsi="宋体" w:eastAsia="仿宋_GB2312" w:cs="宋体"/>
          <w:b/>
          <w:sz w:val="32"/>
          <w:szCs w:val="32"/>
        </w:rPr>
      </w:pPr>
      <w:r>
        <w:rPr>
          <w:rFonts w:hint="eastAsia" w:ascii="仿宋_GB2312" w:hAnsi="宋体" w:eastAsia="仿宋_GB2312" w:cs="宋体"/>
          <w:b/>
          <w:sz w:val="32"/>
          <w:szCs w:val="32"/>
        </w:rPr>
        <w:t>（二）“三公”经费财政拨款支出决算具体情况说明</w:t>
      </w:r>
    </w:p>
    <w:p w14:paraId="0E0AA4F6">
      <w:pPr>
        <w:ind w:firstLine="640" w:firstLineChars="200"/>
        <w:rPr>
          <w:rFonts w:hint="eastAsia" w:ascii="仿宋_GB2312" w:hAnsi="宋体" w:eastAsia="仿宋_GB2312" w:cs="宋体"/>
          <w:sz w:val="32"/>
          <w:szCs w:val="32"/>
        </w:rPr>
      </w:pPr>
      <w:bookmarkStart w:id="1" w:name="PO_part3A3B2C3GnjdInclude1"/>
      <w:r>
        <w:rPr>
          <w:rFonts w:hint="eastAsia" w:ascii="仿宋_GB2312" w:hAnsi="宋体" w:eastAsia="仿宋_GB2312" w:cs="宋体"/>
          <w:sz w:val="32"/>
          <w:szCs w:val="32"/>
        </w:rPr>
        <w:t>2 0 2 4年度“三公”经费财政拨款支出决算中，因公出国（境）费0万元，占0%；公务用车购置及运行维护费支出1.4万元，占100%；公务接待费支出0万元，占0%。具体情况如下：</w:t>
      </w:r>
    </w:p>
    <w:p w14:paraId="71655B30">
      <w:pPr>
        <w:ind w:firstLine="640" w:firstLineChars="200"/>
        <w:rPr>
          <w:rFonts w:hint="eastAsia" w:ascii="仿宋_GB2312" w:hAnsi="宋体" w:eastAsia="仿宋_GB2312" w:cs="宋体"/>
          <w:sz w:val="32"/>
          <w:szCs w:val="32"/>
        </w:rPr>
      </w:pPr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1.因</w:t>
      </w:r>
      <w:r>
        <w:rPr>
          <w:rFonts w:hint="eastAsia" w:ascii="仿宋_GB2312" w:hAnsi="宋体" w:eastAsia="仿宋_GB2312" w:cs="宋体"/>
          <w:sz w:val="32"/>
          <w:szCs w:val="32"/>
        </w:rPr>
        <w:t>公出国（境）费支出0万元。全年使用财政拨款安排出国（境）团组0个、累计0人次。</w:t>
      </w:r>
    </w:p>
    <w:p w14:paraId="0B443126">
      <w:pPr>
        <w:ind w:firstLine="640" w:firstLineChars="200"/>
        <w:rPr>
          <w:sz w:val="32"/>
          <w:szCs w:val="32"/>
        </w:rPr>
      </w:pPr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2.</w:t>
      </w:r>
      <w:r>
        <w:rPr>
          <w:rFonts w:hint="eastAsia" w:ascii="仿宋_GB2312" w:hAnsi="宋体" w:eastAsia="仿宋_GB2312" w:cs="宋体"/>
          <w:sz w:val="32"/>
          <w:szCs w:val="32"/>
        </w:rPr>
        <w:t>公务用车购置及运行维护费支出1.4万元，其中：公务用车购置支出为0万元，公务用车购置数0辆。公务用车运行维护费支出1.4万元，公务用车保有量为1辆，主要用于往返科研基地，及日常下乡工作。</w:t>
      </w:r>
    </w:p>
    <w:p w14:paraId="6A200A71">
      <w:pPr>
        <w:numPr>
          <w:numId w:val="0"/>
        </w:numPr>
        <w:ind w:firstLine="640" w:firstLineChars="200"/>
        <w:rPr>
          <w:sz w:val="32"/>
          <w:szCs w:val="32"/>
        </w:rPr>
      </w:pPr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3.</w:t>
      </w:r>
      <w:r>
        <w:rPr>
          <w:rFonts w:hint="eastAsia" w:ascii="仿宋_GB2312" w:hAnsi="宋体" w:eastAsia="仿宋_GB2312" w:cs="宋体"/>
          <w:sz w:val="32"/>
          <w:szCs w:val="32"/>
        </w:rPr>
        <w:t>公务接待费支出0万元，主要用于本年度无公务接待费用，共接待国外、境外来访团组0个，来访外宾0人次；发生国内接待0次，接待人数共0人。主要接待上级科研机构领导下乡指导工作就餐。</w:t>
      </w:r>
      <w:bookmarkEnd w:id="1"/>
    </w:p>
    <w:sectPr>
      <w:pgSz w:w="16838" w:h="11906" w:orient="landscape"/>
      <w:pgMar w:top="1800" w:right="1440" w:bottom="1800" w:left="144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5CB36A1"/>
    <w:rsid w:val="057B13B1"/>
    <w:rsid w:val="17FC26E6"/>
    <w:rsid w:val="202D3B9A"/>
    <w:rsid w:val="26811F3C"/>
    <w:rsid w:val="30BC0D4E"/>
    <w:rsid w:val="39C44A36"/>
    <w:rsid w:val="45B25BFB"/>
    <w:rsid w:val="759743C5"/>
    <w:rsid w:val="75CB36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1458</Words>
  <Characters>1593</Characters>
  <Lines>0</Lines>
  <Paragraphs>0</Paragraphs>
  <TotalTime>8</TotalTime>
  <ScaleCrop>false</ScaleCrop>
  <LinksUpToDate>false</LinksUpToDate>
  <CharactersWithSpaces>1657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2025-10-06T02:55:00Z</dcterms:created>
  <dc:creator>超</dc:creator>
  <cp:lastModifiedBy></cp:lastModifiedBy>
  <dcterms:modified xsi:type="dcterms:W3CDTF">2025-10-09T03:41:18Z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29C3D338A0F747439D9088CFFA86D4E6_11</vt:lpwstr>
  </property>
  <property fmtid="{D5CDD505-2E9C-101B-9397-08002B2CF9AE}" pid="4" name="KSOTemplateDocerSaveRecord">
    <vt:lpwstr>eyJoZGlkIjoiMzRmMjBkZGUwZjVmZjI3NmRiNWQ4MTE3YzFmYWJmZTAiLCJ1c2VySWQiOiIyOTYyMzA5NDYifQ==</vt:lpwstr>
  </property>
</Properties>
</file>