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91D7AA">
      <w:pPr>
        <w:jc w:val="center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 xml:space="preserve">  </w:t>
      </w:r>
    </w:p>
    <w:p w14:paraId="34A37F4E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 xml:space="preserve"> 2024年徐闻县价格认证中心“三公</w:t>
      </w:r>
      <w:r>
        <w:rPr>
          <w:rFonts w:hint="default" w:ascii="仿宋_GB2312" w:hAnsi="宋体" w:eastAsia="仿宋_GB2312" w:cs="宋体"/>
          <w:b/>
          <w:sz w:val="44"/>
          <w:szCs w:val="44"/>
          <w:lang w:val="en-US" w:eastAsia="zh-CN"/>
        </w:rPr>
        <w:t>”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>经费决算公开</w:t>
      </w:r>
    </w:p>
    <w:p w14:paraId="05AA9E84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</w:p>
    <w:p w14:paraId="35F2358F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71"/>
      </w:tblGrid>
      <w:tr w14:paraId="51C0E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3A2F763">
            <w:pPr>
              <w:jc w:val="righ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表9</w:t>
            </w:r>
          </w:p>
        </w:tc>
      </w:tr>
      <w:tr w14:paraId="2F6BD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CF647BD">
            <w:pPr>
              <w:jc w:val="center"/>
              <w:rPr>
                <w:rFonts w:hint="eastAsia"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32"/>
                <w:szCs w:val="32"/>
              </w:rPr>
              <w:t>财政拨款“三公”经费支出决算表</w:t>
            </w:r>
          </w:p>
        </w:tc>
      </w:tr>
      <w:tr w14:paraId="57628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0639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4F44F76">
            <w:pPr>
              <w:spacing w:line="288" w:lineRule="auto"/>
              <w:jc w:val="left"/>
              <w:rPr>
                <w:rFonts w:hint="eastAsia" w:ascii="宋体" w:hAnsi="宋体" w:cs="宋体" w:eastAsiaTheme="minorEastAsia"/>
                <w:sz w:val="28"/>
                <w:szCs w:val="28"/>
                <w:lang w:val="en-US" w:eastAsia="zh-CN"/>
              </w:rPr>
            </w:pPr>
            <w:bookmarkStart w:id="0" w:name="PO_part2DivName9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部门（单位） </w:t>
            </w:r>
            <w:bookmarkEnd w:id="0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：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徐闻县价格认证中心</w:t>
            </w:r>
          </w:p>
        </w:tc>
        <w:tc>
          <w:tcPr>
            <w:tcW w:w="353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B02612A">
            <w:pPr>
              <w:jc w:val="righ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单位：万元</w:t>
            </w:r>
          </w:p>
        </w:tc>
      </w:tr>
      <w:tr w14:paraId="1D80F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7093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6B6D10DB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预算数</w:t>
            </w:r>
          </w:p>
        </w:tc>
        <w:tc>
          <w:tcPr>
            <w:tcW w:w="7081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3C2BAD0C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决算数</w:t>
            </w:r>
          </w:p>
        </w:tc>
      </w:tr>
      <w:tr w14:paraId="7E3E0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restart"/>
            <w:noWrap w:val="0"/>
            <w:vAlign w:val="center"/>
          </w:tcPr>
          <w:p w14:paraId="29F0A20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0626D84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noWrap w:val="0"/>
            <w:vAlign w:val="center"/>
          </w:tcPr>
          <w:p w14:paraId="338A4D4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07ADDF4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1BB9B47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184EA397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noWrap w:val="0"/>
            <w:vAlign w:val="center"/>
          </w:tcPr>
          <w:p w14:paraId="429628C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1171" w:type="dxa"/>
            <w:vMerge w:val="restart"/>
            <w:noWrap w:val="0"/>
            <w:vAlign w:val="center"/>
          </w:tcPr>
          <w:p w14:paraId="3D21A698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</w:tr>
      <w:tr w14:paraId="6D1E2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continue"/>
            <w:noWrap w:val="0"/>
            <w:vAlign w:val="top"/>
          </w:tcPr>
          <w:p w14:paraId="70039CAC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4A38F19C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2D49DFA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</w:t>
            </w:r>
          </w:p>
        </w:tc>
        <w:tc>
          <w:tcPr>
            <w:tcW w:w="1182" w:type="dxa"/>
            <w:noWrap w:val="0"/>
            <w:vAlign w:val="center"/>
          </w:tcPr>
          <w:p w14:paraId="57EC8C1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购置费</w:t>
            </w:r>
          </w:p>
        </w:tc>
        <w:tc>
          <w:tcPr>
            <w:tcW w:w="1182" w:type="dxa"/>
            <w:noWrap w:val="0"/>
            <w:vAlign w:val="center"/>
          </w:tcPr>
          <w:p w14:paraId="736959D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运行维护费</w:t>
            </w:r>
          </w:p>
        </w:tc>
        <w:tc>
          <w:tcPr>
            <w:tcW w:w="1182" w:type="dxa"/>
            <w:vMerge w:val="continue"/>
            <w:noWrap w:val="0"/>
            <w:vAlign w:val="top"/>
          </w:tcPr>
          <w:p w14:paraId="5083F241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05CDFA52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68EBFA7E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6EFDF3B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</w:t>
            </w:r>
          </w:p>
        </w:tc>
        <w:tc>
          <w:tcPr>
            <w:tcW w:w="1182" w:type="dxa"/>
            <w:noWrap w:val="0"/>
            <w:vAlign w:val="center"/>
          </w:tcPr>
          <w:p w14:paraId="6A203E7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购置费</w:t>
            </w:r>
          </w:p>
        </w:tc>
        <w:tc>
          <w:tcPr>
            <w:tcW w:w="1182" w:type="dxa"/>
            <w:noWrap w:val="0"/>
            <w:vAlign w:val="center"/>
          </w:tcPr>
          <w:p w14:paraId="46959E65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运行维护费</w:t>
            </w:r>
          </w:p>
        </w:tc>
        <w:tc>
          <w:tcPr>
            <w:tcW w:w="1171" w:type="dxa"/>
            <w:vMerge w:val="continue"/>
            <w:noWrap w:val="0"/>
            <w:vAlign w:val="top"/>
          </w:tcPr>
          <w:p w14:paraId="04470849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</w:tr>
      <w:tr w14:paraId="4E423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noWrap w:val="0"/>
            <w:vAlign w:val="center"/>
          </w:tcPr>
          <w:p w14:paraId="07C4178B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182" w:type="dxa"/>
            <w:noWrap w:val="0"/>
            <w:vAlign w:val="center"/>
          </w:tcPr>
          <w:p w14:paraId="6644346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182" w:type="dxa"/>
            <w:noWrap w:val="0"/>
            <w:vAlign w:val="center"/>
          </w:tcPr>
          <w:p w14:paraId="5D2058B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182" w:type="dxa"/>
            <w:noWrap w:val="0"/>
            <w:vAlign w:val="center"/>
          </w:tcPr>
          <w:p w14:paraId="7ED6ADD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182" w:type="dxa"/>
            <w:noWrap w:val="0"/>
            <w:vAlign w:val="center"/>
          </w:tcPr>
          <w:p w14:paraId="01E7A8F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182" w:type="dxa"/>
            <w:noWrap w:val="0"/>
            <w:vAlign w:val="center"/>
          </w:tcPr>
          <w:p w14:paraId="1E7B541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1182" w:type="dxa"/>
            <w:noWrap w:val="0"/>
            <w:vAlign w:val="center"/>
          </w:tcPr>
          <w:p w14:paraId="2821825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1182" w:type="dxa"/>
            <w:noWrap w:val="0"/>
            <w:vAlign w:val="center"/>
          </w:tcPr>
          <w:p w14:paraId="5C68C9B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1182" w:type="dxa"/>
            <w:noWrap w:val="0"/>
            <w:vAlign w:val="center"/>
          </w:tcPr>
          <w:p w14:paraId="14E4728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1182" w:type="dxa"/>
            <w:noWrap w:val="0"/>
            <w:vAlign w:val="center"/>
          </w:tcPr>
          <w:p w14:paraId="5C7C198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1182" w:type="dxa"/>
            <w:noWrap w:val="0"/>
            <w:vAlign w:val="center"/>
          </w:tcPr>
          <w:p w14:paraId="7701D34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1171" w:type="dxa"/>
            <w:noWrap w:val="0"/>
            <w:vAlign w:val="center"/>
          </w:tcPr>
          <w:p w14:paraId="4D45EE8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12</w:t>
            </w:r>
          </w:p>
        </w:tc>
      </w:tr>
      <w:tr w14:paraId="531B1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noWrap w:val="0"/>
            <w:vAlign w:val="center"/>
          </w:tcPr>
          <w:p w14:paraId="77D264E3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4D5EABE3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11BE20D0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3F02F800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2FC129E7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61F6E8B1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3D00B007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10F93DC7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7B78195F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59B24361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74F22B8D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71" w:type="dxa"/>
            <w:noWrap w:val="0"/>
            <w:vAlign w:val="center"/>
          </w:tcPr>
          <w:p w14:paraId="6F7ACF0A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</w:tr>
    </w:tbl>
    <w:p w14:paraId="5D62CBEC">
      <w:pPr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注：本表反映部门（单位）本年度财政拨款“三公”经费支出预决算情况。其中，预算数为“三公”经费全年预算数，反映按规定程序调整后的预算数；决算数是包括当年财政拨款和以前年度结转资金安排的实际支出。</w:t>
      </w:r>
    </w:p>
    <w:p w14:paraId="081565A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3"/>
          <w:kern w:val="0"/>
          <w:sz w:val="32"/>
          <w:szCs w:val="32"/>
          <w:lang w:val="en-US" w:eastAsia="zh-CN" w:bidi="ar"/>
        </w:rPr>
      </w:pPr>
    </w:p>
    <w:p w14:paraId="006BF3B1">
      <w:pPr>
        <w:ind w:firstLine="643" w:firstLineChars="200"/>
        <w:rPr>
          <w:rFonts w:hint="eastAsia" w:ascii="仿宋_GB2312" w:hAnsi="宋体" w:eastAsia="仿宋_GB2312" w:cs="宋体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/>
          <w:bCs/>
          <w:sz w:val="32"/>
          <w:szCs w:val="32"/>
          <w:lang w:val="en-US" w:eastAsia="zh-CN"/>
        </w:rPr>
        <w:t>（一）“三公”经费财政拨款支出决算总体情况说明</w:t>
      </w:r>
    </w:p>
    <w:p w14:paraId="10871F4F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徐闻县价格认证中心2024年度“三公”经费财政拨款支出决算为0万元，完成全年预算0万元的--%（基数为0，不可比），比上年决算数增加0万元，增长--（基数为0，不可比）。其中：因公出国（境）费支出决算为0万元，完成预算0万元的--%（基数为0，不可比），比上年决算数增加0万元，增长--（基数为0，不可比）；公务用车购置及运行维护费支出决算为0万元，完成预算0万元的--%（基数为0，不可比），比上年决算数增加0万元，增长--（基数为0，不可比）；其中：公务用车购置支出决算为0万元，完成预算0万元的--%（基数为0，不可比），比上年决算数增加0万元，增长--（基数为0，不可比）；公务用车运行维护费支出决算为0万元，完成预算0万元的--%（基数为0，不可比），比上年决算数增加0万元，增长--（基数为0，不可比）；公务接待费支出决算为0万元，完成预算0万元的--%（基数为0，不可比），比上年决算数增加0万元，增长--（基数为0，不可比）。</w:t>
      </w:r>
    </w:p>
    <w:p w14:paraId="5B772FEB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2024年度“三公”经费支出决算等于预算数的主要情况：本单位无“三公”经费。</w:t>
      </w:r>
    </w:p>
    <w:p w14:paraId="5482A900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2024年度“三公”经费支出决算等于上年决算数的主要情况：本单位无“三公”经费。</w:t>
      </w:r>
    </w:p>
    <w:p w14:paraId="675507CB">
      <w:pPr>
        <w:ind w:firstLine="643" w:firstLineChars="200"/>
        <w:rPr>
          <w:rFonts w:hint="eastAsia" w:ascii="仿宋_GB2312" w:hAnsi="宋体" w:eastAsia="仿宋_GB2312" w:cs="宋体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/>
          <w:bCs/>
          <w:sz w:val="32"/>
          <w:szCs w:val="32"/>
          <w:lang w:val="en-US" w:eastAsia="zh-CN"/>
        </w:rPr>
        <w:t>（二）“三公”经费财政拨款支出决算具体情况说明</w:t>
      </w:r>
    </w:p>
    <w:p w14:paraId="2C4D60DE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2024年度“三公”经费财政拨款支出决算中，因公出国（境）费0万元，占0%；公务用车购置及运行维护费支出0万元，占0%；公务接待费支出0万元，占0%。具体情况如下：</w:t>
      </w:r>
    </w:p>
    <w:p w14:paraId="1BFB5897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1.因公出国（境）费支出0万元。全年使用财政拨款安排出国（境）团组0个、累计0人次。</w:t>
      </w:r>
    </w:p>
    <w:p w14:paraId="3CAEA438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2.公务用车购置及运行维护费支出0万元，其中：公务用车购置支出为0万元，公务用车购置数0辆。公务用车运行维护费支出0万元，公务用车保有量为0辆，主要用于无</w:t>
      </w:r>
      <w:bookmarkStart w:id="1" w:name="_GoBack"/>
      <w:bookmarkEnd w:id="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。</w:t>
      </w:r>
    </w:p>
    <w:p w14:paraId="5A94F449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3.公务接待费支出0万元，主要用于公务接待，共接待国外、境外来访团组0个，来访外宾0人次；发生国内接待0次，接待人数共0人。主要包括无。</w:t>
      </w:r>
    </w:p>
    <w:p w14:paraId="486836C3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yZTI4MzM0YTkzY2E0ZjI4ZmNlMGIxODNmMTM1YjEifQ=="/>
  </w:docVars>
  <w:rsids>
    <w:rsidRoot w:val="75CB36A1"/>
    <w:rsid w:val="05257DE5"/>
    <w:rsid w:val="07EC474E"/>
    <w:rsid w:val="13D1738A"/>
    <w:rsid w:val="202D3B9A"/>
    <w:rsid w:val="20481EA1"/>
    <w:rsid w:val="252526D3"/>
    <w:rsid w:val="25B63CA0"/>
    <w:rsid w:val="26811F3C"/>
    <w:rsid w:val="30BC0D4E"/>
    <w:rsid w:val="45B25BFB"/>
    <w:rsid w:val="55C4407D"/>
    <w:rsid w:val="58507E4A"/>
    <w:rsid w:val="585E4570"/>
    <w:rsid w:val="617B7894"/>
    <w:rsid w:val="64C23E7D"/>
    <w:rsid w:val="75CB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1053</Words>
  <Characters>1131</Characters>
  <Lines>0</Lines>
  <Paragraphs>0</Paragraphs>
  <TotalTime>0</TotalTime>
  <ScaleCrop>false</ScaleCrop>
  <LinksUpToDate>false</LinksUpToDate>
  <CharactersWithSpaces>1137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2025-10-06T02:55:00Z</dcterms:created>
  <dc:creator>超</dc:creator>
  <cp:lastModifiedBy>立羽 翊</cp:lastModifiedBy>
  <dcterms:modified xsi:type="dcterms:W3CDTF">2025-10-13T02:45:50Z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41F6F9A2DE604263A3216519322577EF_13</vt:lpwstr>
  </property>
  <property fmtid="{D5CDD505-2E9C-101B-9397-08002B2CF9AE}" pid="4" name="KSOTemplateDocerSaveRecord">
    <vt:lpwstr>eyJoZGlkIjoiMDk5ODhlM2NiODhiYzEyYjE2OGM4NzFhZWVjMWNmYzkiLCJ1c2VySWQiOiIzMTUxODMxOTUifQ==</vt:lpwstr>
  </property>
</Properties>
</file>