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2024年徐闻县殡仪馆“三公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徐闻县殡仪馆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7.17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7.17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7.17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7.17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7.17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7.17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徐闻县殡仪馆2024年度“三公”经费财政拨款支出决算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为</w:t>
      </w:r>
      <w:r>
        <w:rPr>
          <w:rFonts w:hint="eastAsia" w:ascii="仿宋_GB2312" w:hAnsi="宋体" w:eastAsia="仿宋_GB2312" w:cs="宋体"/>
          <w:sz w:val="32"/>
          <w:szCs w:val="32"/>
        </w:rPr>
        <w:t>7.17万元，完成全年预算7.17万元的100%，比上年决算数减少0.46万元，下降6%。其中：因公出国（境）费支出决算为0万元，完成预算0万元的0，比上年决算数增加0万元，增长0；公务用车购置及运行维护费支出决算为7.17万元，完成预算7.17万元的100%，比上年决</w:t>
      </w:r>
      <w:bookmarkStart w:id="5" w:name="_GoBack"/>
      <w:bookmarkEnd w:id="5"/>
      <w:r>
        <w:rPr>
          <w:rFonts w:hint="eastAsia" w:ascii="仿宋_GB2312" w:hAnsi="宋体" w:eastAsia="仿宋_GB2312" w:cs="宋体"/>
          <w:sz w:val="32"/>
          <w:szCs w:val="32"/>
        </w:rPr>
        <w:t xml:space="preserve">算数减少0.46万元，下降6%；其中：公务用车购置支出决算为0万元，完成预算0万元的0，比上年决算数增加0万元，增长0；公务用车运行维护费支出决算为7.17万元，完成预算7.17万元的100%，比上年决算数减少0.46万元，下降6%；公务接待费支出决算为0万元，完成预算0万元的0，比上年决算数增加0万元，增长0。 </w:t>
      </w:r>
      <w:bookmarkEnd w:id="1"/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2" w:name="PO_part3A3B1C1DiffReason2"/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等于预算数的主要情况：2024年度“三公”经费支出决算等于预算数的主要情况：2024年本部门财政拨款安排“三公”经费7.17万元，比上年减少0.46万元，下降6%，主要原因是公务用车购置及运行维护费较上年减少了0.46万元，下降6%。其中：因公出国（境）费0万元，比上年增加0.00万元，增长0，主要原因是与上年持平，无增减变化；公务用车购置及运行维护费7.17万元（公务用车购置费0万元，比上年增加0.00万元；公务用车运行维护费7.17万元，减少了0.46万元，下降6%。）比上年减少了0.46万元，下降6%，主要原因是减少了公务用车运行维护费；公务接待费0万元，比上年增加0.00万元，增长0.0%，主要原因是与上年持平，无增减变化。2024年度“三公”经费支出决算小于上年决算数的主要情况：公务用车购置及运行维护费减少。</w:t>
      </w:r>
      <w:bookmarkEnd w:id="2"/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2024年度“三公”经费财政拨款支出决算中，因公出国（境）费0万元，占0%；公务用车购置及运行维护费支出7.17万元，占100%；公务接待费支出0万元，占0%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>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" w:name="PO_part3A3B2C1D1Meeting1"/>
      <w:r>
        <w:rPr>
          <w:rFonts w:hint="eastAsia" w:ascii="仿宋_GB2312" w:hAnsi="宋体" w:eastAsia="仿宋_GB2312" w:cs="宋体"/>
          <w:sz w:val="32"/>
          <w:szCs w:val="32"/>
        </w:rPr>
        <w:t xml:space="preserve">1.因公出国（境）费支出0万元。全年使用财政拨款安排出国（境）团组0个、累计0人次。 </w:t>
      </w:r>
      <w:bookmarkEnd w:id="3"/>
    </w:p>
    <w:p w14:paraId="58BBB9D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4" w:name="PO_part3A3B2C2D2Use1"/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2.公务用车购置及运行维护费支出7.17万元，其中：公务用车购置支出为0万元，公务用车购置数0辆。公务用车运行维护费支出7.17万元，公务用车保有量为6辆，主要用于公务出行及遗体</w:t>
      </w:r>
    </w:p>
    <w:p w14:paraId="3E58C8B2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接送。 </w:t>
      </w:r>
      <w:bookmarkEnd w:id="4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3.公务接待费支出0万元，主要用于无，共接待国外、境外来访团组0个，来访外宾0人次；发生国内接待0次，接待人数共0人。主要包括无。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0600BB6"/>
    <w:rsid w:val="26811F3C"/>
    <w:rsid w:val="30BC0D4E"/>
    <w:rsid w:val="45B25BFB"/>
    <w:rsid w:val="48B63E7D"/>
    <w:rsid w:val="66490F07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1458</Words>
  <Characters>1593</Characters>
  <Lines>0</Lines>
  <Paragraphs>0</Paragraphs>
  <TotalTime>15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凌天</cp:lastModifiedBy>
  <dcterms:modified xsi:type="dcterms:W3CDTF">2025-10-11T06:53:12Z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B699395F5AD44429BEA275633D572E64_13</vt:lpwstr>
  </property>
  <property fmtid="{D5CDD505-2E9C-101B-9397-08002B2CF9AE}" pid="4" name="KSOTemplateDocerSaveRecord">
    <vt:lpwstr>eyJoZGlkIjoiNWI5NWQwZWEwOGYxMDliMTRiM2RjNjViZWE0NTcyMGMiLCJ1c2VySWQiOiI0MjUxNDkwNTkifQ==</vt:lpwstr>
  </property>
</Properties>
</file>