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2024年徐闻县环境卫生管理站“三公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徐闻县环境卫生管理站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7296ACAC">
      <w:pPr>
        <w:spacing w:line="360" w:lineRule="auto"/>
        <w:ind w:firstLine="420" w:firstLineChars="200"/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本表本年度无发生额。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0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徐闻县环境卫生管理站2024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3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4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5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6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6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7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8" w:name="PO_part3A3B1C1qz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9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0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0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1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bookmarkStart w:id="12" w:name="PO_part3A3B1C1qz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3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4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5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bookmarkStart w:id="16" w:name="PO_part3A3B1C1qz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7" w:name="PO_part3A3B1C1qzys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8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9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9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0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1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2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2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3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3"/>
    </w:p>
    <w:p w14:paraId="767D695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4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5" w:name="PO_part3A3B1C1Diff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6" w:name="PO_part3A3B1C1DiffReason1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控制与年初预算数持平。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6"/>
    </w:p>
    <w:p w14:paraId="2262CA32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27" w:name="PO_part3A3B1C1Year2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8" w:name="PO_part3A3B1C1Diff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等于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bookmarkStart w:id="29" w:name="PO_part3A3B1C1DiffReason2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</w:t>
      </w:r>
      <w:bookmarkEnd w:id="29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结合实际情况，</w:t>
      </w:r>
      <w:r>
        <w:rPr>
          <w:rFonts w:hint="eastAsia" w:ascii="仿宋_GB2312" w:hAnsi="宋体" w:eastAsia="仿宋_GB2312" w:cs="宋体"/>
          <w:sz w:val="32"/>
          <w:szCs w:val="32"/>
        </w:rPr>
        <w:t>从严控制“三公”经费开支，全年实际支出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控制与上年决算数持平。</w:t>
      </w:r>
    </w:p>
    <w:p w14:paraId="7CA8C0EF">
      <w:pPr>
        <w:ind w:firstLine="640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0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1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2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3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59C9429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bookmarkStart w:id="34" w:name="PO_part3A3B2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35" w:name="PO_part3A3B2C1Jgcg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6" w:name="PO_part3A3B2C1D1Meeting1"/>
      <w:r>
        <w:rPr>
          <w:rFonts w:hint="eastAsia" w:ascii="仿宋_GB2312" w:hAnsi="宋体" w:eastAsia="仿宋_GB2312" w:cs="宋体"/>
          <w:sz w:val="32"/>
          <w:szCs w:val="32"/>
        </w:rPr>
        <w:t xml:space="preserve">。 </w:t>
      </w:r>
      <w:bookmarkEnd w:id="36"/>
    </w:p>
    <w:p w14:paraId="3E58C8B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37" w:name="PO_part3A3B2C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38" w:name="PO_part3A3B2C2D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39" w:name="PO_part3A3B2C2D2Use1"/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  <w:t>日常公务考核、巡查及环 卫作业等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工作。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9"/>
    </w:p>
    <w:p w14:paraId="60F533B2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15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bookmarkStart w:id="40" w:name="PO_part3A3B2C3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本年度无公务接待费用</w:t>
      </w:r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41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接待上级部门来访，领导下乡指导工作就餐。</w:t>
      </w:r>
      <w:bookmarkEnd w:id="41"/>
      <w:bookmarkStart w:id="42" w:name="_GoBack"/>
      <w:bookmarkEnd w:id="42"/>
    </w:p>
    <w:p w14:paraId="571971EF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1F83CB0"/>
    <w:rsid w:val="19820B2B"/>
    <w:rsid w:val="1C647C4A"/>
    <w:rsid w:val="1CC21F65"/>
    <w:rsid w:val="202D3B9A"/>
    <w:rsid w:val="26811F3C"/>
    <w:rsid w:val="2C3A2388"/>
    <w:rsid w:val="30BC0D4E"/>
    <w:rsid w:val="32E53F79"/>
    <w:rsid w:val="371C275C"/>
    <w:rsid w:val="45B25BFB"/>
    <w:rsid w:val="54D63DF6"/>
    <w:rsid w:val="62EE1ED0"/>
    <w:rsid w:val="6837321E"/>
    <w:rsid w:val="718030F6"/>
    <w:rsid w:val="75CB36A1"/>
    <w:rsid w:val="797D56A1"/>
    <w:rsid w:val="7B95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5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阿权</cp:lastModifiedBy>
  <dcterms:modified xsi:type="dcterms:W3CDTF">2025-10-10T09:39:44Z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eyJoZGlkIjoiYmZmMDQyYmJmOGI1MzIyZDkzNTE2YmM3NTNjNGZlZWQiLCJ1c2VySWQiOiI1OTgxMDU4NTAifQ==</vt:lpwstr>
  </property>
</Properties>
</file>