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2024年徐闻县曲界镇人民政府“三公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default"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val="en-US" w:eastAsia="zh-CN"/>
              </w:rPr>
              <w:t>徐闻县曲界镇人民政府</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6.20</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6.20</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5.10</w:t>
            </w:r>
          </w:p>
        </w:tc>
        <w:tc>
          <w:tcPr>
            <w:tcW w:w="1182" w:type="dxa"/>
            <w:noWrap w:val="0"/>
            <w:vAlign w:val="center"/>
          </w:tcPr>
          <w:p w14:paraId="61F6E8B1">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1.11</w:t>
            </w:r>
          </w:p>
        </w:tc>
        <w:tc>
          <w:tcPr>
            <w:tcW w:w="1182" w:type="dxa"/>
            <w:noWrap w:val="0"/>
            <w:vAlign w:val="center"/>
          </w:tcPr>
          <w:p w14:paraId="3D00B007">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6.20</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6.20</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5.10</w:t>
            </w:r>
          </w:p>
        </w:tc>
        <w:tc>
          <w:tcPr>
            <w:tcW w:w="1171" w:type="dxa"/>
            <w:noWrap w:val="0"/>
            <w:vAlign w:val="center"/>
          </w:tcPr>
          <w:p w14:paraId="6F7ACF0A">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1.11</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3A4B1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525252"/>
          <w:spacing w:val="13"/>
          <w:kern w:val="0"/>
          <w:sz w:val="20"/>
          <w:szCs w:val="20"/>
          <w:bdr w:val="none" w:color="auto" w:sz="0" w:space="0"/>
          <w:lang w:val="en-US" w:eastAsia="zh-CN" w:bidi="ar"/>
        </w:rPr>
      </w:pPr>
    </w:p>
    <w:p w14:paraId="00554E34">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lang w:val="en-US" w:eastAsia="zh-CN"/>
        </w:rPr>
        <w:t>（一）“三公”经费财政拨款支出决算总体情况说明</w:t>
      </w:r>
    </w:p>
    <w:p w14:paraId="51F54920">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徐闻县曲界镇人民政府2024年度“三公”经费财政拨款支出决算为6.2万元，完成全年预算6.2万元的100%，比上年决算数增加2.71万元，增长77.7%。其中：因公出国（境）费支出决算为0万元，完成预算0万元的--%（基数为0，不可比），比上年决算数增加0万元，增长--（基数为0，不可比）；公务用车购置及运行维护费支出决算为5.1万元，完成预算5.1万元的100%，比上年决算数增加1.68万元，增长49%；其中：公务用车购置支出决算为0万元，完成预算0万元的--%（基数为0，不可比），比上年决算数增加0万元，增长--（基数为0，不可比）；公务用车运行维护费支出决算为5.1万元，完成预算5.1万元的100%，比上年决算数增加1.68万元，增长49%；公务接待费支出决算为1.11万元，完成预算1.11万元的100%，比上年决算数增加1.04万元，增长1,453.7%。</w:t>
      </w:r>
    </w:p>
    <w:p w14:paraId="13AA6D1A">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2024年度“三公”经费支出决算等于预算数的主要情况：本单位从严控制“三公”经费开支，使全年实际支出与全年预算数平衡。 </w:t>
      </w:r>
    </w:p>
    <w:p w14:paraId="5E283DE3">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2024年度“三公”经费支出决算大于上年决算数的主要情况：一是由于财政资金运转困难，三公经费使用有限制支付条件导致以前年度未能及时报销，2024年度部分报销以前年度公务接待费，二是由于创建典型镇公务用车使用频率高因此本年度三公经费支出大于上年决算数。</w:t>
      </w:r>
    </w:p>
    <w:p w14:paraId="047311A1">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lang w:val="en-US" w:eastAsia="zh-CN"/>
        </w:rPr>
        <w:t>（二）“三公”经费财政拨款支出决算具体情况说明</w:t>
      </w:r>
    </w:p>
    <w:p w14:paraId="7A8AE4BE">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2024年度“三公”经费财政拨款支出决算中，因公出国（境）费0万元，占0%；公务用车购置及运行维护费支出5.1万元，占82.2%；公务接待费支出1.11万元，占17.8%。具体情况如下：</w:t>
      </w:r>
    </w:p>
    <w:p w14:paraId="782E8927">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1.因公出国（境）费支出0万元。全年使用财政拨款安排出国（境）团组0个、累计0人次。</w:t>
      </w:r>
    </w:p>
    <w:p w14:paraId="200B9516">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公务用车购置及运行维护费支出5.1万元，其中：公务用车购置支出为0万元，公务用车购置数0辆。公务用车运行维护费支出5.1万元，公务用车保有量为2辆，主要用于领导干部日常下乡调研指导相关工作、检查督导百千万工程相关工作和正常公务出行，领导干部参加会议或公务活动、公务接待等；公务用车运行及维护支出主要用于公务用车充值油卡费用、维修保养费用以及购买车辆保险费用。</w:t>
      </w:r>
    </w:p>
    <w:p w14:paraId="6A200A71">
      <w:pPr>
        <w:ind w:firstLine="640" w:firstLineChars="200"/>
      </w:pPr>
      <w:r>
        <w:rPr>
          <w:rFonts w:hint="eastAsia" w:ascii="仿宋_GB2312" w:hAnsi="宋体" w:eastAsia="仿宋_GB2312" w:cs="宋体"/>
          <w:sz w:val="32"/>
          <w:szCs w:val="32"/>
          <w:lang w:val="en-US" w:eastAsia="zh-CN"/>
        </w:rPr>
        <w:t>3.公务接待费支出1.11万元，主要用于单位按照三公经费使用规定开支的各类公务接待费用如接待到本单位考察调研、指导检查工作、学习交流的省、市、县机关部门领导同志和其他乡镇单位领导同志等的餐饮等费用，共接待国外、境外来访团组0个，来访外宾0人次；发生国内接待13次，接待人数共186人。主要包括接待到本单位考察调研、指导检查工作、学习交流的市、县机关部门领导同志和其他乡镇单位领导同志等公务活动人员。</w:t>
      </w:r>
      <w:bookmarkStart w:id="1" w:name="_GoBack"/>
      <w:bookmarkEnd w:id="1"/>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36A1"/>
    <w:rsid w:val="202D3B9A"/>
    <w:rsid w:val="26811F3C"/>
    <w:rsid w:val="26A16B57"/>
    <w:rsid w:val="30BC0D4E"/>
    <w:rsid w:val="45B25BFB"/>
    <w:rsid w:val="6A50383E"/>
    <w:rsid w:val="6C65145B"/>
    <w:rsid w:val="75CB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1593</Characters>
  <Lines>0</Lines>
  <Paragraphs>0</Paragraphs>
  <TotalTime>4</TotalTime>
  <ScaleCrop>false</ScaleCrop>
  <LinksUpToDate>false</LinksUpToDate>
  <CharactersWithSpaces>1657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文</cp:lastModifiedBy>
  <dcterms:modified xsi:type="dcterms:W3CDTF">2025-10-11T07:49:17Z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19A92103CE3C40EB83047DF244457853_13</vt:lpwstr>
  </property>
  <property fmtid="{D5CDD505-2E9C-101B-9397-08002B2CF9AE}" pid="4" name="KSOTemplateDocerSaveRecord">
    <vt:lpwstr>eyJoZGlkIjoiNTViZmNiZmU2YWMwNTM1ZWFlNzllOTFjMDQ0NWZiNGUiLCJ1c2VySWQiOiI4OTUyNDY1MDcifQ==</vt:lpwstr>
  </property>
</Properties>
</file>