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2024年徐闻县发展和改革局（本级）“三公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徐闻县发展和改革局（本级）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2.03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0F462420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（一）“三公”经费财政拨款支出决算总体情况说明 </w:t>
      </w:r>
    </w:p>
    <w:p w14:paraId="1789E11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发展和改革局（本级）2024年度“三公”经费财政拨款支出决算为2.03万元，完成全年预算2.03万元的100%，比上年决算数减少1.26万元，下降38.3%。其中：因公出国（境）费支出决算为0万元，完成预算0万元的--%（基数为0，不可比），比上年决算数增加0万元，增长--（基数为0，不可比）；公务用车购置及运行维护费支出决算为2.03万元，完成预算2.03万元的100%，比上年决算数减少1.05万元，下降34.1%；其中：公务用车购置支出决算为0万元，完成预算0万元的--%（基数为0，不可比），比上年决算数增加0万元，增长--（基数为0，不可比）；公务用车运行维护费支出决算为2.03万元，完成预算2.03万元的100%，比上年决算数减少1.05万元，下降34.1%；公务接待费支出决算为0万元，完成预算0万元的--%（基数为0，不可比），比上年决算数减少0.21万元，下降100%。</w:t>
      </w:r>
    </w:p>
    <w:p w14:paraId="7C50FE7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2024年度“三公”经费支出决算等于预算数的主要情况：认真贯彻落实中央八项规定精神和厉行节约的要求，从严控制“三公”经费开支。</w:t>
      </w:r>
      <w:bookmarkStart w:id="1" w:name="_GoBack"/>
      <w:bookmarkEnd w:id="1"/>
    </w:p>
    <w:p w14:paraId="3276A16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2024年度“三公”经费支出决算小于上年决算数的主要情况：本年度公务用车及公务接待减少。 </w:t>
      </w:r>
    </w:p>
    <w:p w14:paraId="054C5AC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 xml:space="preserve">（二）“三公”经费财政拨款支出决算具体情况说明 </w:t>
      </w:r>
    </w:p>
    <w:p w14:paraId="44288B2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 0 2 4年度“三公”经费财政拨款支出决算中，因公出国（境）费0万元，占0%；公务用车购置及运行维护费支出2.03万元，占100%；公务接待费支出0万元，占0%。具体情况如下： </w:t>
      </w:r>
    </w:p>
    <w:p w14:paraId="539DDE76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因公出国（境）费支出0万元。全年使用财政拨款安排出国（境）团组0个、累计0人次。 </w:t>
      </w:r>
    </w:p>
    <w:p w14:paraId="00FFAA9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2.公务用车购置及运行维护费支出2.03万元，其中：公务用车购置支出为0万元，公务用车购置数0辆。公务用车运行维护费支出2.03万元，公务用车保有量为2辆，主要用于本年度下乡和上市局开会办事。 </w:t>
      </w:r>
    </w:p>
    <w:p w14:paraId="7832716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3.公务接待费支出0万元，主要用于公务接待，共接待国外、境外来访团组0个，来访外宾0人次；发生国内接待0次，接待人数共0人。本年度无公务接待。</w:t>
      </w:r>
    </w:p>
    <w:p w14:paraId="6378EC5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3746EFE"/>
    <w:rsid w:val="202D3B9A"/>
    <w:rsid w:val="26811F3C"/>
    <w:rsid w:val="279D1605"/>
    <w:rsid w:val="30BC0D4E"/>
    <w:rsid w:val="45B25BFB"/>
    <w:rsid w:val="585E4570"/>
    <w:rsid w:val="723B701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1001</Words>
  <Characters>1130</Characters>
  <Lines>0</Lines>
  <Paragraphs>0</Paragraphs>
  <TotalTime>0</TotalTime>
  <ScaleCrop>false</ScaleCrop>
  <LinksUpToDate>false</LinksUpToDate>
  <CharactersWithSpaces>1145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Sakura</cp:lastModifiedBy>
  <dcterms:modified xsi:type="dcterms:W3CDTF">2025-10-11T10:01:52Z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0041EBE6DB9D4A2B9337941CC812002E_13</vt:lpwstr>
  </property>
  <property fmtid="{D5CDD505-2E9C-101B-9397-08002B2CF9AE}" pid="4" name="KSOTemplateDocerSaveRecord">
    <vt:lpwstr>eyJoZGlkIjoiMDk5ODhlM2NiODhiYzEyYjE2OGM4NzFhZWVjMWNmYzkiLCJ1c2VySWQiOiIzMTUxODMxOTUifQ==</vt:lpwstr>
  </property>
</Properties>
</file>